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2DA3A" w14:textId="77777777" w:rsidR="00D146E4" w:rsidRPr="00D146E4" w:rsidRDefault="00D146E4" w:rsidP="00D146E4">
      <w:r w:rsidRPr="00D146E4">
        <w:t>Edition # 9: October 24, 2024</w:t>
      </w:r>
    </w:p>
    <w:p w14:paraId="0A66AE9D" w14:textId="77777777" w:rsidR="00D146E4" w:rsidRPr="00D146E4" w:rsidRDefault="00D146E4" w:rsidP="00D146E4">
      <w:pPr>
        <w:rPr>
          <w:b/>
          <w:bCs/>
        </w:rPr>
      </w:pPr>
      <w:r w:rsidRPr="00D146E4">
        <w:rPr>
          <w:b/>
          <w:bCs/>
        </w:rPr>
        <w:t>Quarter 4 2024:</w:t>
      </w:r>
      <w:r w:rsidRPr="00D146E4">
        <w:rPr>
          <w:b/>
          <w:bCs/>
        </w:rPr>
        <w:br/>
        <w:t>Grantor Implementation is in Full Swing</w:t>
      </w:r>
      <w:r w:rsidRPr="00D146E4">
        <w:rPr>
          <w:b/>
          <w:bCs/>
        </w:rPr>
        <w:br/>
        <w:t>...But First</w:t>
      </w:r>
    </w:p>
    <w:p w14:paraId="55213B73" w14:textId="77777777" w:rsidR="00D146E4" w:rsidRDefault="00D146E4" w:rsidP="00D146E4">
      <w:r w:rsidRPr="00D146E4">
        <w:t>The Grantee Active Award Upload is complete.  We uploaded 1,095 active awards WITH ONLY 12 ERRORS!  This was an extraordinary effort, and everyone involved deserves a great deal of credit for contributing to its success, from our agency staff to Euna Solutions’ consultants (Euna Solutions is our eCivis vendor).  Now that the Active Award Upload is finished, agencies can manage those grants in eCivis.  We will not have to perform another upload to eCivis.  Great job everybody!</w:t>
      </w:r>
    </w:p>
    <w:p w14:paraId="3CBF8856" w14:textId="77777777" w:rsidR="00D146E4" w:rsidRPr="00D146E4" w:rsidRDefault="00D146E4" w:rsidP="00D146E4">
      <w:r w:rsidRPr="00D146E4">
        <w:rPr>
          <w:b/>
          <w:bCs/>
        </w:rPr>
        <w:t> Agencies are required to use eCivis for Grantor activities.</w:t>
      </w:r>
    </w:p>
    <w:p w14:paraId="19C77574" w14:textId="77777777" w:rsidR="00D146E4" w:rsidRPr="00D146E4" w:rsidRDefault="00D146E4" w:rsidP="00D146E4"/>
    <w:p w14:paraId="5F6C00B4" w14:textId="77777777" w:rsidR="00D146E4" w:rsidRPr="00D146E4" w:rsidRDefault="00D146E4" w:rsidP="00D146E4">
      <w:r w:rsidRPr="00D146E4">
        <w:rPr>
          <w:b/>
          <w:bCs/>
        </w:rPr>
        <w:t xml:space="preserve"> “Grantor” </w:t>
      </w:r>
      <w:r w:rsidRPr="00D146E4">
        <w:t>refers to when Indiana agencies distribute funding to subrecipients or grantee-agencies. </w:t>
      </w:r>
    </w:p>
    <w:p w14:paraId="4D63EA9B" w14:textId="77777777" w:rsidR="00D146E4" w:rsidRPr="00D146E4" w:rsidRDefault="00D146E4" w:rsidP="00D146E4">
      <w:r w:rsidRPr="00D146E4">
        <w:t> </w:t>
      </w:r>
    </w:p>
    <w:p w14:paraId="0D2C27C2" w14:textId="77777777" w:rsidR="00D146E4" w:rsidRDefault="00D146E4" w:rsidP="00D146E4">
      <w:r w:rsidRPr="00D146E4">
        <w:rPr>
          <w:b/>
          <w:bCs/>
        </w:rPr>
        <w:t xml:space="preserve">“Subrecipient” </w:t>
      </w:r>
      <w:r w:rsidRPr="00D146E4">
        <w:t>is a non-federal entity that receives a subaward from a state agency to carry out part of a federal program.  An individual that is a beneficiary of such a federal program is not a subrecipient.</w:t>
      </w:r>
    </w:p>
    <w:p w14:paraId="2DF6E21D" w14:textId="77777777" w:rsidR="00D146E4" w:rsidRPr="00D146E4" w:rsidRDefault="00D146E4" w:rsidP="00D146E4">
      <w:r w:rsidRPr="00D146E4">
        <w:rPr>
          <w:b/>
          <w:bCs/>
          <w:i/>
          <w:iCs/>
        </w:rPr>
        <w:t>Grantor includes State-Funded Grants</w:t>
      </w:r>
    </w:p>
    <w:p w14:paraId="734D34C5" w14:textId="77777777" w:rsidR="00D146E4" w:rsidRPr="00D146E4" w:rsidRDefault="00D146E4" w:rsidP="00D146E4">
      <w:r w:rsidRPr="00D146E4">
        <w:t xml:space="preserve">A </w:t>
      </w:r>
      <w:r w:rsidRPr="00D146E4">
        <w:rPr>
          <w:b/>
          <w:bCs/>
        </w:rPr>
        <w:t xml:space="preserve">“State-Funded Grant </w:t>
      </w:r>
      <w:proofErr w:type="gramStart"/>
      <w:r w:rsidRPr="00D146E4">
        <w:rPr>
          <w:b/>
          <w:bCs/>
        </w:rPr>
        <w:t xml:space="preserve">“ </w:t>
      </w:r>
      <w:r w:rsidRPr="00D146E4">
        <w:t>is</w:t>
      </w:r>
      <w:proofErr w:type="gramEnd"/>
      <w:r w:rsidRPr="00D146E4">
        <w:t xml:space="preserve"> a grant:  1) awarded by an Indiana  State Agency, and 2) funded by a State Fund or a  Dedicated Fund.  State-funded grants </w:t>
      </w:r>
      <w:proofErr w:type="gramStart"/>
      <w:r w:rsidRPr="00D146E4">
        <w:t>were  not</w:t>
      </w:r>
      <w:proofErr w:type="gramEnd"/>
      <w:r w:rsidRPr="00D146E4">
        <w:t xml:space="preserve"> included in the agency’s Active Award Upload.</w:t>
      </w:r>
    </w:p>
    <w:p w14:paraId="73EE5948" w14:textId="77777777" w:rsidR="00D146E4" w:rsidRPr="00D146E4" w:rsidRDefault="00D146E4" w:rsidP="00D146E4">
      <w:r w:rsidRPr="00D146E4">
        <w:t xml:space="preserve">Agencies will need their State-Funded Grants in eCivis </w:t>
      </w:r>
      <w:proofErr w:type="gramStart"/>
      <w:r w:rsidRPr="00D146E4">
        <w:t>in order to</w:t>
      </w:r>
      <w:proofErr w:type="gramEnd"/>
      <w:r w:rsidRPr="00D146E4">
        <w:t xml:space="preserve"> use eCivis to award the grant to recipients.</w:t>
      </w:r>
    </w:p>
    <w:p w14:paraId="3723D97B" w14:textId="77777777" w:rsidR="00D146E4" w:rsidRPr="00D146E4" w:rsidRDefault="00D146E4" w:rsidP="00D146E4">
      <w:pPr>
        <w:rPr>
          <w:b/>
          <w:bCs/>
        </w:rPr>
      </w:pPr>
      <w:r w:rsidRPr="00D146E4">
        <w:rPr>
          <w:b/>
          <w:bCs/>
        </w:rPr>
        <w:t>Grantor implementation is scheduled through the end of 2025.</w:t>
      </w:r>
    </w:p>
    <w:p w14:paraId="2232336D" w14:textId="77777777" w:rsidR="00D146E4" w:rsidRPr="00D146E4" w:rsidRDefault="00D146E4" w:rsidP="00D146E4">
      <w:r w:rsidRPr="00D146E4">
        <w:t>During each Grantor Implementation Cycle, training staff from eCivis will provide hands-on guidance as agencies learn how to build, publish, and evaluate solicitations in eCivis.  Each Grantor Implementation Cycle is 7 weeks in duration. </w:t>
      </w:r>
    </w:p>
    <w:p w14:paraId="7AEB976A" w14:textId="77777777" w:rsidR="00D146E4" w:rsidRPr="00D146E4" w:rsidRDefault="00D146E4" w:rsidP="00D146E4">
      <w:r w:rsidRPr="00D146E4">
        <w:t>In the first half of the training sessions, eCivis training staff will demonstrate how to build a solicitation.  Over the second half of the training sessions, agencies will build solicitations for their own programs.</w:t>
      </w:r>
    </w:p>
    <w:p w14:paraId="3B1CADE7" w14:textId="77777777" w:rsidR="00D146E4" w:rsidRPr="00D146E4" w:rsidRDefault="00D146E4" w:rsidP="00D146E4">
      <w:r w:rsidRPr="00D146E4">
        <w:lastRenderedPageBreak/>
        <w:t xml:space="preserve">At the end of the 7 weeks, agencies will have solicitations ready for publication.  For more information, please see the </w:t>
      </w:r>
      <w:hyperlink r:id="rId4" w:anchor="tab-718581-Events_Timeline" w:history="1">
        <w:r w:rsidRPr="00D146E4">
          <w:rPr>
            <w:rStyle w:val="Hyperlink"/>
          </w:rPr>
          <w:t>eCivis Implementation Information</w:t>
        </w:r>
      </w:hyperlink>
      <w:r w:rsidRPr="00D146E4">
        <w:t xml:space="preserve"> section of the SBA website.  SBA also has </w:t>
      </w:r>
      <w:hyperlink r:id="rId5" w:anchor="tab-706481-6-Training_Materials" w:tgtFrame="_blank" w:history="1">
        <w:r w:rsidRPr="00D146E4">
          <w:rPr>
            <w:rStyle w:val="Hyperlink"/>
          </w:rPr>
          <w:t>Grantor training materials</w:t>
        </w:r>
      </w:hyperlink>
      <w:r w:rsidRPr="00D146E4">
        <w:t xml:space="preserve"> and </w:t>
      </w:r>
      <w:hyperlink r:id="rId6" w:anchor="tab-706481-7-Grantor_Lifecycle" w:tgtFrame="_blank" w:history="1">
        <w:r w:rsidRPr="00D146E4">
          <w:rPr>
            <w:rStyle w:val="Hyperlink"/>
          </w:rPr>
          <w:t>Grantor process guidance</w:t>
        </w:r>
      </w:hyperlink>
      <w:r w:rsidRPr="00D146E4">
        <w:t xml:space="preserve"> to support agencies.</w:t>
      </w:r>
    </w:p>
    <w:p w14:paraId="2A4D3395" w14:textId="77777777" w:rsidR="00D146E4" w:rsidRPr="00D146E4" w:rsidRDefault="00D146E4" w:rsidP="00D146E4">
      <w:r w:rsidRPr="00D146E4">
        <w:rPr>
          <w:b/>
          <w:bCs/>
        </w:rPr>
        <w:t xml:space="preserve">SBA Grants Team provides subrecipient </w:t>
      </w:r>
      <w:r w:rsidRPr="00D146E4">
        <w:rPr>
          <w:b/>
          <w:bCs/>
        </w:rPr>
        <w:br/>
        <w:t>communication and training assistance.</w:t>
      </w:r>
    </w:p>
    <w:p w14:paraId="2EA2E930" w14:textId="77777777" w:rsidR="00D146E4" w:rsidRPr="00D146E4" w:rsidRDefault="00D146E4" w:rsidP="00D146E4">
      <w:r w:rsidRPr="00D146E4">
        <w:t xml:space="preserve">SBA’s Grants Management Team can help you prepare your subrecipients to successfully use eCivis.  The Grants Team can develop and execute a </w:t>
      </w:r>
      <w:hyperlink r:id="rId7" w:anchor="tab-706481-7-Grantor_Lifecycle" w:tgtFrame="_blank" w:history="1">
        <w:r w:rsidRPr="00D146E4">
          <w:rPr>
            <w:rStyle w:val="Hyperlink"/>
          </w:rPr>
          <w:t>Subrecipient Communications Plan</w:t>
        </w:r>
      </w:hyperlink>
      <w:r w:rsidRPr="00D146E4">
        <w:t xml:space="preserve"> for informing your subrecipients of the eCivis implementation, including writing newsletter blurbs, presenting information briefings, and crafting language for your agency’s website.</w:t>
      </w:r>
    </w:p>
    <w:p w14:paraId="74CE8B7E" w14:textId="77777777" w:rsidR="00D146E4" w:rsidRPr="00D146E4" w:rsidRDefault="00D146E4" w:rsidP="00D146E4">
      <w:r w:rsidRPr="00D146E4">
        <w:rPr>
          <w:b/>
          <w:bCs/>
        </w:rPr>
        <w:t xml:space="preserve">Effective grants management is a fundamental part of fulfilling </w:t>
      </w:r>
      <w:r w:rsidRPr="00D146E4">
        <w:rPr>
          <w:b/>
          <w:bCs/>
        </w:rPr>
        <w:br/>
        <w:t>State Budget Agency’s Vision and serving Hoosiers.</w:t>
      </w:r>
    </w:p>
    <w:p w14:paraId="2DF58BDA" w14:textId="77777777" w:rsidR="00D146E4" w:rsidRPr="00D146E4" w:rsidRDefault="00D146E4" w:rsidP="00D146E4">
      <w:r w:rsidRPr="00D146E4">
        <w:t xml:space="preserve">The State Budget Agency’s </w:t>
      </w:r>
      <w:r w:rsidRPr="00D146E4">
        <w:rPr>
          <w:b/>
          <w:bCs/>
        </w:rPr>
        <w:t>Vision</w:t>
      </w:r>
      <w:r w:rsidRPr="00D146E4">
        <w:t xml:space="preserve"> is ensuring that Indiana’s priorities are funded today and tomorrow. Even though Indiana will have a new governor in a few months, the work to improve how Indiana manages grants will not change.</w:t>
      </w:r>
    </w:p>
    <w:p w14:paraId="4002FC3E" w14:textId="74B01F10" w:rsidR="00D146E4" w:rsidRPr="00D146E4" w:rsidRDefault="00D146E4" w:rsidP="00D146E4">
      <w:r w:rsidRPr="00D146E4">
        <w:t>The decisions we make today about the federal grants Indiana receives will have ramifications tomorrow. We must remain ever diligent to weed-out process inefficiencies, avoid unintentional consequences, and meet our grants management obligations to ensure that tomorrow is even brighter than today.</w:t>
      </w:r>
    </w:p>
    <w:p w14:paraId="095BEFE9" w14:textId="77777777" w:rsidR="00D146E4" w:rsidRPr="00D146E4" w:rsidRDefault="00D146E4" w:rsidP="00D146E4"/>
    <w:p w14:paraId="7894DC6F" w14:textId="77777777" w:rsidR="00D146E4" w:rsidRDefault="00D146E4"/>
    <w:sectPr w:rsidR="00D14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E4"/>
    <w:rsid w:val="007137F5"/>
    <w:rsid w:val="00D1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901B"/>
  <w15:chartTrackingRefBased/>
  <w15:docId w15:val="{E9CFA4C4-A077-49FE-951C-3453067C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4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4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6E4"/>
    <w:rPr>
      <w:rFonts w:eastAsiaTheme="majorEastAsia" w:cstheme="majorBidi"/>
      <w:color w:val="272727" w:themeColor="text1" w:themeTint="D8"/>
    </w:rPr>
  </w:style>
  <w:style w:type="paragraph" w:styleId="Title">
    <w:name w:val="Title"/>
    <w:basedOn w:val="Normal"/>
    <w:next w:val="Normal"/>
    <w:link w:val="TitleChar"/>
    <w:uiPriority w:val="10"/>
    <w:qFormat/>
    <w:rsid w:val="00D14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6E4"/>
    <w:pPr>
      <w:spacing w:before="160"/>
      <w:jc w:val="center"/>
    </w:pPr>
    <w:rPr>
      <w:i/>
      <w:iCs/>
      <w:color w:val="404040" w:themeColor="text1" w:themeTint="BF"/>
    </w:rPr>
  </w:style>
  <w:style w:type="character" w:customStyle="1" w:styleId="QuoteChar">
    <w:name w:val="Quote Char"/>
    <w:basedOn w:val="DefaultParagraphFont"/>
    <w:link w:val="Quote"/>
    <w:uiPriority w:val="29"/>
    <w:rsid w:val="00D146E4"/>
    <w:rPr>
      <w:i/>
      <w:iCs/>
      <w:color w:val="404040" w:themeColor="text1" w:themeTint="BF"/>
    </w:rPr>
  </w:style>
  <w:style w:type="paragraph" w:styleId="ListParagraph">
    <w:name w:val="List Paragraph"/>
    <w:basedOn w:val="Normal"/>
    <w:uiPriority w:val="34"/>
    <w:qFormat/>
    <w:rsid w:val="00D146E4"/>
    <w:pPr>
      <w:ind w:left="720"/>
      <w:contextualSpacing/>
    </w:pPr>
  </w:style>
  <w:style w:type="character" w:styleId="IntenseEmphasis">
    <w:name w:val="Intense Emphasis"/>
    <w:basedOn w:val="DefaultParagraphFont"/>
    <w:uiPriority w:val="21"/>
    <w:qFormat/>
    <w:rsid w:val="00D146E4"/>
    <w:rPr>
      <w:i/>
      <w:iCs/>
      <w:color w:val="0F4761" w:themeColor="accent1" w:themeShade="BF"/>
    </w:rPr>
  </w:style>
  <w:style w:type="paragraph" w:styleId="IntenseQuote">
    <w:name w:val="Intense Quote"/>
    <w:basedOn w:val="Normal"/>
    <w:next w:val="Normal"/>
    <w:link w:val="IntenseQuoteChar"/>
    <w:uiPriority w:val="30"/>
    <w:qFormat/>
    <w:rsid w:val="00D14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6E4"/>
    <w:rPr>
      <w:i/>
      <w:iCs/>
      <w:color w:val="0F4761" w:themeColor="accent1" w:themeShade="BF"/>
    </w:rPr>
  </w:style>
  <w:style w:type="character" w:styleId="IntenseReference">
    <w:name w:val="Intense Reference"/>
    <w:basedOn w:val="DefaultParagraphFont"/>
    <w:uiPriority w:val="32"/>
    <w:qFormat/>
    <w:rsid w:val="00D146E4"/>
    <w:rPr>
      <w:b/>
      <w:bCs/>
      <w:smallCaps/>
      <w:color w:val="0F4761" w:themeColor="accent1" w:themeShade="BF"/>
      <w:spacing w:val="5"/>
    </w:rPr>
  </w:style>
  <w:style w:type="character" w:styleId="Hyperlink">
    <w:name w:val="Hyperlink"/>
    <w:basedOn w:val="DefaultParagraphFont"/>
    <w:uiPriority w:val="99"/>
    <w:unhideWhenUsed/>
    <w:rsid w:val="00D146E4"/>
    <w:rPr>
      <w:color w:val="467886" w:themeColor="hyperlink"/>
      <w:u w:val="single"/>
    </w:rPr>
  </w:style>
  <w:style w:type="character" w:styleId="UnresolvedMention">
    <w:name w:val="Unresolved Mention"/>
    <w:basedOn w:val="DefaultParagraphFont"/>
    <w:uiPriority w:val="99"/>
    <w:semiHidden/>
    <w:unhideWhenUsed/>
    <w:rsid w:val="00D1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47089">
      <w:bodyDiv w:val="1"/>
      <w:marLeft w:val="0"/>
      <w:marRight w:val="0"/>
      <w:marTop w:val="0"/>
      <w:marBottom w:val="0"/>
      <w:divBdr>
        <w:top w:val="none" w:sz="0" w:space="0" w:color="auto"/>
        <w:left w:val="none" w:sz="0" w:space="0" w:color="auto"/>
        <w:bottom w:val="none" w:sz="0" w:space="0" w:color="auto"/>
        <w:right w:val="none" w:sz="0" w:space="0" w:color="auto"/>
      </w:divBdr>
    </w:div>
    <w:div w:id="222985355">
      <w:bodyDiv w:val="1"/>
      <w:marLeft w:val="0"/>
      <w:marRight w:val="0"/>
      <w:marTop w:val="0"/>
      <w:marBottom w:val="0"/>
      <w:divBdr>
        <w:top w:val="none" w:sz="0" w:space="0" w:color="auto"/>
        <w:left w:val="none" w:sz="0" w:space="0" w:color="auto"/>
        <w:bottom w:val="none" w:sz="0" w:space="0" w:color="auto"/>
        <w:right w:val="none" w:sz="0" w:space="0" w:color="auto"/>
      </w:divBdr>
    </w:div>
    <w:div w:id="706412631">
      <w:bodyDiv w:val="1"/>
      <w:marLeft w:val="0"/>
      <w:marRight w:val="0"/>
      <w:marTop w:val="0"/>
      <w:marBottom w:val="0"/>
      <w:divBdr>
        <w:top w:val="none" w:sz="0" w:space="0" w:color="auto"/>
        <w:left w:val="none" w:sz="0" w:space="0" w:color="auto"/>
        <w:bottom w:val="none" w:sz="0" w:space="0" w:color="auto"/>
        <w:right w:val="none" w:sz="0" w:space="0" w:color="auto"/>
      </w:divBdr>
    </w:div>
    <w:div w:id="765928216">
      <w:bodyDiv w:val="1"/>
      <w:marLeft w:val="0"/>
      <w:marRight w:val="0"/>
      <w:marTop w:val="0"/>
      <w:marBottom w:val="0"/>
      <w:divBdr>
        <w:top w:val="none" w:sz="0" w:space="0" w:color="auto"/>
        <w:left w:val="none" w:sz="0" w:space="0" w:color="auto"/>
        <w:bottom w:val="none" w:sz="0" w:space="0" w:color="auto"/>
        <w:right w:val="none" w:sz="0" w:space="0" w:color="auto"/>
      </w:divBdr>
    </w:div>
    <w:div w:id="935359637">
      <w:bodyDiv w:val="1"/>
      <w:marLeft w:val="0"/>
      <w:marRight w:val="0"/>
      <w:marTop w:val="0"/>
      <w:marBottom w:val="0"/>
      <w:divBdr>
        <w:top w:val="none" w:sz="0" w:space="0" w:color="auto"/>
        <w:left w:val="none" w:sz="0" w:space="0" w:color="auto"/>
        <w:bottom w:val="none" w:sz="0" w:space="0" w:color="auto"/>
        <w:right w:val="none" w:sz="0" w:space="0" w:color="auto"/>
      </w:divBdr>
    </w:div>
    <w:div w:id="941457046">
      <w:bodyDiv w:val="1"/>
      <w:marLeft w:val="0"/>
      <w:marRight w:val="0"/>
      <w:marTop w:val="0"/>
      <w:marBottom w:val="0"/>
      <w:divBdr>
        <w:top w:val="none" w:sz="0" w:space="0" w:color="auto"/>
        <w:left w:val="none" w:sz="0" w:space="0" w:color="auto"/>
        <w:bottom w:val="none" w:sz="0" w:space="0" w:color="auto"/>
        <w:right w:val="none" w:sz="0" w:space="0" w:color="auto"/>
      </w:divBdr>
    </w:div>
    <w:div w:id="961495682">
      <w:bodyDiv w:val="1"/>
      <w:marLeft w:val="0"/>
      <w:marRight w:val="0"/>
      <w:marTop w:val="0"/>
      <w:marBottom w:val="0"/>
      <w:divBdr>
        <w:top w:val="none" w:sz="0" w:space="0" w:color="auto"/>
        <w:left w:val="none" w:sz="0" w:space="0" w:color="auto"/>
        <w:bottom w:val="none" w:sz="0" w:space="0" w:color="auto"/>
        <w:right w:val="none" w:sz="0" w:space="0" w:color="auto"/>
      </w:divBdr>
    </w:div>
    <w:div w:id="1059326079">
      <w:bodyDiv w:val="1"/>
      <w:marLeft w:val="0"/>
      <w:marRight w:val="0"/>
      <w:marTop w:val="0"/>
      <w:marBottom w:val="0"/>
      <w:divBdr>
        <w:top w:val="none" w:sz="0" w:space="0" w:color="auto"/>
        <w:left w:val="none" w:sz="0" w:space="0" w:color="auto"/>
        <w:bottom w:val="none" w:sz="0" w:space="0" w:color="auto"/>
        <w:right w:val="none" w:sz="0" w:space="0" w:color="auto"/>
      </w:divBdr>
    </w:div>
    <w:div w:id="1082993017">
      <w:bodyDiv w:val="1"/>
      <w:marLeft w:val="0"/>
      <w:marRight w:val="0"/>
      <w:marTop w:val="0"/>
      <w:marBottom w:val="0"/>
      <w:divBdr>
        <w:top w:val="none" w:sz="0" w:space="0" w:color="auto"/>
        <w:left w:val="none" w:sz="0" w:space="0" w:color="auto"/>
        <w:bottom w:val="none" w:sz="0" w:space="0" w:color="auto"/>
        <w:right w:val="none" w:sz="0" w:space="0" w:color="auto"/>
      </w:divBdr>
    </w:div>
    <w:div w:id="1155728119">
      <w:bodyDiv w:val="1"/>
      <w:marLeft w:val="0"/>
      <w:marRight w:val="0"/>
      <w:marTop w:val="0"/>
      <w:marBottom w:val="0"/>
      <w:divBdr>
        <w:top w:val="none" w:sz="0" w:space="0" w:color="auto"/>
        <w:left w:val="none" w:sz="0" w:space="0" w:color="auto"/>
        <w:bottom w:val="none" w:sz="0" w:space="0" w:color="auto"/>
        <w:right w:val="none" w:sz="0" w:space="0" w:color="auto"/>
      </w:divBdr>
    </w:div>
    <w:div w:id="1382053137">
      <w:bodyDiv w:val="1"/>
      <w:marLeft w:val="0"/>
      <w:marRight w:val="0"/>
      <w:marTop w:val="0"/>
      <w:marBottom w:val="0"/>
      <w:divBdr>
        <w:top w:val="none" w:sz="0" w:space="0" w:color="auto"/>
        <w:left w:val="none" w:sz="0" w:space="0" w:color="auto"/>
        <w:bottom w:val="none" w:sz="0" w:space="0" w:color="auto"/>
        <w:right w:val="none" w:sz="0" w:space="0" w:color="auto"/>
      </w:divBdr>
    </w:div>
    <w:div w:id="1422291760">
      <w:bodyDiv w:val="1"/>
      <w:marLeft w:val="0"/>
      <w:marRight w:val="0"/>
      <w:marTop w:val="0"/>
      <w:marBottom w:val="0"/>
      <w:divBdr>
        <w:top w:val="none" w:sz="0" w:space="0" w:color="auto"/>
        <w:left w:val="none" w:sz="0" w:space="0" w:color="auto"/>
        <w:bottom w:val="none" w:sz="0" w:space="0" w:color="auto"/>
        <w:right w:val="none" w:sz="0" w:space="0" w:color="auto"/>
      </w:divBdr>
    </w:div>
    <w:div w:id="1583025922">
      <w:bodyDiv w:val="1"/>
      <w:marLeft w:val="0"/>
      <w:marRight w:val="0"/>
      <w:marTop w:val="0"/>
      <w:marBottom w:val="0"/>
      <w:divBdr>
        <w:top w:val="none" w:sz="0" w:space="0" w:color="auto"/>
        <w:left w:val="none" w:sz="0" w:space="0" w:color="auto"/>
        <w:bottom w:val="none" w:sz="0" w:space="0" w:color="auto"/>
        <w:right w:val="none" w:sz="0" w:space="0" w:color="auto"/>
      </w:divBdr>
    </w:div>
    <w:div w:id="1707096786">
      <w:bodyDiv w:val="1"/>
      <w:marLeft w:val="0"/>
      <w:marRight w:val="0"/>
      <w:marTop w:val="0"/>
      <w:marBottom w:val="0"/>
      <w:divBdr>
        <w:top w:val="none" w:sz="0" w:space="0" w:color="auto"/>
        <w:left w:val="none" w:sz="0" w:space="0" w:color="auto"/>
        <w:bottom w:val="none" w:sz="0" w:space="0" w:color="auto"/>
        <w:right w:val="none" w:sz="0" w:space="0" w:color="auto"/>
      </w:divBdr>
    </w:div>
    <w:div w:id="1710101913">
      <w:bodyDiv w:val="1"/>
      <w:marLeft w:val="0"/>
      <w:marRight w:val="0"/>
      <w:marTop w:val="0"/>
      <w:marBottom w:val="0"/>
      <w:divBdr>
        <w:top w:val="none" w:sz="0" w:space="0" w:color="auto"/>
        <w:left w:val="none" w:sz="0" w:space="0" w:color="auto"/>
        <w:bottom w:val="none" w:sz="0" w:space="0" w:color="auto"/>
        <w:right w:val="none" w:sz="0" w:space="0" w:color="auto"/>
      </w:divBdr>
    </w:div>
    <w:div w:id="1720129423">
      <w:bodyDiv w:val="1"/>
      <w:marLeft w:val="0"/>
      <w:marRight w:val="0"/>
      <w:marTop w:val="0"/>
      <w:marBottom w:val="0"/>
      <w:divBdr>
        <w:top w:val="none" w:sz="0" w:space="0" w:color="auto"/>
        <w:left w:val="none" w:sz="0" w:space="0" w:color="auto"/>
        <w:bottom w:val="none" w:sz="0" w:space="0" w:color="auto"/>
        <w:right w:val="none" w:sz="0" w:space="0" w:color="auto"/>
      </w:divBdr>
    </w:div>
    <w:div w:id="1741250773">
      <w:bodyDiv w:val="1"/>
      <w:marLeft w:val="0"/>
      <w:marRight w:val="0"/>
      <w:marTop w:val="0"/>
      <w:marBottom w:val="0"/>
      <w:divBdr>
        <w:top w:val="none" w:sz="0" w:space="0" w:color="auto"/>
        <w:left w:val="none" w:sz="0" w:space="0" w:color="auto"/>
        <w:bottom w:val="none" w:sz="0" w:space="0" w:color="auto"/>
        <w:right w:val="none" w:sz="0" w:space="0" w:color="auto"/>
      </w:divBdr>
    </w:div>
    <w:div w:id="1768961261">
      <w:bodyDiv w:val="1"/>
      <w:marLeft w:val="0"/>
      <w:marRight w:val="0"/>
      <w:marTop w:val="0"/>
      <w:marBottom w:val="0"/>
      <w:divBdr>
        <w:top w:val="none" w:sz="0" w:space="0" w:color="auto"/>
        <w:left w:val="none" w:sz="0" w:space="0" w:color="auto"/>
        <w:bottom w:val="none" w:sz="0" w:space="0" w:color="auto"/>
        <w:right w:val="none" w:sz="0" w:space="0" w:color="auto"/>
      </w:divBdr>
    </w:div>
    <w:div w:id="1788085074">
      <w:bodyDiv w:val="1"/>
      <w:marLeft w:val="0"/>
      <w:marRight w:val="0"/>
      <w:marTop w:val="0"/>
      <w:marBottom w:val="0"/>
      <w:divBdr>
        <w:top w:val="none" w:sz="0" w:space="0" w:color="auto"/>
        <w:left w:val="none" w:sz="0" w:space="0" w:color="auto"/>
        <w:bottom w:val="none" w:sz="0" w:space="0" w:color="auto"/>
        <w:right w:val="none" w:sz="0" w:space="0" w:color="auto"/>
      </w:divBdr>
    </w:div>
    <w:div w:id="1977643504">
      <w:bodyDiv w:val="1"/>
      <w:marLeft w:val="0"/>
      <w:marRight w:val="0"/>
      <w:marTop w:val="0"/>
      <w:marBottom w:val="0"/>
      <w:divBdr>
        <w:top w:val="none" w:sz="0" w:space="0" w:color="auto"/>
        <w:left w:val="none" w:sz="0" w:space="0" w:color="auto"/>
        <w:bottom w:val="none" w:sz="0" w:space="0" w:color="auto"/>
        <w:right w:val="none" w:sz="0" w:space="0" w:color="auto"/>
      </w:divBdr>
    </w:div>
    <w:div w:id="1993875470">
      <w:bodyDiv w:val="1"/>
      <w:marLeft w:val="0"/>
      <w:marRight w:val="0"/>
      <w:marTop w:val="0"/>
      <w:marBottom w:val="0"/>
      <w:divBdr>
        <w:top w:val="none" w:sz="0" w:space="0" w:color="auto"/>
        <w:left w:val="none" w:sz="0" w:space="0" w:color="auto"/>
        <w:bottom w:val="none" w:sz="0" w:space="0" w:color="auto"/>
        <w:right w:val="none" w:sz="0" w:space="0" w:color="auto"/>
      </w:divBdr>
    </w:div>
    <w:div w:id="1996761735">
      <w:bodyDiv w:val="1"/>
      <w:marLeft w:val="0"/>
      <w:marRight w:val="0"/>
      <w:marTop w:val="0"/>
      <w:marBottom w:val="0"/>
      <w:divBdr>
        <w:top w:val="none" w:sz="0" w:space="0" w:color="auto"/>
        <w:left w:val="none" w:sz="0" w:space="0" w:color="auto"/>
        <w:bottom w:val="none" w:sz="0" w:space="0" w:color="auto"/>
        <w:right w:val="none" w:sz="0" w:space="0" w:color="auto"/>
      </w:divBdr>
    </w:div>
    <w:div w:id="2010979838">
      <w:bodyDiv w:val="1"/>
      <w:marLeft w:val="0"/>
      <w:marRight w:val="0"/>
      <w:marTop w:val="0"/>
      <w:marBottom w:val="0"/>
      <w:divBdr>
        <w:top w:val="none" w:sz="0" w:space="0" w:color="auto"/>
        <w:left w:val="none" w:sz="0" w:space="0" w:color="auto"/>
        <w:bottom w:val="none" w:sz="0" w:space="0" w:color="auto"/>
        <w:right w:val="none" w:sz="0" w:space="0" w:color="auto"/>
      </w:divBdr>
    </w:div>
    <w:div w:id="203465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gov/sba/grants/resources-for-state-agencies/grant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gov/sba/grants/resources-for-state-agencies/grantor/" TargetMode="External"/><Relationship Id="rId5" Type="http://schemas.openxmlformats.org/officeDocument/2006/relationships/hyperlink" Target="https://www.in.gov/sba/grants/resources-for-state-agencies/grantor/" TargetMode="External"/><Relationship Id="rId4" Type="http://schemas.openxmlformats.org/officeDocument/2006/relationships/hyperlink" Target="https://www.in.gov/sba/grants/ecivis-implementation-inform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Mehrlich, Jessica</dc:creator>
  <cp:keywords/>
  <dc:description/>
  <cp:lastModifiedBy>Mehrlich, Jessica</cp:lastModifiedBy>
  <cp:revision>1</cp:revision>
  <dcterms:created xsi:type="dcterms:W3CDTF">2024-10-22T17:24:00Z</dcterms:created>
  <dcterms:modified xsi:type="dcterms:W3CDTF">2024-10-22T17:26:00Z</dcterms:modified>
</cp:coreProperties>
</file>