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9360"/>
      </w:tblGrid>
      <w:tr w:rsidR="00E91BEE" w:rsidRPr="00E91BEE" w14:paraId="770C3200" w14:textId="77777777">
        <w:tc>
          <w:tcPr>
            <w:tcW w:w="0" w:type="auto"/>
            <w:vAlign w:val="center"/>
            <w:hideMark/>
          </w:tcPr>
          <w:p w14:paraId="43C4FC34" w14:textId="77777777" w:rsidR="00E91BEE" w:rsidRPr="00E91BEE" w:rsidRDefault="00E91BEE" w:rsidP="00E91BEE">
            <w:pPr>
              <w:jc w:val="right"/>
            </w:pPr>
            <w:r w:rsidRPr="00E91BEE">
              <w:t>Special Edition # 12: December 17, 2025</w:t>
            </w:r>
          </w:p>
        </w:tc>
      </w:tr>
    </w:tbl>
    <w:p w14:paraId="29E72569" w14:textId="77777777" w:rsidR="00E91BEE" w:rsidRPr="00E91BEE" w:rsidRDefault="00E91BEE" w:rsidP="00E91BEE">
      <w:pPr>
        <w:rPr>
          <w:vanish/>
        </w:rPr>
      </w:pPr>
    </w:p>
    <w:tbl>
      <w:tblPr>
        <w:tblW w:w="5000" w:type="pct"/>
        <w:tblCellMar>
          <w:left w:w="0" w:type="dxa"/>
          <w:right w:w="0" w:type="dxa"/>
        </w:tblCellMar>
        <w:tblLook w:val="04A0" w:firstRow="1" w:lastRow="0" w:firstColumn="1" w:lastColumn="0" w:noHBand="0" w:noVBand="1"/>
      </w:tblPr>
      <w:tblGrid>
        <w:gridCol w:w="9360"/>
      </w:tblGrid>
      <w:tr w:rsidR="00E91BEE" w:rsidRPr="00E91BEE" w14:paraId="739F27BC"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360"/>
            </w:tblGrid>
            <w:tr w:rsidR="00E91BEE" w:rsidRPr="00E91BEE" w14:paraId="55B17A92" w14:textId="77777777">
              <w:tc>
                <w:tcPr>
                  <w:tcW w:w="0" w:type="auto"/>
                  <w:vAlign w:val="center"/>
                  <w:hideMark/>
                </w:tcPr>
                <w:p w14:paraId="2392E6EB" w14:textId="650E52FC" w:rsidR="00E91BEE" w:rsidRPr="00E91BEE" w:rsidRDefault="00E91BEE" w:rsidP="00E91BEE">
                  <w:pPr>
                    <w:jc w:val="center"/>
                  </w:pPr>
                  <w:r w:rsidRPr="00E91BEE">
                    <w:drawing>
                      <wp:inline distT="0" distB="0" distL="0" distR="0" wp14:anchorId="08C5789F" wp14:editId="1DB3C389">
                        <wp:extent cx="1905000" cy="1619250"/>
                        <wp:effectExtent l="0" t="0" r="0" b="0"/>
                        <wp:docPr id="1264732022" name="Picture 6" descr="Indiana State Budge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ndiana State Budget Agency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5000" cy="1619250"/>
                                </a:xfrm>
                                <a:prstGeom prst="rect">
                                  <a:avLst/>
                                </a:prstGeom>
                                <a:noFill/>
                                <a:ln>
                                  <a:noFill/>
                                </a:ln>
                              </pic:spPr>
                            </pic:pic>
                          </a:graphicData>
                        </a:graphic>
                      </wp:inline>
                    </w:drawing>
                  </w:r>
                </w:p>
              </w:tc>
            </w:tr>
          </w:tbl>
          <w:p w14:paraId="14B80B88" w14:textId="77777777" w:rsidR="00E91BEE" w:rsidRPr="00E91BEE" w:rsidRDefault="00E91BEE" w:rsidP="00E91BEE"/>
        </w:tc>
      </w:tr>
    </w:tbl>
    <w:p w14:paraId="3BC45481" w14:textId="77777777" w:rsidR="00E91BEE" w:rsidRPr="00E91BEE" w:rsidRDefault="00E91BEE" w:rsidP="00E91BEE">
      <w:pPr>
        <w:rPr>
          <w:vanish/>
        </w:rPr>
      </w:pPr>
    </w:p>
    <w:tbl>
      <w:tblPr>
        <w:tblW w:w="5000" w:type="pct"/>
        <w:shd w:val="clear" w:color="auto" w:fill="000033"/>
        <w:tblCellMar>
          <w:left w:w="0" w:type="dxa"/>
          <w:right w:w="0" w:type="dxa"/>
        </w:tblCellMar>
        <w:tblLook w:val="04A0" w:firstRow="1" w:lastRow="0" w:firstColumn="1" w:lastColumn="0" w:noHBand="0" w:noVBand="1"/>
      </w:tblPr>
      <w:tblGrid>
        <w:gridCol w:w="9360"/>
      </w:tblGrid>
      <w:tr w:rsidR="00E91BEE" w:rsidRPr="00E91BEE" w14:paraId="4519149E" w14:textId="77777777">
        <w:tc>
          <w:tcPr>
            <w:tcW w:w="0" w:type="auto"/>
            <w:shd w:val="clear" w:color="auto" w:fill="000033"/>
            <w:tcMar>
              <w:top w:w="150" w:type="dxa"/>
              <w:left w:w="0" w:type="dxa"/>
              <w:bottom w:w="150" w:type="dxa"/>
              <w:right w:w="0" w:type="dxa"/>
            </w:tcMar>
            <w:vAlign w:val="center"/>
            <w:hideMark/>
          </w:tcPr>
          <w:p w14:paraId="75EAA06B" w14:textId="77777777" w:rsidR="00E91BEE" w:rsidRPr="00E91BEE" w:rsidRDefault="00E91BEE" w:rsidP="00E91BEE">
            <w:pPr>
              <w:jc w:val="center"/>
              <w:rPr>
                <w:b/>
                <w:bCs/>
              </w:rPr>
            </w:pPr>
            <w:r w:rsidRPr="00E91BEE">
              <w:rPr>
                <w:b/>
                <w:bCs/>
              </w:rPr>
              <w:t xml:space="preserve">Ensuring that Indiana’s priorities are funded today </w:t>
            </w:r>
            <w:r w:rsidRPr="00E91BEE">
              <w:rPr>
                <w:b/>
                <w:bCs/>
                <w:u w:val="single"/>
              </w:rPr>
              <w:t>and</w:t>
            </w:r>
            <w:r w:rsidRPr="00E91BEE">
              <w:rPr>
                <w:b/>
                <w:bCs/>
              </w:rPr>
              <w:t xml:space="preserve"> tomorrow.</w:t>
            </w:r>
          </w:p>
        </w:tc>
      </w:tr>
    </w:tbl>
    <w:p w14:paraId="6E38D307" w14:textId="77777777" w:rsidR="00E91BEE" w:rsidRPr="00E91BEE" w:rsidRDefault="00E91BEE" w:rsidP="00E91BEE">
      <w:pPr>
        <w:rPr>
          <w:vanish/>
        </w:rPr>
      </w:pPr>
    </w:p>
    <w:tbl>
      <w:tblPr>
        <w:tblW w:w="5000" w:type="pct"/>
        <w:tblCellMar>
          <w:left w:w="0" w:type="dxa"/>
          <w:right w:w="0" w:type="dxa"/>
        </w:tblCellMar>
        <w:tblLook w:val="04A0" w:firstRow="1" w:lastRow="0" w:firstColumn="1" w:lastColumn="0" w:noHBand="0" w:noVBand="1"/>
      </w:tblPr>
      <w:tblGrid>
        <w:gridCol w:w="9360"/>
      </w:tblGrid>
      <w:tr w:rsidR="00E91BEE" w:rsidRPr="00E91BEE" w14:paraId="427C18CE" w14:textId="77777777">
        <w:tc>
          <w:tcPr>
            <w:tcW w:w="0" w:type="auto"/>
            <w:tcMar>
              <w:top w:w="90" w:type="dxa"/>
              <w:left w:w="0" w:type="dxa"/>
              <w:bottom w:w="0" w:type="dxa"/>
              <w:right w:w="0" w:type="dxa"/>
            </w:tcMar>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360"/>
            </w:tblGrid>
            <w:tr w:rsidR="00E91BEE" w:rsidRPr="00E91BEE" w14:paraId="6E962D8B" w14:textId="77777777">
              <w:tc>
                <w:tcPr>
                  <w:tcW w:w="0" w:type="auto"/>
                  <w:shd w:val="clear" w:color="auto" w:fill="FFFFFF"/>
                  <w:tcMar>
                    <w:top w:w="150" w:type="dxa"/>
                    <w:left w:w="150" w:type="dxa"/>
                    <w:bottom w:w="150" w:type="dxa"/>
                    <w:right w:w="150" w:type="dxa"/>
                  </w:tcMar>
                  <w:vAlign w:val="center"/>
                  <w:hideMark/>
                </w:tcPr>
                <w:p w14:paraId="1504A763" w14:textId="77777777" w:rsidR="00E91BEE" w:rsidRPr="00E91BEE" w:rsidRDefault="00E91BEE" w:rsidP="00E91BEE">
                  <w:pPr>
                    <w:jc w:val="center"/>
                    <w:rPr>
                      <w:b/>
                      <w:bCs/>
                      <w:sz w:val="32"/>
                      <w:szCs w:val="32"/>
                    </w:rPr>
                  </w:pPr>
                  <w:r w:rsidRPr="00E91BEE">
                    <w:rPr>
                      <w:b/>
                      <w:bCs/>
                      <w:sz w:val="32"/>
                      <w:szCs w:val="32"/>
                    </w:rPr>
                    <w:t>The Euna Grants Update:</w:t>
                  </w:r>
                  <w:r w:rsidRPr="00E91BEE">
                    <w:rPr>
                      <w:b/>
                      <w:bCs/>
                      <w:sz w:val="32"/>
                      <w:szCs w:val="32"/>
                    </w:rPr>
                    <w:br/>
                    <w:t>AmpliFund Implementation Timeline</w:t>
                  </w:r>
                </w:p>
              </w:tc>
            </w:tr>
          </w:tbl>
          <w:p w14:paraId="125E30A0" w14:textId="77777777" w:rsidR="00E91BEE" w:rsidRPr="00E91BEE" w:rsidRDefault="00E91BEE" w:rsidP="00E91BEE">
            <w:pPr>
              <w:jc w:val="center"/>
            </w:pPr>
          </w:p>
        </w:tc>
      </w:tr>
    </w:tbl>
    <w:p w14:paraId="2DD076E5" w14:textId="77777777" w:rsidR="00E91BEE" w:rsidRPr="00E91BEE" w:rsidRDefault="00E91BEE" w:rsidP="00E91BEE">
      <w:pPr>
        <w:jc w:val="center"/>
        <w:rPr>
          <w:vanish/>
        </w:rPr>
      </w:pPr>
    </w:p>
    <w:tbl>
      <w:tblPr>
        <w:tblW w:w="5000" w:type="pct"/>
        <w:tblCellMar>
          <w:left w:w="0" w:type="dxa"/>
          <w:right w:w="0" w:type="dxa"/>
        </w:tblCellMar>
        <w:tblLook w:val="04A0" w:firstRow="1" w:lastRow="0" w:firstColumn="1" w:lastColumn="0" w:noHBand="0" w:noVBand="1"/>
      </w:tblPr>
      <w:tblGrid>
        <w:gridCol w:w="9360"/>
      </w:tblGrid>
      <w:tr w:rsidR="00E91BEE" w:rsidRPr="00E91BEE" w14:paraId="2F1BBA90" w14:textId="77777777">
        <w:tc>
          <w:tcPr>
            <w:tcW w:w="0" w:type="auto"/>
            <w:tcMar>
              <w:top w:w="180" w:type="dxa"/>
              <w:left w:w="0" w:type="dxa"/>
              <w:bottom w:w="0" w:type="dxa"/>
              <w:right w:w="0" w:type="dxa"/>
            </w:tcMar>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360"/>
            </w:tblGrid>
            <w:tr w:rsidR="00E91BEE" w:rsidRPr="00E91BEE" w14:paraId="649412A1" w14:textId="77777777">
              <w:tc>
                <w:tcPr>
                  <w:tcW w:w="0" w:type="auto"/>
                  <w:shd w:val="clear" w:color="auto" w:fill="FFFFFF"/>
                  <w:tcMar>
                    <w:top w:w="30" w:type="dxa"/>
                    <w:left w:w="30" w:type="dxa"/>
                    <w:bottom w:w="0" w:type="dxa"/>
                    <w:right w:w="30" w:type="dxa"/>
                  </w:tcMar>
                  <w:vAlign w:val="center"/>
                  <w:hideMark/>
                </w:tcPr>
                <w:p w14:paraId="316E03C9" w14:textId="2780E704" w:rsidR="00E91BEE" w:rsidRPr="00E91BEE" w:rsidRDefault="00E91BEE" w:rsidP="00E91BEE">
                  <w:pPr>
                    <w:jc w:val="center"/>
                  </w:pPr>
                  <w:r w:rsidRPr="00E91BEE">
                    <w:t>The acquisition of AmpliFund by Euna Solutions requires State of Indiana agencies</w:t>
                  </w:r>
                  <w:r w:rsidRPr="00E91BEE">
                    <w:br/>
                    <w:t>that provide funding to Subrecipients to transition to AmpliFund's Grant Maker tools.</w:t>
                  </w:r>
                  <w:r w:rsidRPr="00E91BEE">
                    <w:br/>
                  </w:r>
                  <w:r w:rsidRPr="00E91BEE">
                    <w:br/>
                  </w:r>
                </w:p>
              </w:tc>
            </w:tr>
          </w:tbl>
          <w:p w14:paraId="1F9B97D0" w14:textId="77777777" w:rsidR="00E91BEE" w:rsidRPr="00E91BEE" w:rsidRDefault="00E91BEE" w:rsidP="00E91BEE">
            <w:pPr>
              <w:jc w:val="center"/>
            </w:pPr>
          </w:p>
        </w:tc>
      </w:tr>
    </w:tbl>
    <w:p w14:paraId="55D10266" w14:textId="77777777" w:rsidR="00E91BEE" w:rsidRPr="00E91BEE" w:rsidRDefault="00E91BEE" w:rsidP="00E91BEE">
      <w:pPr>
        <w:rPr>
          <w:vanish/>
        </w:rPr>
      </w:pPr>
    </w:p>
    <w:tbl>
      <w:tblPr>
        <w:tblW w:w="5000" w:type="pct"/>
        <w:tblBorders>
          <w:top w:val="threeDEngrave" w:sz="6" w:space="0" w:color="000033"/>
          <w:left w:val="threeDEngrave" w:sz="6" w:space="0" w:color="000033"/>
          <w:bottom w:val="threeDEngrave" w:sz="6" w:space="0" w:color="000033"/>
          <w:right w:val="threeDEngrave" w:sz="6" w:space="0" w:color="000033"/>
        </w:tblBorders>
        <w:shd w:val="clear" w:color="auto" w:fill="FFFFFF"/>
        <w:tblCellMar>
          <w:left w:w="0" w:type="dxa"/>
          <w:right w:w="0" w:type="dxa"/>
        </w:tblCellMar>
        <w:tblLook w:val="04A0" w:firstRow="1" w:lastRow="0" w:firstColumn="1" w:lastColumn="0" w:noHBand="0" w:noVBand="1"/>
      </w:tblPr>
      <w:tblGrid>
        <w:gridCol w:w="9314"/>
      </w:tblGrid>
      <w:tr w:rsidR="00E91BEE" w:rsidRPr="00E91BEE" w14:paraId="5063DF37" w14:textId="77777777">
        <w:tc>
          <w:tcPr>
            <w:tcW w:w="0" w:type="auto"/>
            <w:tcBorders>
              <w:top w:val="threeDEngrave" w:sz="6" w:space="0" w:color="000033"/>
              <w:left w:val="threeDEngrave" w:sz="6" w:space="0" w:color="000033"/>
              <w:bottom w:val="threeDEngrave" w:sz="6" w:space="0" w:color="000033"/>
              <w:right w:val="threeDEngrave" w:sz="6" w:space="0" w:color="000033"/>
            </w:tcBorders>
            <w:shd w:val="clear" w:color="auto" w:fill="FFFFFF"/>
            <w:tcMar>
              <w:top w:w="150" w:type="dxa"/>
              <w:left w:w="0" w:type="dxa"/>
              <w:bottom w:w="150" w:type="dxa"/>
              <w:right w:w="0" w:type="dxa"/>
            </w:tcMar>
            <w:vAlign w:val="center"/>
            <w:hideMark/>
          </w:tcPr>
          <w:p w14:paraId="4E55E5F6" w14:textId="77777777" w:rsidR="00E91BEE" w:rsidRPr="00E91BEE" w:rsidRDefault="00E91BEE" w:rsidP="00E91BEE">
            <w:pPr>
              <w:jc w:val="center"/>
              <w:rPr>
                <w:sz w:val="32"/>
                <w:szCs w:val="32"/>
              </w:rPr>
            </w:pPr>
            <w:r w:rsidRPr="00E91BEE">
              <w:rPr>
                <w:b/>
                <w:bCs/>
                <w:sz w:val="32"/>
                <w:szCs w:val="32"/>
              </w:rPr>
              <w:t>When will my agency be in AmpliFund?</w:t>
            </w:r>
          </w:p>
        </w:tc>
      </w:tr>
    </w:tbl>
    <w:p w14:paraId="22771A72" w14:textId="77777777" w:rsidR="00E91BEE" w:rsidRPr="00E91BEE" w:rsidRDefault="00E91BEE" w:rsidP="00E91BEE">
      <w:pPr>
        <w:rPr>
          <w:vanish/>
        </w:rPr>
      </w:pPr>
    </w:p>
    <w:tbl>
      <w:tblPr>
        <w:tblW w:w="5000" w:type="pct"/>
        <w:tblCellMar>
          <w:left w:w="0" w:type="dxa"/>
          <w:right w:w="0" w:type="dxa"/>
        </w:tblCellMar>
        <w:tblLook w:val="04A0" w:firstRow="1" w:lastRow="0" w:firstColumn="1" w:lastColumn="0" w:noHBand="0" w:noVBand="1"/>
      </w:tblPr>
      <w:tblGrid>
        <w:gridCol w:w="9360"/>
      </w:tblGrid>
      <w:tr w:rsidR="00E91BEE" w:rsidRPr="00E91BEE" w14:paraId="4DFC8AE2" w14:textId="77777777">
        <w:tc>
          <w:tcPr>
            <w:tcW w:w="0" w:type="auto"/>
            <w:tcMar>
              <w:top w:w="90" w:type="dxa"/>
              <w:left w:w="0" w:type="dxa"/>
              <w:bottom w:w="0" w:type="dxa"/>
              <w:right w:w="0" w:type="dxa"/>
            </w:tcMar>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360"/>
            </w:tblGrid>
            <w:tr w:rsidR="00E91BEE" w:rsidRPr="00E91BEE" w14:paraId="02C516DA" w14:textId="77777777">
              <w:tc>
                <w:tcPr>
                  <w:tcW w:w="0" w:type="auto"/>
                  <w:shd w:val="clear" w:color="auto" w:fill="FFFFFF"/>
                  <w:tcMar>
                    <w:top w:w="150" w:type="dxa"/>
                    <w:left w:w="150" w:type="dxa"/>
                    <w:bottom w:w="150" w:type="dxa"/>
                    <w:right w:w="150" w:type="dxa"/>
                  </w:tcMar>
                  <w:vAlign w:val="center"/>
                  <w:hideMark/>
                </w:tcPr>
                <w:tbl>
                  <w:tblPr>
                    <w:tblW w:w="10590" w:type="dxa"/>
                    <w:tblLook w:val="04A0" w:firstRow="1" w:lastRow="0" w:firstColumn="1" w:lastColumn="0" w:noHBand="0" w:noVBand="1"/>
                  </w:tblPr>
                  <w:tblGrid>
                    <w:gridCol w:w="10590"/>
                  </w:tblGrid>
                  <w:tr w:rsidR="00E91BEE" w:rsidRPr="00E91BEE" w14:paraId="5F3AAD43" w14:textId="77777777">
                    <w:trPr>
                      <w:trHeight w:val="300"/>
                    </w:trPr>
                    <w:tc>
                      <w:tcPr>
                        <w:tcW w:w="10590" w:type="dxa"/>
                        <w:shd w:val="clear" w:color="auto" w:fill="FFFFFF"/>
                        <w:tcMar>
                          <w:top w:w="150" w:type="dxa"/>
                          <w:left w:w="150" w:type="dxa"/>
                          <w:bottom w:w="150" w:type="dxa"/>
                          <w:right w:w="150" w:type="dxa"/>
                        </w:tcMar>
                        <w:vAlign w:val="center"/>
                        <w:hideMark/>
                      </w:tcPr>
                      <w:p w14:paraId="4E3E5C9B" w14:textId="77777777" w:rsidR="00E91BEE" w:rsidRPr="00E91BEE" w:rsidRDefault="00E91BEE" w:rsidP="00E91BEE">
                        <w:r w:rsidRPr="00E91BEE">
                          <w:rPr>
                            <w:b/>
                            <w:bCs/>
                          </w:rPr>
                          <w:t>AmpliFund Implementation</w:t>
                        </w:r>
                        <w:r w:rsidRPr="00E91BEE">
                          <w:br/>
                        </w:r>
                        <w:r w:rsidRPr="00E91BEE">
                          <w:br/>
                          <w:t>Indiana State Agencies serving as Grant Makers will transition to AmpliFund with a goal of</w:t>
                        </w:r>
                        <w:r w:rsidRPr="00E91BEE">
                          <w:br/>
                          <w:t>ALL subrecipient programs being published in AmpliFund beginning July 1, 2026.</w:t>
                        </w:r>
                        <w:r w:rsidRPr="00E91BEE">
                          <w:br/>
                          <w:t> </w:t>
                        </w:r>
                      </w:p>
                      <w:p w14:paraId="4973944E" w14:textId="77777777" w:rsidR="00E91BEE" w:rsidRPr="00E91BEE" w:rsidRDefault="00E91BEE" w:rsidP="00E91BEE">
                        <w:pPr>
                          <w:ind w:left="720"/>
                        </w:pPr>
                        <w:r w:rsidRPr="00E91BEE">
                          <w:t>Stage 1: Kickoff and Demos, Grants Management Discovery, Design, Configuration, &amp; Testing</w:t>
                        </w:r>
                        <w:r w:rsidRPr="00E91BEE">
                          <w:br/>
                          <w:t>Stage 2: Training &amp; Deployment (by grant program)</w:t>
                        </w:r>
                      </w:p>
                      <w:p w14:paraId="720D40AF" w14:textId="00968672" w:rsidR="00E91BEE" w:rsidRPr="00E91BEE" w:rsidRDefault="00E91BEE" w:rsidP="00E91BEE">
                        <w:r w:rsidRPr="00E91BEE">
                          <w:t> </w:t>
                        </w:r>
                        <w:r w:rsidRPr="00E91BEE">
                          <w:br/>
                        </w:r>
                        <w:r w:rsidRPr="00E91BEE">
                          <w:rPr>
                            <w:b/>
                            <w:bCs/>
                          </w:rPr>
                          <w:t>Stage 1 Timeline*, as of December 17, 2025</w:t>
                        </w:r>
                      </w:p>
                      <w:p w14:paraId="600EB309" w14:textId="6D5DEDC2" w:rsidR="00E91BEE" w:rsidRPr="00E91BEE" w:rsidRDefault="00E91BEE" w:rsidP="00E91BEE">
                        <w:r w:rsidRPr="00E91BEE">
                          <w:drawing>
                            <wp:inline distT="0" distB="0" distL="0" distR="0" wp14:anchorId="1AB11A25" wp14:editId="6FD37170">
                              <wp:extent cx="5721350" cy="1219200"/>
                              <wp:effectExtent l="0" t="0" r="0" b="0"/>
                              <wp:docPr id="1663860191" name="Picture 5" descr="Stage 1 Cohort 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tage 1 Cohort Timeli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21350" cy="1219200"/>
                                      </a:xfrm>
                                      <a:prstGeom prst="rect">
                                        <a:avLst/>
                                      </a:prstGeom>
                                      <a:noFill/>
                                      <a:ln>
                                        <a:noFill/>
                                      </a:ln>
                                    </pic:spPr>
                                  </pic:pic>
                                </a:graphicData>
                              </a:graphic>
                            </wp:inline>
                          </w:drawing>
                        </w:r>
                      </w:p>
                      <w:p w14:paraId="2EF745BA" w14:textId="77777777" w:rsidR="00E91BEE" w:rsidRPr="00E91BEE" w:rsidRDefault="00E91BEE" w:rsidP="00E91BEE">
                        <w:r w:rsidRPr="00E91BEE">
                          <w:rPr>
                            <w:i/>
                            <w:iCs/>
                          </w:rPr>
                          <w:t>*Don’t see your agency? More info is coming soon!</w:t>
                        </w:r>
                        <w:r w:rsidRPr="00E91BEE">
                          <w:br/>
                          <w:t> </w:t>
                        </w:r>
                      </w:p>
                    </w:tc>
                  </w:tr>
                </w:tbl>
                <w:p w14:paraId="6915C21F" w14:textId="77777777" w:rsidR="00E91BEE" w:rsidRPr="00E91BEE" w:rsidRDefault="00E91BEE" w:rsidP="00E91BEE"/>
              </w:tc>
            </w:tr>
          </w:tbl>
          <w:p w14:paraId="5E0A58C6" w14:textId="77777777" w:rsidR="00E91BEE" w:rsidRPr="00E91BEE" w:rsidRDefault="00E91BEE" w:rsidP="00E91BEE"/>
        </w:tc>
      </w:tr>
    </w:tbl>
    <w:p w14:paraId="6C68E09B" w14:textId="77777777" w:rsidR="00E91BEE" w:rsidRPr="00E91BEE" w:rsidRDefault="00E91BEE" w:rsidP="00E91BEE">
      <w:pPr>
        <w:rPr>
          <w:vanish/>
        </w:rPr>
      </w:pPr>
    </w:p>
    <w:tbl>
      <w:tblPr>
        <w:tblW w:w="5000" w:type="pct"/>
        <w:tblBorders>
          <w:top w:val="threeDEngrave" w:sz="6" w:space="0" w:color="000033"/>
          <w:left w:val="threeDEngrave" w:sz="6" w:space="0" w:color="000033"/>
          <w:bottom w:val="threeDEngrave" w:sz="6" w:space="0" w:color="000033"/>
          <w:right w:val="threeDEngrave" w:sz="6" w:space="0" w:color="000033"/>
        </w:tblBorders>
        <w:shd w:val="clear" w:color="auto" w:fill="FFFFFF"/>
        <w:tblCellMar>
          <w:left w:w="0" w:type="dxa"/>
          <w:right w:w="0" w:type="dxa"/>
        </w:tblCellMar>
        <w:tblLook w:val="04A0" w:firstRow="1" w:lastRow="0" w:firstColumn="1" w:lastColumn="0" w:noHBand="0" w:noVBand="1"/>
      </w:tblPr>
      <w:tblGrid>
        <w:gridCol w:w="9314"/>
      </w:tblGrid>
      <w:tr w:rsidR="00E91BEE" w:rsidRPr="00E91BEE" w14:paraId="03586872" w14:textId="77777777">
        <w:tc>
          <w:tcPr>
            <w:tcW w:w="0" w:type="auto"/>
            <w:tcBorders>
              <w:top w:val="threeDEngrave" w:sz="6" w:space="0" w:color="000033"/>
              <w:left w:val="threeDEngrave" w:sz="6" w:space="0" w:color="000033"/>
              <w:bottom w:val="threeDEngrave" w:sz="6" w:space="0" w:color="000033"/>
              <w:right w:val="threeDEngrave" w:sz="6" w:space="0" w:color="000033"/>
            </w:tcBorders>
            <w:shd w:val="clear" w:color="auto" w:fill="FFFFFF"/>
            <w:tcMar>
              <w:top w:w="150" w:type="dxa"/>
              <w:left w:w="0" w:type="dxa"/>
              <w:bottom w:w="150" w:type="dxa"/>
              <w:right w:w="0" w:type="dxa"/>
            </w:tcMar>
            <w:vAlign w:val="center"/>
            <w:hideMark/>
          </w:tcPr>
          <w:p w14:paraId="0E7D98B7" w14:textId="77777777" w:rsidR="00E91BEE" w:rsidRPr="00E91BEE" w:rsidRDefault="00E91BEE" w:rsidP="00E91BEE">
            <w:pPr>
              <w:jc w:val="center"/>
              <w:rPr>
                <w:sz w:val="32"/>
                <w:szCs w:val="32"/>
              </w:rPr>
            </w:pPr>
            <w:r w:rsidRPr="00E91BEE">
              <w:rPr>
                <w:b/>
                <w:bCs/>
                <w:sz w:val="32"/>
                <w:szCs w:val="32"/>
              </w:rPr>
              <w:lastRenderedPageBreak/>
              <w:t>How can my team prepare?</w:t>
            </w:r>
          </w:p>
        </w:tc>
      </w:tr>
    </w:tbl>
    <w:p w14:paraId="71AB8739" w14:textId="77777777" w:rsidR="00E91BEE" w:rsidRPr="00E91BEE" w:rsidRDefault="00E91BEE" w:rsidP="00E91BEE">
      <w:pPr>
        <w:rPr>
          <w:vanish/>
        </w:rPr>
      </w:pPr>
    </w:p>
    <w:tbl>
      <w:tblPr>
        <w:tblW w:w="5000" w:type="pct"/>
        <w:tblCellMar>
          <w:left w:w="0" w:type="dxa"/>
          <w:right w:w="0" w:type="dxa"/>
        </w:tblCellMar>
        <w:tblLook w:val="04A0" w:firstRow="1" w:lastRow="0" w:firstColumn="1" w:lastColumn="0" w:noHBand="0" w:noVBand="1"/>
      </w:tblPr>
      <w:tblGrid>
        <w:gridCol w:w="9360"/>
      </w:tblGrid>
      <w:tr w:rsidR="00E91BEE" w:rsidRPr="00E91BEE" w14:paraId="6C85028C" w14:textId="77777777">
        <w:tc>
          <w:tcPr>
            <w:tcW w:w="0" w:type="auto"/>
            <w:tcMar>
              <w:top w:w="90" w:type="dxa"/>
              <w:left w:w="0" w:type="dxa"/>
              <w:bottom w:w="0" w:type="dxa"/>
              <w:right w:w="0" w:type="dxa"/>
            </w:tcMar>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360"/>
            </w:tblGrid>
            <w:tr w:rsidR="00E91BEE" w:rsidRPr="00E91BEE" w14:paraId="41F52F4C" w14:textId="77777777">
              <w:tc>
                <w:tcPr>
                  <w:tcW w:w="0" w:type="auto"/>
                  <w:shd w:val="clear" w:color="auto" w:fill="FFFFFF"/>
                  <w:tcMar>
                    <w:top w:w="150" w:type="dxa"/>
                    <w:left w:w="150" w:type="dxa"/>
                    <w:bottom w:w="150" w:type="dxa"/>
                    <w:right w:w="150" w:type="dxa"/>
                  </w:tcMar>
                  <w:vAlign w:val="center"/>
                  <w:hideMark/>
                </w:tcPr>
                <w:p w14:paraId="5C6F7D2E" w14:textId="77777777" w:rsidR="00E91BEE" w:rsidRPr="00E91BEE" w:rsidRDefault="00E91BEE" w:rsidP="00E91BEE">
                  <w:r w:rsidRPr="00E91BEE">
                    <w:rPr>
                      <w:b/>
                      <w:bCs/>
                    </w:rPr>
                    <w:t>Discovery Process Preparation</w:t>
                  </w:r>
                  <w:r w:rsidRPr="00E91BEE">
                    <w:br/>
                  </w:r>
                  <w:r w:rsidRPr="00E91BEE">
                    <w:br/>
                    <w:t xml:space="preserve">The Indiana SBA Grants Team has been gathering information about subrecipient funding programs and reaching out to agency Division Directors and Grants Management staff. In the discovery process, scheduled agencies and the SBA team will meet with Euna Solutions to perform a fit-gap analysis to state standards, evaluating agency workflows (program and finance), user roles, report requirements, etc. </w:t>
                  </w:r>
                  <w:r w:rsidRPr="00E91BEE">
                    <w:br/>
                  </w:r>
                  <w:r w:rsidRPr="00E91BEE">
                    <w:br/>
                    <w:t>Here are ways that Indiana State Agencies can prepare:</w:t>
                  </w:r>
                </w:p>
                <w:p w14:paraId="3C224812" w14:textId="77777777" w:rsidR="00E91BEE" w:rsidRPr="00E91BEE" w:rsidRDefault="00E91BEE" w:rsidP="00E91BEE">
                  <w:pPr>
                    <w:numPr>
                      <w:ilvl w:val="0"/>
                      <w:numId w:val="1"/>
                    </w:numPr>
                  </w:pPr>
                  <w:r w:rsidRPr="00E91BEE">
                    <w:t>Develop an inventory of grants and awards</w:t>
                  </w:r>
                </w:p>
                <w:p w14:paraId="0A33A5C5" w14:textId="77777777" w:rsidR="00E91BEE" w:rsidRPr="00E91BEE" w:rsidRDefault="00E91BEE" w:rsidP="00E91BEE">
                  <w:pPr>
                    <w:numPr>
                      <w:ilvl w:val="1"/>
                      <w:numId w:val="1"/>
                    </w:numPr>
                  </w:pPr>
                  <w:r w:rsidRPr="00E91BEE">
                    <w:t>Assess current workflows</w:t>
                  </w:r>
                </w:p>
                <w:p w14:paraId="7A6B3820" w14:textId="77777777" w:rsidR="00E91BEE" w:rsidRPr="00E91BEE" w:rsidRDefault="00E91BEE" w:rsidP="00E91BEE">
                  <w:pPr>
                    <w:numPr>
                      <w:ilvl w:val="1"/>
                      <w:numId w:val="1"/>
                    </w:numPr>
                  </w:pPr>
                  <w:r w:rsidRPr="00E91BEE">
                    <w:t>Establish a calendar of activities (solicitation release dates, application periods, etc.)</w:t>
                  </w:r>
                </w:p>
                <w:p w14:paraId="7E55215A" w14:textId="77777777" w:rsidR="00E91BEE" w:rsidRPr="00E91BEE" w:rsidRDefault="00E91BEE" w:rsidP="00E91BEE">
                  <w:pPr>
                    <w:numPr>
                      <w:ilvl w:val="1"/>
                      <w:numId w:val="1"/>
                    </w:numPr>
                  </w:pPr>
                  <w:r w:rsidRPr="00E91BEE">
                    <w:t>Assess who from your agency needs to be involved (finance and program staff)</w:t>
                  </w:r>
                </w:p>
                <w:p w14:paraId="22ED721B" w14:textId="77777777" w:rsidR="00E91BEE" w:rsidRPr="00E91BEE" w:rsidRDefault="00E91BEE" w:rsidP="00E91BEE">
                  <w:pPr>
                    <w:numPr>
                      <w:ilvl w:val="0"/>
                      <w:numId w:val="1"/>
                    </w:numPr>
                  </w:pPr>
                  <w:r w:rsidRPr="00E91BEE">
                    <w:t>Compile all SOP (Standard Operating Procedure) documents your agency has created describing the grant making process/ lifecycle.</w:t>
                  </w:r>
                </w:p>
                <w:p w14:paraId="0A3F4BC1" w14:textId="77777777" w:rsidR="00E91BEE" w:rsidRPr="00E91BEE" w:rsidRDefault="00E91BEE" w:rsidP="00E91BEE">
                  <w:pPr>
                    <w:numPr>
                      <w:ilvl w:val="1"/>
                      <w:numId w:val="1"/>
                    </w:numPr>
                  </w:pPr>
                  <w:r w:rsidRPr="00E91BEE">
                    <w:t>Update these to align with current practices, including Euna Grants implementation, PeopleSoft Financials, &amp; the SCM (Supplier Contracts Management) module.</w:t>
                  </w:r>
                </w:p>
                <w:p w14:paraId="3949EBB4" w14:textId="77777777" w:rsidR="00E91BEE" w:rsidRPr="00E91BEE" w:rsidRDefault="00E91BEE" w:rsidP="00E91BEE">
                  <w:pPr>
                    <w:numPr>
                      <w:ilvl w:val="1"/>
                      <w:numId w:val="1"/>
                    </w:numPr>
                  </w:pPr>
                  <w:r w:rsidRPr="00E91BEE">
                    <w:t>Ensure all stakeholders are involved in its creation &amp; review.</w:t>
                  </w:r>
                </w:p>
                <w:p w14:paraId="63E421E5" w14:textId="77777777" w:rsidR="00E91BEE" w:rsidRPr="00E91BEE" w:rsidRDefault="00E91BEE" w:rsidP="00E91BEE">
                  <w:r w:rsidRPr="00E91BEE">
                    <w:t xml:space="preserve">Please discuss your role in this process with agency leadership. </w:t>
                  </w:r>
                  <w:r w:rsidRPr="00E91BEE">
                    <w:br/>
                    <w:t> </w:t>
                  </w:r>
                </w:p>
              </w:tc>
            </w:tr>
          </w:tbl>
          <w:p w14:paraId="76246008" w14:textId="77777777" w:rsidR="00E91BEE" w:rsidRPr="00E91BEE" w:rsidRDefault="00E91BEE" w:rsidP="00E91BEE"/>
        </w:tc>
      </w:tr>
    </w:tbl>
    <w:p w14:paraId="45BFA793" w14:textId="77777777" w:rsidR="00E91BEE" w:rsidRPr="00E91BEE" w:rsidRDefault="00E91BEE" w:rsidP="00E91BEE">
      <w:pPr>
        <w:rPr>
          <w:vanish/>
        </w:rPr>
      </w:pPr>
    </w:p>
    <w:tbl>
      <w:tblPr>
        <w:tblW w:w="5000" w:type="pct"/>
        <w:tblBorders>
          <w:top w:val="threeDEngrave" w:sz="6" w:space="0" w:color="000033"/>
          <w:left w:val="threeDEngrave" w:sz="6" w:space="0" w:color="000033"/>
          <w:bottom w:val="threeDEngrave" w:sz="6" w:space="0" w:color="000033"/>
          <w:right w:val="threeDEngrave" w:sz="6" w:space="0" w:color="000033"/>
        </w:tblBorders>
        <w:shd w:val="clear" w:color="auto" w:fill="FFFFFF"/>
        <w:tblCellMar>
          <w:left w:w="0" w:type="dxa"/>
          <w:right w:w="0" w:type="dxa"/>
        </w:tblCellMar>
        <w:tblLook w:val="04A0" w:firstRow="1" w:lastRow="0" w:firstColumn="1" w:lastColumn="0" w:noHBand="0" w:noVBand="1"/>
      </w:tblPr>
      <w:tblGrid>
        <w:gridCol w:w="9314"/>
      </w:tblGrid>
      <w:tr w:rsidR="00E91BEE" w:rsidRPr="00E91BEE" w14:paraId="7F76F1FC" w14:textId="77777777">
        <w:tc>
          <w:tcPr>
            <w:tcW w:w="0" w:type="auto"/>
            <w:tcBorders>
              <w:top w:val="threeDEngrave" w:sz="6" w:space="0" w:color="000033"/>
              <w:left w:val="threeDEngrave" w:sz="6" w:space="0" w:color="000033"/>
              <w:bottom w:val="threeDEngrave" w:sz="6" w:space="0" w:color="000033"/>
              <w:right w:val="threeDEngrave" w:sz="6" w:space="0" w:color="000033"/>
            </w:tcBorders>
            <w:shd w:val="clear" w:color="auto" w:fill="FFFFFF"/>
            <w:tcMar>
              <w:top w:w="150" w:type="dxa"/>
              <w:left w:w="0" w:type="dxa"/>
              <w:bottom w:w="150" w:type="dxa"/>
              <w:right w:w="0" w:type="dxa"/>
            </w:tcMar>
            <w:vAlign w:val="center"/>
            <w:hideMark/>
          </w:tcPr>
          <w:p w14:paraId="648C8FD6" w14:textId="77777777" w:rsidR="00E91BEE" w:rsidRPr="00E91BEE" w:rsidRDefault="00E91BEE" w:rsidP="00E91BEE">
            <w:pPr>
              <w:jc w:val="center"/>
              <w:rPr>
                <w:sz w:val="32"/>
                <w:szCs w:val="32"/>
              </w:rPr>
            </w:pPr>
            <w:r w:rsidRPr="00E91BEE">
              <w:rPr>
                <w:b/>
                <w:bCs/>
                <w:sz w:val="32"/>
                <w:szCs w:val="32"/>
              </w:rPr>
              <w:t>Resources for State Agencies/ Training Materials</w:t>
            </w:r>
          </w:p>
        </w:tc>
      </w:tr>
    </w:tbl>
    <w:p w14:paraId="112E4A4F" w14:textId="77777777" w:rsidR="00E91BEE" w:rsidRPr="00E91BEE" w:rsidRDefault="00E91BEE" w:rsidP="00E91BEE">
      <w:pPr>
        <w:rPr>
          <w:vanish/>
        </w:rPr>
      </w:pPr>
    </w:p>
    <w:tbl>
      <w:tblPr>
        <w:tblW w:w="5000" w:type="pct"/>
        <w:tblCellMar>
          <w:left w:w="0" w:type="dxa"/>
          <w:right w:w="0" w:type="dxa"/>
        </w:tblCellMar>
        <w:tblLook w:val="04A0" w:firstRow="1" w:lastRow="0" w:firstColumn="1" w:lastColumn="0" w:noHBand="0" w:noVBand="1"/>
      </w:tblPr>
      <w:tblGrid>
        <w:gridCol w:w="9360"/>
      </w:tblGrid>
      <w:tr w:rsidR="00E91BEE" w:rsidRPr="00E91BEE" w14:paraId="04FC2F90" w14:textId="77777777">
        <w:tc>
          <w:tcPr>
            <w:tcW w:w="0" w:type="auto"/>
            <w:tcMar>
              <w:top w:w="90" w:type="dxa"/>
              <w:left w:w="0" w:type="dxa"/>
              <w:bottom w:w="0" w:type="dxa"/>
              <w:right w:w="0" w:type="dxa"/>
            </w:tcMar>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360"/>
            </w:tblGrid>
            <w:tr w:rsidR="00E91BEE" w:rsidRPr="00E91BEE" w14:paraId="4588DEDA" w14:textId="77777777">
              <w:tc>
                <w:tcPr>
                  <w:tcW w:w="0" w:type="auto"/>
                  <w:shd w:val="clear" w:color="auto" w:fill="FFFFFF"/>
                  <w:tcMar>
                    <w:top w:w="150" w:type="dxa"/>
                    <w:left w:w="150" w:type="dxa"/>
                    <w:bottom w:w="150" w:type="dxa"/>
                    <w:right w:w="150" w:type="dxa"/>
                  </w:tcMar>
                  <w:vAlign w:val="center"/>
                  <w:hideMark/>
                </w:tcPr>
                <w:p w14:paraId="37E5729F" w14:textId="77777777" w:rsidR="00E91BEE" w:rsidRPr="00E91BEE" w:rsidRDefault="00E91BEE" w:rsidP="00E91BEE">
                  <w:r w:rsidRPr="00E91BEE">
                    <w:rPr>
                      <w:b/>
                      <w:bCs/>
                    </w:rPr>
                    <w:t xml:space="preserve">Want to see more about </w:t>
                  </w:r>
                  <w:r w:rsidRPr="00E91BEE">
                    <w:rPr>
                      <w:b/>
                      <w:bCs/>
                      <w:i/>
                      <w:iCs/>
                    </w:rPr>
                    <w:t>Euna Grants, Powered by AmpliFund</w:t>
                  </w:r>
                  <w:r w:rsidRPr="00E91BEE">
                    <w:rPr>
                      <w:b/>
                      <w:bCs/>
                    </w:rPr>
                    <w:t>?</w:t>
                  </w:r>
                </w:p>
                <w:p w14:paraId="786B00E5" w14:textId="77777777" w:rsidR="00E91BEE" w:rsidRPr="00E91BEE" w:rsidRDefault="00E91BEE" w:rsidP="00E91BEE">
                  <w:pPr>
                    <w:numPr>
                      <w:ilvl w:val="0"/>
                      <w:numId w:val="2"/>
                    </w:numPr>
                  </w:pPr>
                  <w:hyperlink r:id="rId7" w:tooltip="AmpliFund Grant Maker Demonstration Video" w:history="1">
                    <w:r w:rsidRPr="00E91BEE">
                      <w:rPr>
                        <w:rStyle w:val="Hyperlink"/>
                      </w:rPr>
                      <w:t>AmpliFund Grant Maker Demonstration Video</w:t>
                    </w:r>
                  </w:hyperlink>
                  <w:r w:rsidRPr="00E91BEE">
                    <w:t> </w:t>
                  </w:r>
                </w:p>
                <w:p w14:paraId="3C0E47CE" w14:textId="77777777" w:rsidR="00E91BEE" w:rsidRPr="00E91BEE" w:rsidRDefault="00E91BEE" w:rsidP="00E91BEE">
                  <w:pPr>
                    <w:numPr>
                      <w:ilvl w:val="0"/>
                      <w:numId w:val="2"/>
                    </w:numPr>
                  </w:pPr>
                  <w:hyperlink r:id="rId8" w:tooltip="Grant Maker Updates" w:history="1">
                    <w:r w:rsidRPr="00E91BEE">
                      <w:rPr>
                        <w:rStyle w:val="Hyperlink"/>
                      </w:rPr>
                      <w:t>Grant Maker Updates</w:t>
                    </w:r>
                  </w:hyperlink>
                  <w:r w:rsidRPr="00E91BEE">
                    <w:t> on the SBA Grants Management page</w:t>
                  </w:r>
                </w:p>
                <w:p w14:paraId="0AE571FF" w14:textId="77777777" w:rsidR="00E91BEE" w:rsidRPr="00E91BEE" w:rsidRDefault="00E91BEE" w:rsidP="00E91BEE">
                  <w:pPr>
                    <w:numPr>
                      <w:ilvl w:val="0"/>
                      <w:numId w:val="2"/>
                    </w:numPr>
                  </w:pPr>
                  <w:hyperlink r:id="rId9" w:history="1">
                    <w:r w:rsidRPr="00E91BEE">
                      <w:rPr>
                        <w:rStyle w:val="Hyperlink"/>
                      </w:rPr>
                      <w:t>Euna Grants Support Page</w:t>
                    </w:r>
                  </w:hyperlink>
                  <w:r w:rsidRPr="00E91BEE">
                    <w:t xml:space="preserve"> for </w:t>
                  </w:r>
                  <w:r w:rsidRPr="00E91BEE">
                    <w:rPr>
                      <w:i/>
                      <w:iCs/>
                    </w:rPr>
                    <w:t>Euna Grants, Powered by AmpliFund</w:t>
                  </w:r>
                </w:p>
                <w:p w14:paraId="00A5E38C" w14:textId="77777777" w:rsidR="00E91BEE" w:rsidRDefault="00E91BEE" w:rsidP="00E91BEE">
                  <w:pPr>
                    <w:rPr>
                      <w:b/>
                      <w:bCs/>
                    </w:rPr>
                  </w:pPr>
                  <w:r w:rsidRPr="00E91BEE">
                    <w:br/>
                  </w:r>
                </w:p>
                <w:p w14:paraId="1F52F40B" w14:textId="11BC5216" w:rsidR="00E91BEE" w:rsidRPr="00E91BEE" w:rsidRDefault="00E91BEE" w:rsidP="00E91BEE">
                  <w:r w:rsidRPr="00E91BEE">
                    <w:rPr>
                      <w:b/>
                      <w:bCs/>
                    </w:rPr>
                    <w:lastRenderedPageBreak/>
                    <w:t>New to Euna Grants, or haven’t visited the SBA Grants page, recently?</w:t>
                  </w:r>
                </w:p>
                <w:p w14:paraId="4C690A82" w14:textId="77777777" w:rsidR="00E91BEE" w:rsidRPr="00E91BEE" w:rsidRDefault="00E91BEE" w:rsidP="00E91BEE">
                  <w:pPr>
                    <w:numPr>
                      <w:ilvl w:val="0"/>
                      <w:numId w:val="3"/>
                    </w:numPr>
                  </w:pPr>
                  <w:hyperlink r:id="rId10" w:tooltip="Resources for State Agencies" w:history="1">
                    <w:r w:rsidRPr="00E91BEE">
                      <w:rPr>
                        <w:rStyle w:val="Hyperlink"/>
                      </w:rPr>
                      <w:t>Resources for State Agencies</w:t>
                    </w:r>
                  </w:hyperlink>
                  <w:r w:rsidRPr="00E91BEE">
                    <w:t> houses all Training Materials</w:t>
                  </w:r>
                </w:p>
                <w:p w14:paraId="74C50620" w14:textId="77777777" w:rsidR="00E91BEE" w:rsidRPr="00E91BEE" w:rsidRDefault="00E91BEE" w:rsidP="00E91BEE">
                  <w:pPr>
                    <w:numPr>
                      <w:ilvl w:val="0"/>
                      <w:numId w:val="3"/>
                    </w:numPr>
                  </w:pPr>
                  <w:r w:rsidRPr="00E91BEE">
                    <w:t>You may also request ad hoc training 24/7 via the </w:t>
                  </w:r>
                  <w:hyperlink r:id="rId11" w:history="1">
                    <w:r w:rsidRPr="00E91BEE">
                      <w:rPr>
                        <w:rStyle w:val="Hyperlink"/>
                      </w:rPr>
                      <w:t>Contact Grants Management Team</w:t>
                    </w:r>
                  </w:hyperlink>
                  <w:r w:rsidRPr="00E91BEE">
                    <w:t> page.</w:t>
                  </w:r>
                </w:p>
              </w:tc>
            </w:tr>
          </w:tbl>
          <w:p w14:paraId="2EDA3A52" w14:textId="77777777" w:rsidR="00E91BEE" w:rsidRPr="00E91BEE" w:rsidRDefault="00E91BEE" w:rsidP="00E91BEE"/>
        </w:tc>
      </w:tr>
    </w:tbl>
    <w:p w14:paraId="59B95DA2" w14:textId="77777777" w:rsidR="00E91BEE" w:rsidRPr="00E91BEE" w:rsidRDefault="00E91BEE" w:rsidP="00E91BEE">
      <w:pPr>
        <w:rPr>
          <w:vanish/>
        </w:rPr>
      </w:pPr>
    </w:p>
    <w:tbl>
      <w:tblPr>
        <w:tblW w:w="5000" w:type="pct"/>
        <w:tblCellMar>
          <w:left w:w="0" w:type="dxa"/>
          <w:right w:w="0" w:type="dxa"/>
        </w:tblCellMar>
        <w:tblLook w:val="04A0" w:firstRow="1" w:lastRow="0" w:firstColumn="1" w:lastColumn="0" w:noHBand="0" w:noVBand="1"/>
      </w:tblPr>
      <w:tblGrid>
        <w:gridCol w:w="9360"/>
      </w:tblGrid>
      <w:tr w:rsidR="00E91BEE" w:rsidRPr="00E91BEE" w14:paraId="1E4EABA3" w14:textId="77777777">
        <w:tc>
          <w:tcPr>
            <w:tcW w:w="0" w:type="auto"/>
            <w:tcMar>
              <w:top w:w="75" w:type="dxa"/>
              <w:left w:w="75" w:type="dxa"/>
              <w:bottom w:w="75" w:type="dxa"/>
              <w:right w:w="75" w:type="dxa"/>
            </w:tcMar>
            <w:vAlign w:val="center"/>
            <w:hideMark/>
          </w:tcPr>
          <w:tbl>
            <w:tblPr>
              <w:tblW w:w="5000" w:type="pct"/>
              <w:shd w:val="clear" w:color="auto" w:fill="000033"/>
              <w:tblCellMar>
                <w:left w:w="0" w:type="dxa"/>
                <w:right w:w="0" w:type="dxa"/>
              </w:tblCellMar>
              <w:tblLook w:val="04A0" w:firstRow="1" w:lastRow="0" w:firstColumn="1" w:lastColumn="0" w:noHBand="0" w:noVBand="1"/>
            </w:tblPr>
            <w:tblGrid>
              <w:gridCol w:w="9210"/>
            </w:tblGrid>
            <w:tr w:rsidR="00E91BEE" w:rsidRPr="00E91BEE" w14:paraId="2D8DAF52" w14:textId="77777777">
              <w:tc>
                <w:tcPr>
                  <w:tcW w:w="0" w:type="auto"/>
                  <w:shd w:val="clear" w:color="auto" w:fill="000033"/>
                  <w:tcMar>
                    <w:top w:w="180" w:type="dxa"/>
                    <w:left w:w="180" w:type="dxa"/>
                    <w:bottom w:w="180" w:type="dxa"/>
                    <w:right w:w="180" w:type="dxa"/>
                  </w:tcMar>
                  <w:vAlign w:val="center"/>
                  <w:hideMark/>
                </w:tcPr>
                <w:p w14:paraId="374A0424" w14:textId="77777777" w:rsidR="00E91BEE" w:rsidRPr="00E91BEE" w:rsidRDefault="00E91BEE" w:rsidP="00E91BEE">
                  <w:pPr>
                    <w:jc w:val="center"/>
                    <w:rPr>
                      <w:sz w:val="28"/>
                      <w:szCs w:val="28"/>
                    </w:rPr>
                  </w:pPr>
                  <w:r w:rsidRPr="00E91BEE">
                    <w:rPr>
                      <w:b/>
                      <w:bCs/>
                      <w:sz w:val="28"/>
                      <w:szCs w:val="28"/>
                    </w:rPr>
                    <w:t xml:space="preserve">Questions? Need help?  </w:t>
                  </w:r>
                  <w:hyperlink r:id="rId12" w:history="1">
                    <w:r w:rsidRPr="00E91BEE">
                      <w:rPr>
                        <w:rStyle w:val="Hyperlink"/>
                        <w:sz w:val="28"/>
                        <w:szCs w:val="28"/>
                      </w:rPr>
                      <w:t>Contact the Grants Management Team</w:t>
                    </w:r>
                  </w:hyperlink>
                  <w:r w:rsidRPr="00E91BEE">
                    <w:rPr>
                      <w:sz w:val="28"/>
                      <w:szCs w:val="28"/>
                    </w:rPr>
                    <w:t>.</w:t>
                  </w:r>
                </w:p>
              </w:tc>
            </w:tr>
          </w:tbl>
          <w:p w14:paraId="2F8BB940" w14:textId="77777777" w:rsidR="00E91BEE" w:rsidRPr="00E91BEE" w:rsidRDefault="00E91BEE" w:rsidP="00E91BEE"/>
        </w:tc>
      </w:tr>
    </w:tbl>
    <w:p w14:paraId="4B1B4875" w14:textId="77777777" w:rsidR="00E91BEE" w:rsidRPr="00E91BEE" w:rsidRDefault="00E91BEE" w:rsidP="00E91BEE">
      <w:pPr>
        <w:rPr>
          <w:vanish/>
        </w:rPr>
      </w:pPr>
    </w:p>
    <w:tbl>
      <w:tblPr>
        <w:tblW w:w="5000" w:type="pct"/>
        <w:tblCellMar>
          <w:left w:w="0" w:type="dxa"/>
          <w:right w:w="0" w:type="dxa"/>
        </w:tblCellMar>
        <w:tblLook w:val="04A0" w:firstRow="1" w:lastRow="0" w:firstColumn="1" w:lastColumn="0" w:noHBand="0" w:noVBand="1"/>
      </w:tblPr>
      <w:tblGrid>
        <w:gridCol w:w="9360"/>
      </w:tblGrid>
      <w:tr w:rsidR="00E91BEE" w:rsidRPr="00E91BEE" w14:paraId="565BB31D"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360"/>
            </w:tblGrid>
            <w:tr w:rsidR="00E91BEE" w:rsidRPr="00E91BEE" w14:paraId="4C7CA10E" w14:textId="77777777">
              <w:tc>
                <w:tcPr>
                  <w:tcW w:w="0" w:type="auto"/>
                  <w:vAlign w:val="center"/>
                  <w:hideMark/>
                </w:tcPr>
                <w:p w14:paraId="70B78BD7" w14:textId="2725376A" w:rsidR="00E91BEE" w:rsidRPr="00E91BEE" w:rsidRDefault="00E91BEE" w:rsidP="00E91BEE">
                  <w:pPr>
                    <w:jc w:val="center"/>
                  </w:pPr>
                  <w:r w:rsidRPr="00E91BEE">
                    <w:rPr>
                      <w:u w:val="single"/>
                    </w:rPr>
                    <w:drawing>
                      <wp:inline distT="0" distB="0" distL="0" distR="0" wp14:anchorId="1744C1A1" wp14:editId="2C287535">
                        <wp:extent cx="4762500" cy="381000"/>
                        <wp:effectExtent l="0" t="0" r="0" b="0"/>
                        <wp:docPr id="1395279309" name="Picture 4" descr="Learn more at the IN.govSBAgrants websit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arn more at the IN.govSBAgrants websi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0" cy="381000"/>
                                </a:xfrm>
                                <a:prstGeom prst="rect">
                                  <a:avLst/>
                                </a:prstGeom>
                                <a:noFill/>
                                <a:ln>
                                  <a:noFill/>
                                </a:ln>
                              </pic:spPr>
                            </pic:pic>
                          </a:graphicData>
                        </a:graphic>
                      </wp:inline>
                    </w:drawing>
                  </w:r>
                </w:p>
              </w:tc>
            </w:tr>
          </w:tbl>
          <w:p w14:paraId="643B69EE" w14:textId="77777777" w:rsidR="00E91BEE" w:rsidRPr="00E91BEE" w:rsidRDefault="00E91BEE" w:rsidP="00E91BEE">
            <w:pPr>
              <w:jc w:val="center"/>
            </w:pPr>
          </w:p>
        </w:tc>
      </w:tr>
    </w:tbl>
    <w:p w14:paraId="16F34FB5" w14:textId="77777777" w:rsidR="00E91BEE" w:rsidRPr="00E91BEE" w:rsidRDefault="00E91BEE" w:rsidP="00E91BEE">
      <w:pPr>
        <w:jc w:val="center"/>
        <w:rPr>
          <w:vanish/>
        </w:rPr>
      </w:pPr>
    </w:p>
    <w:tbl>
      <w:tblPr>
        <w:tblW w:w="5000" w:type="pct"/>
        <w:tblCellMar>
          <w:left w:w="0" w:type="dxa"/>
          <w:right w:w="0" w:type="dxa"/>
        </w:tblCellMar>
        <w:tblLook w:val="04A0" w:firstRow="1" w:lastRow="0" w:firstColumn="1" w:lastColumn="0" w:noHBand="0" w:noVBand="1"/>
      </w:tblPr>
      <w:tblGrid>
        <w:gridCol w:w="9360"/>
      </w:tblGrid>
      <w:tr w:rsidR="00E91BEE" w:rsidRPr="00E91BEE" w14:paraId="79C9044C" w14:textId="77777777">
        <w:tc>
          <w:tcPr>
            <w:tcW w:w="0" w:type="auto"/>
            <w:tcMar>
              <w:top w:w="150" w:type="dxa"/>
              <w:left w:w="0" w:type="dxa"/>
              <w:bottom w:w="0" w:type="dxa"/>
              <w:right w:w="0" w:type="dxa"/>
            </w:tcMar>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360"/>
            </w:tblGrid>
            <w:tr w:rsidR="00E91BEE" w:rsidRPr="00E91BEE" w14:paraId="4C367A2F" w14:textId="77777777">
              <w:tc>
                <w:tcPr>
                  <w:tcW w:w="5000" w:type="pct"/>
                  <w:shd w:val="clear" w:color="auto" w:fill="FFFFFF"/>
                  <w:hideMark/>
                </w:tcPr>
                <w:tbl>
                  <w:tblPr>
                    <w:tblW w:w="9000" w:type="dxa"/>
                    <w:jc w:val="center"/>
                    <w:tblCellMar>
                      <w:left w:w="0" w:type="dxa"/>
                      <w:right w:w="0" w:type="dxa"/>
                    </w:tblCellMar>
                    <w:tblLook w:val="04A0" w:firstRow="1" w:lastRow="0" w:firstColumn="1" w:lastColumn="0" w:noHBand="0" w:noVBand="1"/>
                  </w:tblPr>
                  <w:tblGrid>
                    <w:gridCol w:w="9000"/>
                  </w:tblGrid>
                  <w:tr w:rsidR="00E91BEE" w:rsidRPr="00E91BEE" w14:paraId="78BFBCAA" w14:textId="77777777">
                    <w:trPr>
                      <w:jc w:val="center"/>
                    </w:trPr>
                    <w:tc>
                      <w:tcPr>
                        <w:tcW w:w="0" w:type="auto"/>
                        <w:tcMar>
                          <w:top w:w="0" w:type="dxa"/>
                          <w:left w:w="0" w:type="dxa"/>
                          <w:bottom w:w="375" w:type="dxa"/>
                          <w:right w:w="0" w:type="dxa"/>
                        </w:tcMar>
                        <w:vAlign w:val="center"/>
                        <w:hideMark/>
                      </w:tcPr>
                      <w:p w14:paraId="0F458303" w14:textId="6BE2C2BE" w:rsidR="00E91BEE" w:rsidRPr="00E91BEE" w:rsidRDefault="00E91BEE" w:rsidP="00E91BEE">
                        <w:pPr>
                          <w:jc w:val="center"/>
                        </w:pPr>
                        <w:r w:rsidRPr="00E91BEE">
                          <w:t>This email was sent by: State Budget Agency</w:t>
                        </w:r>
                        <w:r w:rsidRPr="00E91BEE">
                          <w:br/>
                          <w:t xml:space="preserve">200 W. Washington St, Indianapolis, IN, 46204 US </w:t>
                        </w:r>
                        <w:r w:rsidRPr="00E91BEE">
                          <w:br/>
                        </w:r>
                        <w:r w:rsidRPr="00E91BEE">
                          <w:br/>
                        </w:r>
                        <w:hyperlink r:id="rId15" w:tgtFrame="_blank" w:tooltip="Protected by Check Point: https://click.subscription.in.gov/?qs=6dd63e1588774c31bce79007e927ac13deeffa03b32c3b65dda9e92c175c589bd06134e12c8746e9e59c64723bd719e564e9d1c96223c170" w:history="1">
                          <w:r w:rsidRPr="00E91BEE">
                            <w:rPr>
                              <w:rStyle w:val="Hyperlink"/>
                              <w:b/>
                              <w:bCs/>
                            </w:rPr>
                            <w:t>Privacy Notice</w:t>
                          </w:r>
                        </w:hyperlink>
                        <w:r w:rsidRPr="00E91BEE">
                          <w:t xml:space="preserve"> </w:t>
                        </w:r>
                        <w:r w:rsidRPr="00E91BEE">
                          <w:br/>
                        </w:r>
                        <w:r w:rsidRPr="00E91BEE">
                          <w:br/>
                        </w:r>
                        <w:hyperlink r:id="rId16" w:tgtFrame="_blank" w:tooltip="Protected by Check Point: https://click.subscription.in.gov/?qs=6dd63e1588774c31a8a53dc66e744fb7e7113f9fdf5568689452b1429fdd0e08eda0551b2cef621b6f8cdeb28902a7812336c02d6017ac13ecd6f2bade48ccca" w:history="1">
                          <w:r w:rsidRPr="00E91BEE">
                            <w:rPr>
                              <w:rStyle w:val="Hyperlink"/>
                              <w:b/>
                              <w:bCs/>
                            </w:rPr>
                            <w:t>Manage Preferences</w:t>
                          </w:r>
                        </w:hyperlink>
                        <w:r w:rsidRPr="00E91BEE">
                          <w:t>      </w:t>
                        </w:r>
                        <w:hyperlink r:id="rId17" w:tgtFrame="_blank" w:tooltip="Protected by Check Point: https://click.subscription.in.gov/?qs=6dd63e1588774c317719f46ab9efc669d796ea66fd5462e098f2478887929288f26d4100d5f24a38c95eb43abe64a3c067110e55857e2f923fa3598033d87026" w:history="1">
                          <w:r w:rsidRPr="00E91BEE">
                            <w:rPr>
                              <w:rStyle w:val="Hyperlink"/>
                              <w:b/>
                              <w:bCs/>
                            </w:rPr>
                            <w:t>Unsubscribe</w:t>
                          </w:r>
                        </w:hyperlink>
                      </w:p>
                    </w:tc>
                  </w:tr>
                </w:tbl>
                <w:p w14:paraId="6EB5B6E6" w14:textId="77777777" w:rsidR="00E91BEE" w:rsidRPr="00E91BEE" w:rsidRDefault="00E91BEE" w:rsidP="00E91BEE">
                  <w:pPr>
                    <w:jc w:val="center"/>
                  </w:pPr>
                </w:p>
              </w:tc>
            </w:tr>
          </w:tbl>
          <w:p w14:paraId="60FA34D0" w14:textId="77777777" w:rsidR="00E91BEE" w:rsidRPr="00E91BEE" w:rsidRDefault="00E91BEE" w:rsidP="00E91BEE">
            <w:pPr>
              <w:jc w:val="center"/>
            </w:pPr>
          </w:p>
        </w:tc>
      </w:tr>
    </w:tbl>
    <w:p w14:paraId="4053A4CE" w14:textId="77777777" w:rsidR="00E91BEE" w:rsidRDefault="00E91BEE"/>
    <w:sectPr w:rsidR="00E91BEE" w:rsidSect="00E91BEE">
      <w:pgSz w:w="12240" w:h="15840"/>
      <w:pgMar w:top="45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03E19"/>
    <w:multiLevelType w:val="multilevel"/>
    <w:tmpl w:val="084A7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0F3326"/>
    <w:multiLevelType w:val="multilevel"/>
    <w:tmpl w:val="E2184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EB3537"/>
    <w:multiLevelType w:val="multilevel"/>
    <w:tmpl w:val="645C9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79422147">
    <w:abstractNumId w:val="1"/>
    <w:lvlOverride w:ilvl="0"/>
    <w:lvlOverride w:ilvl="1"/>
    <w:lvlOverride w:ilvl="2"/>
    <w:lvlOverride w:ilvl="3"/>
    <w:lvlOverride w:ilvl="4"/>
    <w:lvlOverride w:ilvl="5"/>
    <w:lvlOverride w:ilvl="6"/>
    <w:lvlOverride w:ilvl="7"/>
    <w:lvlOverride w:ilvl="8"/>
  </w:num>
  <w:num w:numId="2" w16cid:durableId="1202748720">
    <w:abstractNumId w:val="0"/>
    <w:lvlOverride w:ilvl="0"/>
    <w:lvlOverride w:ilvl="1"/>
    <w:lvlOverride w:ilvl="2"/>
    <w:lvlOverride w:ilvl="3"/>
    <w:lvlOverride w:ilvl="4"/>
    <w:lvlOverride w:ilvl="5"/>
    <w:lvlOverride w:ilvl="6"/>
    <w:lvlOverride w:ilvl="7"/>
    <w:lvlOverride w:ilvl="8"/>
  </w:num>
  <w:num w:numId="3" w16cid:durableId="121111705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BEE"/>
    <w:rsid w:val="00483D33"/>
    <w:rsid w:val="00E91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CA63E"/>
  <w15:chartTrackingRefBased/>
  <w15:docId w15:val="{35DCC81F-F6ED-4309-B8F4-17F0CAD94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1B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1B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1B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1B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1B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1B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1B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1B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1B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B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1B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1B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1B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1B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1B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1B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1B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1BEE"/>
    <w:rPr>
      <w:rFonts w:eastAsiaTheme="majorEastAsia" w:cstheme="majorBidi"/>
      <w:color w:val="272727" w:themeColor="text1" w:themeTint="D8"/>
    </w:rPr>
  </w:style>
  <w:style w:type="paragraph" w:styleId="Title">
    <w:name w:val="Title"/>
    <w:basedOn w:val="Normal"/>
    <w:next w:val="Normal"/>
    <w:link w:val="TitleChar"/>
    <w:uiPriority w:val="10"/>
    <w:qFormat/>
    <w:rsid w:val="00E91B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B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B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1B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1BEE"/>
    <w:pPr>
      <w:spacing w:before="160"/>
      <w:jc w:val="center"/>
    </w:pPr>
    <w:rPr>
      <w:i/>
      <w:iCs/>
      <w:color w:val="404040" w:themeColor="text1" w:themeTint="BF"/>
    </w:rPr>
  </w:style>
  <w:style w:type="character" w:customStyle="1" w:styleId="QuoteChar">
    <w:name w:val="Quote Char"/>
    <w:basedOn w:val="DefaultParagraphFont"/>
    <w:link w:val="Quote"/>
    <w:uiPriority w:val="29"/>
    <w:rsid w:val="00E91BEE"/>
    <w:rPr>
      <w:i/>
      <w:iCs/>
      <w:color w:val="404040" w:themeColor="text1" w:themeTint="BF"/>
    </w:rPr>
  </w:style>
  <w:style w:type="paragraph" w:styleId="ListParagraph">
    <w:name w:val="List Paragraph"/>
    <w:basedOn w:val="Normal"/>
    <w:uiPriority w:val="34"/>
    <w:qFormat/>
    <w:rsid w:val="00E91BEE"/>
    <w:pPr>
      <w:ind w:left="720"/>
      <w:contextualSpacing/>
    </w:pPr>
  </w:style>
  <w:style w:type="character" w:styleId="IntenseEmphasis">
    <w:name w:val="Intense Emphasis"/>
    <w:basedOn w:val="DefaultParagraphFont"/>
    <w:uiPriority w:val="21"/>
    <w:qFormat/>
    <w:rsid w:val="00E91BEE"/>
    <w:rPr>
      <w:i/>
      <w:iCs/>
      <w:color w:val="0F4761" w:themeColor="accent1" w:themeShade="BF"/>
    </w:rPr>
  </w:style>
  <w:style w:type="paragraph" w:styleId="IntenseQuote">
    <w:name w:val="Intense Quote"/>
    <w:basedOn w:val="Normal"/>
    <w:next w:val="Normal"/>
    <w:link w:val="IntenseQuoteChar"/>
    <w:uiPriority w:val="30"/>
    <w:qFormat/>
    <w:rsid w:val="00E91B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1BEE"/>
    <w:rPr>
      <w:i/>
      <w:iCs/>
      <w:color w:val="0F4761" w:themeColor="accent1" w:themeShade="BF"/>
    </w:rPr>
  </w:style>
  <w:style w:type="character" w:styleId="IntenseReference">
    <w:name w:val="Intense Reference"/>
    <w:basedOn w:val="DefaultParagraphFont"/>
    <w:uiPriority w:val="32"/>
    <w:qFormat/>
    <w:rsid w:val="00E91BEE"/>
    <w:rPr>
      <w:b/>
      <w:bCs/>
      <w:smallCaps/>
      <w:color w:val="0F4761" w:themeColor="accent1" w:themeShade="BF"/>
      <w:spacing w:val="5"/>
    </w:rPr>
  </w:style>
  <w:style w:type="character" w:styleId="Hyperlink">
    <w:name w:val="Hyperlink"/>
    <w:basedOn w:val="DefaultParagraphFont"/>
    <w:uiPriority w:val="99"/>
    <w:unhideWhenUsed/>
    <w:rsid w:val="00E91BEE"/>
    <w:rPr>
      <w:color w:val="467886" w:themeColor="hyperlink"/>
      <w:u w:val="single"/>
    </w:rPr>
  </w:style>
  <w:style w:type="character" w:styleId="UnresolvedMention">
    <w:name w:val="Unresolved Mention"/>
    <w:basedOn w:val="DefaultParagraphFont"/>
    <w:uiPriority w:val="99"/>
    <w:semiHidden/>
    <w:unhideWhenUsed/>
    <w:rsid w:val="00E91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1/___https:/click.subscription.in.gov/?qs=6dd63e1588774c31557c724519b17e812857b5bdffd636aed7f280f2653dd740bd0ca4abb5905115f4b9939b3e531cf60532ec715c467fe1___.YzJ1OnN0YXRlb2ZpbmRpYW5hOmM6bzphNDgyZDZkNDMyNDNjMGQ3NzBlOTk2NTk0ZjAxYjQ2YTo3OmQ2OTk6MTdjMzlhZTU2YTFhMDcxNjM5MjBiNDQ2Mjk2YTBiZjU0YTQ1ZmNkNGJjN2FiYjE4ZTEyZGU5MzQzNWRkZWFmMjpoOlQ6Tg" TargetMode="External"/><Relationship Id="rId13" Type="http://schemas.openxmlformats.org/officeDocument/2006/relationships/hyperlink" Target="https://protect.checkpoint.com/v2/r01/___https:/click.subscription.in.gov/?qs=6dd63e1588774c3118b9a760a17c9b6732c956620ff505fc327dfd55949df64ea58e7fa9ae6d3af156d7b6ddd823b217f51fca107d2c0e32___.YzJ1OnN0YXRlb2ZpbmRpYW5hOmM6bzphNDgyZDZkNDMyNDNjMGQ3NzBlOTk2NTk0ZjAxYjQ2YTo3OmFiN2U6NDBjMzAzMTkzY2NhZDJkYTY0ZGVjZDk5NmU4OTIyMmExOWI1OWQ2N2I4NThjMmUyOWM1ZmFkYzg4MjViZjQ2YjpoOlQ6T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tect.checkpoint.com/v2/r01/___https:/click.subscription.in.gov/?qs=6dd63e1588774c3170ee5fa55e8c47de8eb8b89f8558396ee80f4d5786d0e23d3c8fb9292f4f832fd4a69ff98f4891d01cbc2419e613795f___.YzJ1OnN0YXRlb2ZpbmRpYW5hOmM6bzphNDgyZDZkNDMyNDNjMGQ3NzBlOTk2NTk0ZjAxYjQ2YTo3OjYxNjg6ZTIyYTJkMTZlZjBjOTE2MzI5Yzg0NWNmYThiMWQ2YTlmNTVjMGVmODk2NDA4YWNlNTg5ZWVjZmIxZTFiZGQzZTpoOlQ6Tg" TargetMode="External"/><Relationship Id="rId12" Type="http://schemas.openxmlformats.org/officeDocument/2006/relationships/hyperlink" Target="https://protect.checkpoint.com/v2/r01/___https:/click.subscription.in.gov/?qs=6dd63e1588774c313f83276e33ec6c6be5cff7ed748ac9c415a0d401b99fbdfc278a6e6ee480f5dabb8d5aa631321ca78d4a503f97c75e55___.YzJ1OnN0YXRlb2ZpbmRpYW5hOmM6bzphNDgyZDZkNDMyNDNjMGQ3NzBlOTk2NTk0ZjAxYjQ2YTo3OjJhNjQ6NTRlNTA3NDIxNWMxZTY2YWMxNDlmMzZlZmVkM2RkYTMxYzljZGRhMGFmMDkyOGYxZGE4MjY0MTAyYjhjOWFmNjpoOlQ6Tg" TargetMode="External"/><Relationship Id="rId17" Type="http://schemas.openxmlformats.org/officeDocument/2006/relationships/hyperlink" Target="https://protect.checkpoint.com/v2/r01/___https:/click.subscription.in.gov/?qs=6dd63e1588774c317719f46ab9efc669d796ea66fd5462e098f2478887929288f26d4100d5f24a38c95eb43abe64a3c067110e55857e2f923fa3598033d87026___.YzJ1OnN0YXRlb2ZpbmRpYW5hOmM6bzphNDgyZDZkNDMyNDNjMGQ3NzBlOTk2NTk0ZjAxYjQ2YTo3OmY2YWY6NzhiMGNmMzZkMmQxMGFlZmI5YTUzOGIyMjMyYzc2NGQzMmViOTkyM2U1ZGRlZDIxZDk2Y2IzOGJmMDE5MmMzZTpoOlQ6Tg" TargetMode="External"/><Relationship Id="rId2" Type="http://schemas.openxmlformats.org/officeDocument/2006/relationships/styles" Target="styles.xml"/><Relationship Id="rId16" Type="http://schemas.openxmlformats.org/officeDocument/2006/relationships/hyperlink" Target="https://protect.checkpoint.com/v2/r01/___https:/click.subscription.in.gov/?qs=6dd63e1588774c31a8a53dc66e744fb7e7113f9fdf5568689452b1429fdd0e08eda0551b2cef621b6f8cdeb28902a7812336c02d6017ac13ecd6f2bade48ccca___.YzJ1OnN0YXRlb2ZpbmRpYW5hOmM6bzphNDgyZDZkNDMyNDNjMGQ3NzBlOTk2NTk0ZjAxYjQ2YTo3OjRkZWU6ZjVhNDc1NWEzODE4YzEwNDZlNzhkZTI3MjQ4YTNmNDhjMjk4OWFhOGU3M2I2OWE0YjY4MGFjMWFhZThmODQ5OTpoOlQ6Tg"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protect.checkpoint.com/v2/r01/___https:/click.subscription.in.gov/?qs=6dd63e1588774c313f83276e33ec6c6be5cff7ed748ac9c415a0d401b99fbdfc278a6e6ee480f5dabb8d5aa631321ca78d4a503f97c75e55___.YzJ1OnN0YXRlb2ZpbmRpYW5hOmM6bzphNDgyZDZkNDMyNDNjMGQ3NzBlOTk2NTk0ZjAxYjQ2YTo3OmRkZGU6ODRhMDdjMjFhOTE2YjQxODAzOWNkNjFlYWI4NThkNGEyZTFlZDRjODkxNDRmNTcyMWQxM2I2MjU4NDFkMmMxYTpoOlQ6Tg" TargetMode="External"/><Relationship Id="rId5" Type="http://schemas.openxmlformats.org/officeDocument/2006/relationships/image" Target="media/image1.png"/><Relationship Id="rId15" Type="http://schemas.openxmlformats.org/officeDocument/2006/relationships/hyperlink" Target="https://protect.checkpoint.com/v2/r01/___https:/click.subscription.in.gov/?qs=6dd63e1588774c31bce79007e927ac13deeffa03b32c3b65dda9e92c175c589bd06134e12c8746e9e59c64723bd719e564e9d1c96223c170___.YzJ1OnN0YXRlb2ZpbmRpYW5hOmM6bzphNDgyZDZkNDMyNDNjMGQ3NzBlOTk2NTk0ZjAxYjQ2YTo3OmFlMzU6NTk2NWFhZDQyMGI2Y2JlZjRmMzc4YzZkMjYxY2MwZWVjN2NlMjVkOTExMTZiYjkzMGVjZTUyNjVhMWQxYzRkMzpoOlQ6Tg" TargetMode="External"/><Relationship Id="rId10" Type="http://schemas.openxmlformats.org/officeDocument/2006/relationships/hyperlink" Target="https://protect.checkpoint.com/v2/r01/___https:/click.subscription.in.gov/?qs=6dd63e1588774c31333d5e025b429daf210d15abe59426dc301d1f411877ca5022995443248ecbb86d697383df01d3df2ffca333cbf41cc6___.YzJ1OnN0YXRlb2ZpbmRpYW5hOmM6bzphNDgyZDZkNDMyNDNjMGQ3NzBlOTk2NTk0ZjAxYjQ2YTo3OjlkZWE6NzQ2ZTFlZTg3ZjdlMWEyZDEwNDgwMTg5NzlkNjQ2N2I3MTYzNTc3YTBmZDExNmM5Yzg2MzQ0OTI5N2VjNDgyNDpoOlQ6T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rotect.checkpoint.com/v2/r01/___https:/click.subscription.in.gov/?qs=6dd63e1588774c31b93552b875f5e1bbea67d4ed559f0934dfa2c2c8848d8888a1b03fb9d3320743a48d43489513310ee706cb5feac1d53b___.YzJ1OnN0YXRlb2ZpbmRpYW5hOmM6bzphNDgyZDZkNDMyNDNjMGQ3NzBlOTk2NTk0ZjAxYjQ2YTo3OjE3ZTA6ZjIyMjExMjQzMDhkMWJiMGZkY2JkNmVjZTk4N2M5YmNjNmI1ZGE5NWE5NzFjMjE1NmJhMjcxNjdiZWE2ZTgyODpoOlQ6Tg"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1039</Words>
  <Characters>5925</Characters>
  <Application>Microsoft Office Word</Application>
  <DocSecurity>0</DocSecurity>
  <Lines>49</Lines>
  <Paragraphs>13</Paragraphs>
  <ScaleCrop>false</ScaleCrop>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Schilling, David</dc:creator>
  <cp:keywords/>
  <dc:description/>
  <cp:lastModifiedBy>Schilling, David</cp:lastModifiedBy>
  <cp:revision>1</cp:revision>
  <dcterms:created xsi:type="dcterms:W3CDTF">2025-12-17T19:42:00Z</dcterms:created>
  <dcterms:modified xsi:type="dcterms:W3CDTF">2025-12-17T19:46:00Z</dcterms:modified>
</cp:coreProperties>
</file>