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B97C" w14:textId="11FF0E9B" w:rsidR="00CC5580" w:rsidRPr="00CC5580" w:rsidRDefault="00CC5580" w:rsidP="00CC5580">
      <w:r w:rsidRPr="00CC5580">
        <w:drawing>
          <wp:inline distT="0" distB="0" distL="0" distR="0" wp14:anchorId="74573D06" wp14:editId="0E23E46E">
            <wp:extent cx="5924550" cy="1219200"/>
            <wp:effectExtent l="0" t="0" r="0" b="0"/>
            <wp:docPr id="533683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24550" cy="1219200"/>
                    </a:xfrm>
                    <a:prstGeom prst="rect">
                      <a:avLst/>
                    </a:prstGeom>
                    <a:noFill/>
                    <a:ln>
                      <a:noFill/>
                    </a:ln>
                  </pic:spPr>
                </pic:pic>
              </a:graphicData>
            </a:graphic>
          </wp:inline>
        </w:drawing>
      </w:r>
    </w:p>
    <w:p w14:paraId="16D597AD" w14:textId="779ECAB2" w:rsidR="00CC5580" w:rsidRPr="00CC5580" w:rsidRDefault="00CC5580" w:rsidP="00CC5580">
      <w:r w:rsidRPr="00CC5580">
        <w:drawing>
          <wp:inline distT="0" distB="0" distL="0" distR="0" wp14:anchorId="51CD0C16" wp14:editId="269D3248">
            <wp:extent cx="5803900" cy="412750"/>
            <wp:effectExtent l="0" t="0" r="6350" b="6350"/>
            <wp:docPr id="789189935" name="Picture 7"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 Textbox"/>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803900" cy="412750"/>
                    </a:xfrm>
                    <a:prstGeom prst="rect">
                      <a:avLst/>
                    </a:prstGeom>
                    <a:noFill/>
                    <a:ln>
                      <a:noFill/>
                    </a:ln>
                  </pic:spPr>
                </pic:pic>
              </a:graphicData>
            </a:graphic>
          </wp:inline>
        </w:drawing>
      </w:r>
    </w:p>
    <w:p w14:paraId="7C1864EC" w14:textId="2C089FED" w:rsidR="00CC5580" w:rsidRPr="00CC5580" w:rsidRDefault="00CC5580" w:rsidP="00CC5580">
      <w:r w:rsidRPr="00CC5580">
        <w:t xml:space="preserve">Starting April 1, 2026, you will have a new way to engage directly with the SBA Grants Management Team through an improved Office Hours setup. Grants Management experts will be available to support you at every stage of the Euna Grants Life Cycle, whether you have questions about Grantee, Grantor, or need Subrecipient support. These open forums give you the freedom to choose discussion topics, receive instant responses, and request live demonstrations.  </w:t>
      </w:r>
    </w:p>
    <w:p w14:paraId="37264EF4" w14:textId="61EC0297" w:rsidR="00CC5580" w:rsidRPr="00CC5580" w:rsidRDefault="00CC5580" w:rsidP="00CC5580">
      <w:r w:rsidRPr="00CC5580">
        <w:t xml:space="preserve">The new format of Office Hours will be held every Wednesday from 2:00 pm – 3:00 pm via Microsoft Teams.  Use the following link to join the meeting: </w:t>
      </w:r>
      <w:hyperlink r:id="rId9" w:history="1">
        <w:r w:rsidRPr="00CC5580">
          <w:rPr>
            <w:rStyle w:val="Hyperlink"/>
          </w:rPr>
          <w:t>https://teams.microsoft.com/meet/24630206619008?p=CWn0pbmroF69vvwAfs</w:t>
        </w:r>
      </w:hyperlink>
      <w:r w:rsidRPr="00CC5580">
        <w:t xml:space="preserve">.  </w:t>
      </w:r>
    </w:p>
    <w:p w14:paraId="53AFA847" w14:textId="467C1E61" w:rsidR="00CC5580" w:rsidRPr="00CC5580" w:rsidRDefault="00CC5580" w:rsidP="00CC5580">
      <w:r w:rsidRPr="00CC5580">
        <w:drawing>
          <wp:inline distT="0" distB="0" distL="0" distR="0" wp14:anchorId="42557A0A" wp14:editId="6B200567">
            <wp:extent cx="5803900" cy="412750"/>
            <wp:effectExtent l="0" t="0" r="6350" b="6350"/>
            <wp:docPr id="2096904552" name="Picture 6"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1, Textbox"/>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803900" cy="412750"/>
                    </a:xfrm>
                    <a:prstGeom prst="rect">
                      <a:avLst/>
                    </a:prstGeom>
                    <a:noFill/>
                    <a:ln>
                      <a:noFill/>
                    </a:ln>
                  </pic:spPr>
                </pic:pic>
              </a:graphicData>
            </a:graphic>
          </wp:inline>
        </w:drawing>
      </w:r>
    </w:p>
    <w:p w14:paraId="2BDAE1C4" w14:textId="362C3D3D" w:rsidR="00CC5580" w:rsidRPr="00CC5580" w:rsidRDefault="00CC5580" w:rsidP="00CC5580">
      <w:r w:rsidRPr="00CC5580">
        <w:t xml:space="preserve">The SBA Grants Management team would like to hear directly from you at our upcoming session. By sharing your questions or topics, you help us focus the discussion on the issues that matter most to you. </w:t>
      </w:r>
    </w:p>
    <w:p w14:paraId="0713E483" w14:textId="77777777" w:rsidR="00CC5580" w:rsidRPr="00CC5580" w:rsidRDefault="00CC5580" w:rsidP="00CC5580">
      <w:r w:rsidRPr="00CC5580">
        <w:t>Advance submission of questions or topics is completely optional. Whether you prefer to send your questions beforehand or speak up during the session, your unique experiences make these conversations valuable for everyone. We are excited to collaborate with you and look forward to your contributions.  If you would like to submit questions or topic suggestions ahead of time, please use this </w:t>
      </w:r>
      <w:hyperlink r:id="rId12" w:tgtFrame="_blank" w:history="1">
        <w:r w:rsidRPr="00CC5580">
          <w:rPr>
            <w:rStyle w:val="Hyperlink"/>
          </w:rPr>
          <w:t>FORM LINK</w:t>
        </w:r>
      </w:hyperlink>
      <w:r w:rsidRPr="00CC5580">
        <w:t>.   </w:t>
      </w:r>
    </w:p>
    <w:p w14:paraId="213233EF" w14:textId="56627A82" w:rsidR="00CC5580" w:rsidRPr="00CC5580" w:rsidRDefault="00CC5580" w:rsidP="00CC5580">
      <w:r w:rsidRPr="00CC5580">
        <w:drawing>
          <wp:inline distT="0" distB="0" distL="0" distR="0" wp14:anchorId="6437A780" wp14:editId="3E54CDA8">
            <wp:extent cx="5803900" cy="412750"/>
            <wp:effectExtent l="0" t="0" r="6350" b="6350"/>
            <wp:docPr id="1911813847" name="Picture 5"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Box 1, Textbox"/>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03900" cy="412750"/>
                    </a:xfrm>
                    <a:prstGeom prst="rect">
                      <a:avLst/>
                    </a:prstGeom>
                    <a:noFill/>
                    <a:ln>
                      <a:noFill/>
                    </a:ln>
                  </pic:spPr>
                </pic:pic>
              </a:graphicData>
            </a:graphic>
          </wp:inline>
        </w:drawing>
      </w:r>
    </w:p>
    <w:p w14:paraId="1DFF1019" w14:textId="77777777" w:rsidR="00CC5580" w:rsidRPr="00CC5580" w:rsidRDefault="00CC5580" w:rsidP="00CC5580">
      <w:pPr>
        <w:numPr>
          <w:ilvl w:val="0"/>
          <w:numId w:val="1"/>
        </w:numPr>
      </w:pPr>
      <w:hyperlink r:id="rId15" w:tgtFrame="_blank" w:history="1">
        <w:r w:rsidRPr="00CC5580">
          <w:rPr>
            <w:rStyle w:val="Hyperlink"/>
          </w:rPr>
          <w:t>Resources for the Grantee Lifecycle</w:t>
        </w:r>
      </w:hyperlink>
      <w:r w:rsidRPr="00CC5580">
        <w:t> </w:t>
      </w:r>
    </w:p>
    <w:p w14:paraId="5D19525E" w14:textId="77777777" w:rsidR="00CC5580" w:rsidRPr="00CC5580" w:rsidRDefault="00CC5580" w:rsidP="00CC5580">
      <w:pPr>
        <w:numPr>
          <w:ilvl w:val="0"/>
          <w:numId w:val="2"/>
        </w:numPr>
      </w:pPr>
      <w:hyperlink r:id="rId16" w:anchor="tab-706468-7-Support_Materials" w:tgtFrame="_blank" w:history="1">
        <w:r w:rsidRPr="00CC5580">
          <w:rPr>
            <w:rStyle w:val="Hyperlink"/>
          </w:rPr>
          <w:t>All Grantee Support Materials</w:t>
        </w:r>
      </w:hyperlink>
      <w:r w:rsidRPr="00CC5580">
        <w:t> </w:t>
      </w:r>
    </w:p>
    <w:p w14:paraId="2F79BE56" w14:textId="77777777" w:rsidR="00CC5580" w:rsidRPr="00CC5580" w:rsidRDefault="00CC5580" w:rsidP="00CC5580">
      <w:pPr>
        <w:numPr>
          <w:ilvl w:val="0"/>
          <w:numId w:val="3"/>
        </w:numPr>
      </w:pPr>
      <w:hyperlink r:id="rId17" w:tgtFrame="_blank" w:history="1">
        <w:r w:rsidRPr="00CC5580">
          <w:rPr>
            <w:rStyle w:val="Hyperlink"/>
          </w:rPr>
          <w:t>Resources for the Grantor Lifecycle</w:t>
        </w:r>
      </w:hyperlink>
      <w:r w:rsidRPr="00CC5580">
        <w:t> </w:t>
      </w:r>
    </w:p>
    <w:p w14:paraId="6C87A914" w14:textId="77777777" w:rsidR="00CC5580" w:rsidRPr="00CC5580" w:rsidRDefault="00CC5580" w:rsidP="00CC5580">
      <w:pPr>
        <w:numPr>
          <w:ilvl w:val="0"/>
          <w:numId w:val="4"/>
        </w:numPr>
      </w:pPr>
      <w:hyperlink r:id="rId18" w:anchor="tab-706481-6-Support_Materials" w:tgtFrame="_blank" w:history="1">
        <w:r w:rsidRPr="00CC5580">
          <w:rPr>
            <w:rStyle w:val="Hyperlink"/>
          </w:rPr>
          <w:t>All Grantor Support Materials</w:t>
        </w:r>
      </w:hyperlink>
      <w:r w:rsidRPr="00CC5580">
        <w:t>  </w:t>
      </w:r>
    </w:p>
    <w:p w14:paraId="2B6E5B2E" w14:textId="77777777" w:rsidR="00CC5580" w:rsidRPr="00CC5580" w:rsidRDefault="00CC5580" w:rsidP="00CC5580">
      <w:pPr>
        <w:numPr>
          <w:ilvl w:val="0"/>
          <w:numId w:val="5"/>
        </w:numPr>
      </w:pPr>
      <w:hyperlink r:id="rId19" w:tgtFrame="_blank" w:history="1">
        <w:r w:rsidRPr="00CC5580">
          <w:rPr>
            <w:rStyle w:val="Hyperlink"/>
          </w:rPr>
          <w:t>Resources for the Grantee Lifecycle</w:t>
        </w:r>
      </w:hyperlink>
      <w:r w:rsidRPr="00CC5580">
        <w:t> </w:t>
      </w:r>
    </w:p>
    <w:p w14:paraId="43ACB161" w14:textId="77777777" w:rsidR="00CC5580" w:rsidRPr="00CC5580" w:rsidRDefault="00CC5580" w:rsidP="00CC5580">
      <w:pPr>
        <w:numPr>
          <w:ilvl w:val="0"/>
          <w:numId w:val="6"/>
        </w:numPr>
      </w:pPr>
      <w:hyperlink r:id="rId20" w:anchor="tab-717686-6-Support_Materials" w:tgtFrame="_blank" w:history="1">
        <w:r w:rsidRPr="00CC5580">
          <w:rPr>
            <w:rStyle w:val="Hyperlink"/>
          </w:rPr>
          <w:t>All Subrecipient Support Materials</w:t>
        </w:r>
      </w:hyperlink>
      <w:r w:rsidRPr="00CC5580">
        <w:t>   </w:t>
      </w:r>
    </w:p>
    <w:p w14:paraId="531D9C85" w14:textId="77777777" w:rsidR="00CC5580" w:rsidRPr="00CC5580" w:rsidRDefault="00CC5580" w:rsidP="00CC5580">
      <w:pPr>
        <w:numPr>
          <w:ilvl w:val="0"/>
          <w:numId w:val="7"/>
        </w:numPr>
      </w:pPr>
      <w:hyperlink r:id="rId21" w:tgtFrame="_blank" w:history="1">
        <w:r w:rsidRPr="00CC5580">
          <w:rPr>
            <w:rStyle w:val="Hyperlink"/>
          </w:rPr>
          <w:t>Compliance Resources</w:t>
        </w:r>
      </w:hyperlink>
      <w:r w:rsidRPr="00CC5580">
        <w:t>  </w:t>
      </w:r>
    </w:p>
    <w:p w14:paraId="6CE04E24" w14:textId="77777777" w:rsidR="00CC5580" w:rsidRPr="00CC5580" w:rsidRDefault="00CC5580" w:rsidP="00CC5580"/>
    <w:sectPr w:rsidR="00CC5580" w:rsidRPr="00CC5580" w:rsidSect="00CC5580">
      <w:pgSz w:w="12240" w:h="15840"/>
      <w:pgMar w:top="3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07B"/>
    <w:multiLevelType w:val="multilevel"/>
    <w:tmpl w:val="4BEC2B9E"/>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1" w15:restartNumberingAfterBreak="0">
    <w:nsid w:val="1CCE4CFE"/>
    <w:multiLevelType w:val="multilevel"/>
    <w:tmpl w:val="FDE62A08"/>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2" w15:restartNumberingAfterBreak="0">
    <w:nsid w:val="32854673"/>
    <w:multiLevelType w:val="multilevel"/>
    <w:tmpl w:val="C4A45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B45A64"/>
    <w:multiLevelType w:val="multilevel"/>
    <w:tmpl w:val="06F06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DC2E3B"/>
    <w:multiLevelType w:val="multilevel"/>
    <w:tmpl w:val="AE2C3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E37115"/>
    <w:multiLevelType w:val="multilevel"/>
    <w:tmpl w:val="DF567E8A"/>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6" w15:restartNumberingAfterBreak="0">
    <w:nsid w:val="72AE5889"/>
    <w:multiLevelType w:val="multilevel"/>
    <w:tmpl w:val="94A89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9554919">
    <w:abstractNumId w:val="3"/>
    <w:lvlOverride w:ilvl="0"/>
    <w:lvlOverride w:ilvl="1"/>
    <w:lvlOverride w:ilvl="2"/>
    <w:lvlOverride w:ilvl="3"/>
    <w:lvlOverride w:ilvl="4"/>
    <w:lvlOverride w:ilvl="5"/>
    <w:lvlOverride w:ilvl="6"/>
    <w:lvlOverride w:ilvl="7"/>
    <w:lvlOverride w:ilvl="8"/>
  </w:num>
  <w:num w:numId="2" w16cid:durableId="435177520">
    <w:abstractNumId w:val="1"/>
    <w:lvlOverride w:ilvl="0"/>
    <w:lvlOverride w:ilvl="1"/>
    <w:lvlOverride w:ilvl="2"/>
    <w:lvlOverride w:ilvl="3"/>
    <w:lvlOverride w:ilvl="4"/>
    <w:lvlOverride w:ilvl="5"/>
    <w:lvlOverride w:ilvl="6"/>
    <w:lvlOverride w:ilvl="7"/>
    <w:lvlOverride w:ilvl="8"/>
  </w:num>
  <w:num w:numId="3" w16cid:durableId="1778863919">
    <w:abstractNumId w:val="2"/>
    <w:lvlOverride w:ilvl="0"/>
    <w:lvlOverride w:ilvl="1"/>
    <w:lvlOverride w:ilvl="2"/>
    <w:lvlOverride w:ilvl="3"/>
    <w:lvlOverride w:ilvl="4"/>
    <w:lvlOverride w:ilvl="5"/>
    <w:lvlOverride w:ilvl="6"/>
    <w:lvlOverride w:ilvl="7"/>
    <w:lvlOverride w:ilvl="8"/>
  </w:num>
  <w:num w:numId="4" w16cid:durableId="129327254">
    <w:abstractNumId w:val="0"/>
    <w:lvlOverride w:ilvl="0"/>
    <w:lvlOverride w:ilvl="1"/>
    <w:lvlOverride w:ilvl="2"/>
    <w:lvlOverride w:ilvl="3"/>
    <w:lvlOverride w:ilvl="4"/>
    <w:lvlOverride w:ilvl="5"/>
    <w:lvlOverride w:ilvl="6"/>
    <w:lvlOverride w:ilvl="7"/>
    <w:lvlOverride w:ilvl="8"/>
  </w:num>
  <w:num w:numId="5" w16cid:durableId="642589199">
    <w:abstractNumId w:val="6"/>
    <w:lvlOverride w:ilvl="0"/>
    <w:lvlOverride w:ilvl="1"/>
    <w:lvlOverride w:ilvl="2"/>
    <w:lvlOverride w:ilvl="3"/>
    <w:lvlOverride w:ilvl="4"/>
    <w:lvlOverride w:ilvl="5"/>
    <w:lvlOverride w:ilvl="6"/>
    <w:lvlOverride w:ilvl="7"/>
    <w:lvlOverride w:ilvl="8"/>
  </w:num>
  <w:num w:numId="6" w16cid:durableId="1758550987">
    <w:abstractNumId w:val="5"/>
    <w:lvlOverride w:ilvl="0"/>
    <w:lvlOverride w:ilvl="1"/>
    <w:lvlOverride w:ilvl="2"/>
    <w:lvlOverride w:ilvl="3"/>
    <w:lvlOverride w:ilvl="4"/>
    <w:lvlOverride w:ilvl="5"/>
    <w:lvlOverride w:ilvl="6"/>
    <w:lvlOverride w:ilvl="7"/>
    <w:lvlOverride w:ilvl="8"/>
  </w:num>
  <w:num w:numId="7" w16cid:durableId="120914867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80"/>
    <w:rsid w:val="009915CA"/>
    <w:rsid w:val="00CC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43DC"/>
  <w15:chartTrackingRefBased/>
  <w15:docId w15:val="{44062F74-C067-4A76-950E-1E1866B3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580"/>
    <w:rPr>
      <w:rFonts w:eastAsiaTheme="majorEastAsia" w:cstheme="majorBidi"/>
      <w:color w:val="272727" w:themeColor="text1" w:themeTint="D8"/>
    </w:rPr>
  </w:style>
  <w:style w:type="paragraph" w:styleId="Title">
    <w:name w:val="Title"/>
    <w:basedOn w:val="Normal"/>
    <w:next w:val="Normal"/>
    <w:link w:val="TitleChar"/>
    <w:uiPriority w:val="10"/>
    <w:qFormat/>
    <w:rsid w:val="00CC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580"/>
    <w:pPr>
      <w:spacing w:before="160"/>
      <w:jc w:val="center"/>
    </w:pPr>
    <w:rPr>
      <w:i/>
      <w:iCs/>
      <w:color w:val="404040" w:themeColor="text1" w:themeTint="BF"/>
    </w:rPr>
  </w:style>
  <w:style w:type="character" w:customStyle="1" w:styleId="QuoteChar">
    <w:name w:val="Quote Char"/>
    <w:basedOn w:val="DefaultParagraphFont"/>
    <w:link w:val="Quote"/>
    <w:uiPriority w:val="29"/>
    <w:rsid w:val="00CC5580"/>
    <w:rPr>
      <w:i/>
      <w:iCs/>
      <w:color w:val="404040" w:themeColor="text1" w:themeTint="BF"/>
    </w:rPr>
  </w:style>
  <w:style w:type="paragraph" w:styleId="ListParagraph">
    <w:name w:val="List Paragraph"/>
    <w:basedOn w:val="Normal"/>
    <w:uiPriority w:val="34"/>
    <w:qFormat/>
    <w:rsid w:val="00CC5580"/>
    <w:pPr>
      <w:ind w:left="720"/>
      <w:contextualSpacing/>
    </w:pPr>
  </w:style>
  <w:style w:type="character" w:styleId="IntenseEmphasis">
    <w:name w:val="Intense Emphasis"/>
    <w:basedOn w:val="DefaultParagraphFont"/>
    <w:uiPriority w:val="21"/>
    <w:qFormat/>
    <w:rsid w:val="00CC5580"/>
    <w:rPr>
      <w:i/>
      <w:iCs/>
      <w:color w:val="0F4761" w:themeColor="accent1" w:themeShade="BF"/>
    </w:rPr>
  </w:style>
  <w:style w:type="paragraph" w:styleId="IntenseQuote">
    <w:name w:val="Intense Quote"/>
    <w:basedOn w:val="Normal"/>
    <w:next w:val="Normal"/>
    <w:link w:val="IntenseQuoteChar"/>
    <w:uiPriority w:val="30"/>
    <w:qFormat/>
    <w:rsid w:val="00CC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580"/>
    <w:rPr>
      <w:i/>
      <w:iCs/>
      <w:color w:val="0F4761" w:themeColor="accent1" w:themeShade="BF"/>
    </w:rPr>
  </w:style>
  <w:style w:type="character" w:styleId="IntenseReference">
    <w:name w:val="Intense Reference"/>
    <w:basedOn w:val="DefaultParagraphFont"/>
    <w:uiPriority w:val="32"/>
    <w:qFormat/>
    <w:rsid w:val="00CC5580"/>
    <w:rPr>
      <w:b/>
      <w:bCs/>
      <w:smallCaps/>
      <w:color w:val="0F4761" w:themeColor="accent1" w:themeShade="BF"/>
      <w:spacing w:val="5"/>
    </w:rPr>
  </w:style>
  <w:style w:type="character" w:styleId="Hyperlink">
    <w:name w:val="Hyperlink"/>
    <w:basedOn w:val="DefaultParagraphFont"/>
    <w:uiPriority w:val="99"/>
    <w:unhideWhenUsed/>
    <w:rsid w:val="00CC5580"/>
    <w:rPr>
      <w:color w:val="467886" w:themeColor="hyperlink"/>
      <w:u w:val="single"/>
    </w:rPr>
  </w:style>
  <w:style w:type="character" w:styleId="UnresolvedMention">
    <w:name w:val="Unresolved Mention"/>
    <w:basedOn w:val="DefaultParagraphFont"/>
    <w:uiPriority w:val="99"/>
    <w:semiHidden/>
    <w:unhideWhenUsed/>
    <w:rsid w:val="00CC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BC6E.60B03F60" TargetMode="External"/><Relationship Id="rId13" Type="http://schemas.openxmlformats.org/officeDocument/2006/relationships/image" Target="media/image4.png"/><Relationship Id="rId18" Type="http://schemas.openxmlformats.org/officeDocument/2006/relationships/hyperlink" Target="https://www.in.gov/sba/grants/resources-for-state-agencies/grantor/" TargetMode="External"/><Relationship Id="rId3" Type="http://schemas.openxmlformats.org/officeDocument/2006/relationships/settings" Target="settings.xml"/><Relationship Id="rId21" Type="http://schemas.openxmlformats.org/officeDocument/2006/relationships/hyperlink" Target="https://www.in.gov/sba/grants/Federal-Grants-Resources/" TargetMode="External"/><Relationship Id="rId7" Type="http://schemas.openxmlformats.org/officeDocument/2006/relationships/image" Target="media/image2.png"/><Relationship Id="rId12" Type="http://schemas.openxmlformats.org/officeDocument/2006/relationships/hyperlink" Target="https://forms.office.com/pages/responsepage.aspx?id=ur-ZIQmkE0-wxBi0WTPYjTBo-F1ykF5Do0javma7AMNUMFhKNTZSQ0JPRVlRWk5NUkhXQ0tIQjIxSy4u&amp;route=shorturl" TargetMode="External"/><Relationship Id="rId17" Type="http://schemas.openxmlformats.org/officeDocument/2006/relationships/hyperlink" Target="https://www.in.gov/sba/grants/resources-for-state-agencies/grantor/" TargetMode="External"/><Relationship Id="rId2" Type="http://schemas.openxmlformats.org/officeDocument/2006/relationships/styles" Target="styles.xml"/><Relationship Id="rId16" Type="http://schemas.openxmlformats.org/officeDocument/2006/relationships/hyperlink" Target="https://www.in.gov/sba/grants/resources-for-state-agencies/grantee/" TargetMode="External"/><Relationship Id="rId20" Type="http://schemas.openxmlformats.org/officeDocument/2006/relationships/hyperlink" Target="https://www.in.gov/sba/grants/resources-for-subrecipients/" TargetMode="External"/><Relationship Id="rId1" Type="http://schemas.openxmlformats.org/officeDocument/2006/relationships/numbering" Target="numbering.xml"/><Relationship Id="rId6" Type="http://schemas.openxmlformats.org/officeDocument/2006/relationships/image" Target="cid:image001.png@01DCBC6E.60B03F60" TargetMode="External"/><Relationship Id="rId11" Type="http://schemas.openxmlformats.org/officeDocument/2006/relationships/image" Target="cid:image003.png@01DCBC6E.60B03F60" TargetMode="External"/><Relationship Id="rId5" Type="http://schemas.openxmlformats.org/officeDocument/2006/relationships/image" Target="media/image1.png"/><Relationship Id="rId15" Type="http://schemas.openxmlformats.org/officeDocument/2006/relationships/hyperlink" Target="https://www.in.gov/sba/grants/resources-for-state-agencies/grante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in.gov/sba/grants/resources-for-subrecipients/" TargetMode="External"/><Relationship Id="rId4" Type="http://schemas.openxmlformats.org/officeDocument/2006/relationships/webSettings" Target="webSettings.xml"/><Relationship Id="rId9" Type="http://schemas.openxmlformats.org/officeDocument/2006/relationships/hyperlink" Target="https://teams.microsoft.com/meet/24630206619008?p=CWn0pbmroF69vvwAfs" TargetMode="External"/><Relationship Id="rId14" Type="http://schemas.openxmlformats.org/officeDocument/2006/relationships/image" Target="cid:image004.png@01DCBC6E.60B03F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1282</Characters>
  <Application>Microsoft Office Word</Application>
  <DocSecurity>0</DocSecurity>
  <Lines>28</Lines>
  <Paragraphs>11</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Schilling, David</dc:creator>
  <cp:keywords/>
  <dc:description/>
  <cp:lastModifiedBy>Schilling, David</cp:lastModifiedBy>
  <cp:revision>1</cp:revision>
  <dcterms:created xsi:type="dcterms:W3CDTF">2026-03-26T16:40:00Z</dcterms:created>
  <dcterms:modified xsi:type="dcterms:W3CDTF">2026-03-26T16:43:00Z</dcterms:modified>
</cp:coreProperties>
</file>