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9D90" w14:textId="7488A922" w:rsidR="005249B3" w:rsidRPr="005F538E" w:rsidRDefault="00572931" w:rsidP="00572931">
      <w:pPr>
        <w:jc w:val="center"/>
        <w:rPr>
          <w:rFonts w:ascii="Times New Roman" w:hAnsi="Times New Roman" w:cs="Times New Roman"/>
          <w:b/>
          <w:bCs/>
          <w:u w:val="single"/>
        </w:rPr>
      </w:pPr>
      <w:r>
        <w:rPr>
          <w:rFonts w:ascii="Times New Roman" w:hAnsi="Times New Roman" w:cs="Times New Roman"/>
          <w:b/>
          <w:bCs/>
          <w:u w:val="single"/>
        </w:rPr>
        <w:t>Items Required to be Contained in Regulation</w:t>
      </w:r>
    </w:p>
    <w:p w14:paraId="008DD47F" w14:textId="77777777" w:rsidR="005249B3" w:rsidRDefault="005249B3" w:rsidP="00E266D7">
      <w:pPr>
        <w:rPr>
          <w:rFonts w:ascii="Times New Roman" w:hAnsi="Times New Roman" w:cs="Times New Roman"/>
        </w:rPr>
      </w:pPr>
    </w:p>
    <w:p w14:paraId="52BC7F01" w14:textId="36309340" w:rsidR="00E266D7" w:rsidRDefault="00030B73" w:rsidP="00E266D7">
      <w:pPr>
        <w:rPr>
          <w:rFonts w:ascii="Times New Roman" w:hAnsi="Times New Roman" w:cs="Times New Roman"/>
        </w:rPr>
      </w:pPr>
      <w:r>
        <w:rPr>
          <w:rFonts w:ascii="Times New Roman" w:hAnsi="Times New Roman" w:cs="Times New Roman"/>
        </w:rPr>
        <w:t xml:space="preserve">A common question that arises as part of the rulemaking process is whether a particular requirement needs to be spelled out in regulation or whether it can be contained in agency policy, manual, directive, </w:t>
      </w:r>
      <w:r w:rsidR="00807583">
        <w:rPr>
          <w:rFonts w:ascii="Times New Roman" w:hAnsi="Times New Roman" w:cs="Times New Roman"/>
        </w:rPr>
        <w:t xml:space="preserve">contract, </w:t>
      </w:r>
      <w:r>
        <w:rPr>
          <w:rFonts w:ascii="Times New Roman" w:hAnsi="Times New Roman" w:cs="Times New Roman"/>
        </w:rPr>
        <w:t xml:space="preserve">or another vehicle short of formal regulation.  Agencies frequently want to maintain maximum flexibility </w:t>
      </w:r>
      <w:r w:rsidR="00807583">
        <w:rPr>
          <w:rFonts w:ascii="Times New Roman" w:hAnsi="Times New Roman" w:cs="Times New Roman"/>
        </w:rPr>
        <w:t xml:space="preserve">and are concerned that the formal rulemaking process does not provide them the ability to address dynamic and evolving challenges under their jurisdiction.  Balanced against this desire for flexibility is the statutory requirement that anything which constitutes an agency “rule” must be contained in regulation.  While there are many permutations and nuances to what constitutes a </w:t>
      </w:r>
      <w:r w:rsidR="00666876">
        <w:rPr>
          <w:rFonts w:ascii="Times New Roman" w:hAnsi="Times New Roman" w:cs="Times New Roman"/>
        </w:rPr>
        <w:t>“</w:t>
      </w:r>
      <w:r w:rsidR="00807583">
        <w:rPr>
          <w:rFonts w:ascii="Times New Roman" w:hAnsi="Times New Roman" w:cs="Times New Roman"/>
        </w:rPr>
        <w:t>rule,</w:t>
      </w:r>
      <w:r w:rsidR="00666876">
        <w:rPr>
          <w:rFonts w:ascii="Times New Roman" w:hAnsi="Times New Roman" w:cs="Times New Roman"/>
        </w:rPr>
        <w:t>”</w:t>
      </w:r>
      <w:r w:rsidR="00807583">
        <w:rPr>
          <w:rFonts w:ascii="Times New Roman" w:hAnsi="Times New Roman" w:cs="Times New Roman"/>
        </w:rPr>
        <w:t xml:space="preserve"> e</w:t>
      </w:r>
      <w:r w:rsidR="00C752EC">
        <w:rPr>
          <w:rFonts w:ascii="Times New Roman" w:hAnsi="Times New Roman" w:cs="Times New Roman"/>
        </w:rPr>
        <w:t xml:space="preserve">ssentially the test </w:t>
      </w:r>
      <w:r w:rsidR="00807583">
        <w:rPr>
          <w:rFonts w:ascii="Times New Roman" w:hAnsi="Times New Roman" w:cs="Times New Roman"/>
        </w:rPr>
        <w:t xml:space="preserve">is whether </w:t>
      </w:r>
      <w:r w:rsidR="00C752EC">
        <w:rPr>
          <w:rFonts w:ascii="Times New Roman" w:hAnsi="Times New Roman" w:cs="Times New Roman"/>
        </w:rPr>
        <w:t>an agency standard carries the effect of law</w:t>
      </w:r>
      <w:r w:rsidR="00666876">
        <w:rPr>
          <w:rFonts w:ascii="Times New Roman" w:hAnsi="Times New Roman" w:cs="Times New Roman"/>
        </w:rPr>
        <w:t xml:space="preserve">, in other words, </w:t>
      </w:r>
      <w:r w:rsidR="00C752EC">
        <w:rPr>
          <w:rFonts w:ascii="Times New Roman" w:hAnsi="Times New Roman" w:cs="Times New Roman"/>
        </w:rPr>
        <w:t>“when it prescribes binding standards of conduct for persons subject to agency authority.”</w:t>
      </w:r>
    </w:p>
    <w:p w14:paraId="24612FB8" w14:textId="2686E5C3" w:rsidR="00E266D7" w:rsidRDefault="00E266D7" w:rsidP="00E266D7">
      <w:pPr>
        <w:rPr>
          <w:rFonts w:ascii="Times New Roman" w:hAnsi="Times New Roman" w:cs="Times New Roman"/>
        </w:rPr>
      </w:pPr>
    </w:p>
    <w:p w14:paraId="20292F13" w14:textId="63EBDA7A" w:rsidR="00666876" w:rsidRPr="000B5ED6" w:rsidRDefault="00F53943" w:rsidP="00666876">
      <w:pPr>
        <w:ind w:firstLine="720"/>
        <w:rPr>
          <w:rFonts w:ascii="Times New Roman" w:hAnsi="Times New Roman" w:cs="Times New Roman"/>
          <w:i/>
          <w:iCs/>
          <w:u w:val="single"/>
        </w:rPr>
      </w:pPr>
      <w:r>
        <w:rPr>
          <w:rFonts w:ascii="Times New Roman" w:hAnsi="Times New Roman" w:cs="Times New Roman"/>
        </w:rPr>
        <w:t>I</w:t>
      </w:r>
      <w:r w:rsidR="00572931">
        <w:rPr>
          <w:rFonts w:ascii="Times New Roman" w:hAnsi="Times New Roman" w:cs="Times New Roman"/>
          <w:i/>
          <w:iCs/>
        </w:rPr>
        <w:t xml:space="preserve">. </w:t>
      </w:r>
      <w:r w:rsidR="00666876" w:rsidRPr="000B5ED6">
        <w:rPr>
          <w:rFonts w:ascii="Times New Roman" w:hAnsi="Times New Roman" w:cs="Times New Roman"/>
          <w:i/>
          <w:iCs/>
          <w:u w:val="single"/>
        </w:rPr>
        <w:t>What is a Rule</w:t>
      </w:r>
    </w:p>
    <w:p w14:paraId="7C60668E" w14:textId="77777777" w:rsidR="00666876" w:rsidRDefault="00666876" w:rsidP="00E266D7">
      <w:pPr>
        <w:rPr>
          <w:rFonts w:ascii="Times New Roman" w:hAnsi="Times New Roman" w:cs="Times New Roman"/>
        </w:rPr>
      </w:pPr>
    </w:p>
    <w:p w14:paraId="3890C9F8" w14:textId="144EBB08" w:rsidR="00E266D7" w:rsidRDefault="00E266D7" w:rsidP="00E266D7">
      <w:pPr>
        <w:rPr>
          <w:rFonts w:ascii="Times New Roman" w:hAnsi="Times New Roman" w:cs="Times New Roman"/>
        </w:rPr>
      </w:pPr>
      <w:r>
        <w:rPr>
          <w:rFonts w:ascii="Times New Roman" w:hAnsi="Times New Roman" w:cs="Times New Roman"/>
        </w:rPr>
        <w:t>The Administrative Rules and Procedures Act (ARPA) governs agency rulemaking, Ind. Code Art. 4-22. ARPA applies “</w:t>
      </w:r>
      <w:r w:rsidRPr="00E266D7">
        <w:rPr>
          <w:rFonts w:ascii="Times New Roman" w:hAnsi="Times New Roman" w:cs="Times New Roman"/>
        </w:rPr>
        <w:t>to the addition, amendment, or repeal of a rule in every rulemaking action.</w:t>
      </w:r>
      <w:r>
        <w:rPr>
          <w:rFonts w:ascii="Times New Roman" w:hAnsi="Times New Roman" w:cs="Times New Roman"/>
        </w:rPr>
        <w:t xml:space="preserve">”  Ind. Code § 4–22–2–13(a). ARPA defines a “rule” as: </w:t>
      </w:r>
    </w:p>
    <w:p w14:paraId="2E4805D7" w14:textId="77777777" w:rsidR="00E266D7" w:rsidRDefault="00E266D7" w:rsidP="00E266D7">
      <w:pPr>
        <w:rPr>
          <w:rFonts w:ascii="Times New Roman" w:hAnsi="Times New Roman" w:cs="Times New Roman"/>
        </w:rPr>
      </w:pPr>
    </w:p>
    <w:p w14:paraId="1C3876C7" w14:textId="25A10BA2" w:rsidR="00E266D7" w:rsidRDefault="00E266D7" w:rsidP="00E266D7">
      <w:pPr>
        <w:ind w:left="720" w:right="720"/>
        <w:rPr>
          <w:rFonts w:ascii="Times New Roman" w:hAnsi="Times New Roman" w:cs="Times New Roman"/>
        </w:rPr>
      </w:pPr>
      <w:r>
        <w:rPr>
          <w:rFonts w:ascii="Times New Roman" w:hAnsi="Times New Roman" w:cs="Times New Roman"/>
        </w:rPr>
        <w:t>the whole or any part of an agency statement of general applicability that:</w:t>
      </w:r>
    </w:p>
    <w:p w14:paraId="3D316185" w14:textId="77777777" w:rsidR="00E266D7" w:rsidRDefault="00E266D7" w:rsidP="00E266D7">
      <w:pPr>
        <w:ind w:left="720" w:right="720" w:firstLine="720"/>
        <w:rPr>
          <w:rFonts w:ascii="Times New Roman" w:hAnsi="Times New Roman" w:cs="Times New Roman"/>
        </w:rPr>
      </w:pPr>
      <w:r>
        <w:rPr>
          <w:rFonts w:ascii="Times New Roman" w:hAnsi="Times New Roman" w:cs="Times New Roman"/>
        </w:rPr>
        <w:t xml:space="preserve">(1) has or is designed to </w:t>
      </w:r>
      <w:r w:rsidRPr="003651EF">
        <w:rPr>
          <w:rFonts w:ascii="Times New Roman" w:hAnsi="Times New Roman" w:cs="Times New Roman"/>
          <w:i/>
          <w:iCs/>
        </w:rPr>
        <w:t>have the effect of law</w:t>
      </w:r>
      <w:r>
        <w:rPr>
          <w:rFonts w:ascii="Times New Roman" w:hAnsi="Times New Roman" w:cs="Times New Roman"/>
        </w:rPr>
        <w:t>; and</w:t>
      </w:r>
    </w:p>
    <w:p w14:paraId="2A77121F" w14:textId="77777777" w:rsidR="00E266D7" w:rsidRDefault="00E266D7" w:rsidP="00E266D7">
      <w:pPr>
        <w:ind w:left="720" w:right="720" w:firstLine="720"/>
        <w:rPr>
          <w:rFonts w:ascii="Times New Roman" w:hAnsi="Times New Roman" w:cs="Times New Roman"/>
        </w:rPr>
      </w:pPr>
      <w:r>
        <w:rPr>
          <w:rFonts w:ascii="Times New Roman" w:hAnsi="Times New Roman" w:cs="Times New Roman"/>
        </w:rPr>
        <w:t xml:space="preserve">(2) implements, </w:t>
      </w:r>
      <w:proofErr w:type="gramStart"/>
      <w:r>
        <w:rPr>
          <w:rFonts w:ascii="Times New Roman" w:hAnsi="Times New Roman" w:cs="Times New Roman"/>
        </w:rPr>
        <w:t>interprets</w:t>
      </w:r>
      <w:proofErr w:type="gramEnd"/>
      <w:r>
        <w:rPr>
          <w:rFonts w:ascii="Times New Roman" w:hAnsi="Times New Roman" w:cs="Times New Roman"/>
        </w:rPr>
        <w:t xml:space="preserve"> or prescribes:</w:t>
      </w:r>
    </w:p>
    <w:p w14:paraId="34FEEAD5" w14:textId="77777777" w:rsidR="00E266D7" w:rsidRDefault="00E266D7" w:rsidP="00E266D7">
      <w:pPr>
        <w:ind w:left="1440" w:right="720" w:firstLine="720"/>
        <w:rPr>
          <w:rFonts w:ascii="Times New Roman" w:hAnsi="Times New Roman" w:cs="Times New Roman"/>
        </w:rPr>
      </w:pPr>
      <w:r>
        <w:rPr>
          <w:rFonts w:ascii="Times New Roman" w:hAnsi="Times New Roman" w:cs="Times New Roman"/>
        </w:rPr>
        <w:t>(A) law or policy; or</w:t>
      </w:r>
    </w:p>
    <w:p w14:paraId="3283B05E" w14:textId="77777777" w:rsidR="00E266D7" w:rsidRDefault="00E266D7" w:rsidP="00E266D7">
      <w:pPr>
        <w:ind w:left="1440" w:right="720" w:firstLine="720"/>
        <w:rPr>
          <w:rFonts w:ascii="Times New Roman" w:hAnsi="Times New Roman" w:cs="Times New Roman"/>
        </w:rPr>
      </w:pPr>
      <w:r>
        <w:rPr>
          <w:rFonts w:ascii="Times New Roman" w:hAnsi="Times New Roman" w:cs="Times New Roman"/>
        </w:rPr>
        <w:t>(B) the organization, procedure, or practice requirements of an agency.</w:t>
      </w:r>
    </w:p>
    <w:p w14:paraId="44FA277D" w14:textId="77777777" w:rsidR="00E266D7" w:rsidRDefault="00E266D7" w:rsidP="00E266D7">
      <w:pPr>
        <w:rPr>
          <w:rFonts w:ascii="Times New Roman" w:hAnsi="Times New Roman" w:cs="Times New Roman"/>
        </w:rPr>
      </w:pPr>
    </w:p>
    <w:p w14:paraId="054C078C" w14:textId="7F3E9DCC" w:rsidR="00312252" w:rsidRDefault="00E266D7" w:rsidP="00312252">
      <w:pPr>
        <w:rPr>
          <w:rFonts w:ascii="Times New Roman" w:hAnsi="Times New Roman" w:cs="Times New Roman"/>
        </w:rPr>
      </w:pPr>
      <w:r>
        <w:rPr>
          <w:rFonts w:ascii="Times New Roman" w:hAnsi="Times New Roman" w:cs="Times New Roman"/>
        </w:rPr>
        <w:t>IC § 4–22–2–3(b)</w:t>
      </w:r>
      <w:r w:rsidR="003651EF">
        <w:rPr>
          <w:rFonts w:ascii="Times New Roman" w:hAnsi="Times New Roman" w:cs="Times New Roman"/>
        </w:rPr>
        <w:t xml:space="preserve"> (emphasis added)</w:t>
      </w:r>
      <w:r>
        <w:rPr>
          <w:rFonts w:ascii="Times New Roman" w:hAnsi="Times New Roman" w:cs="Times New Roman"/>
        </w:rPr>
        <w:t xml:space="preserve">.  </w:t>
      </w:r>
      <w:r w:rsidR="00312252">
        <w:rPr>
          <w:rFonts w:ascii="Times New Roman" w:hAnsi="Times New Roman" w:cs="Times New Roman"/>
        </w:rPr>
        <w:t xml:space="preserve">The procedural requirements of ARPA, however, do not apply to “[a] resolution or directive of any agency that relates solely to internal policy, internal agency organization, or internal procedure and does </w:t>
      </w:r>
      <w:r w:rsidR="00312252" w:rsidRPr="003651EF">
        <w:rPr>
          <w:rFonts w:ascii="Times New Roman" w:hAnsi="Times New Roman" w:cs="Times New Roman"/>
          <w:i/>
          <w:iCs/>
        </w:rPr>
        <w:t>not have the effect of law</w:t>
      </w:r>
      <w:r w:rsidR="00312252">
        <w:rPr>
          <w:rFonts w:ascii="Times New Roman" w:hAnsi="Times New Roman" w:cs="Times New Roman"/>
        </w:rPr>
        <w:t>.”  IC § 4–22–2–13(c)(1) (emphasis added).</w:t>
      </w:r>
    </w:p>
    <w:p w14:paraId="2038A1FC" w14:textId="77777777" w:rsidR="00312252" w:rsidRDefault="00312252" w:rsidP="00312252">
      <w:pPr>
        <w:rPr>
          <w:rFonts w:ascii="Times New Roman" w:hAnsi="Times New Roman" w:cs="Times New Roman"/>
        </w:rPr>
      </w:pPr>
    </w:p>
    <w:p w14:paraId="3F183B5C" w14:textId="77777777" w:rsidR="003651EF" w:rsidRDefault="003651EF" w:rsidP="003651EF">
      <w:pPr>
        <w:rPr>
          <w:rFonts w:ascii="Times New Roman" w:hAnsi="Times New Roman" w:cs="Times New Roman"/>
        </w:rPr>
      </w:pPr>
      <w:r>
        <w:rPr>
          <w:rFonts w:ascii="Times New Roman" w:hAnsi="Times New Roman" w:cs="Times New Roman"/>
        </w:rPr>
        <w:t xml:space="preserve">Case law has similarly defined an administrative rule as having the following four elements: </w:t>
      </w:r>
    </w:p>
    <w:p w14:paraId="6B8186C7" w14:textId="77777777" w:rsidR="003651EF" w:rsidRDefault="003651EF" w:rsidP="003651EF">
      <w:pPr>
        <w:rPr>
          <w:rFonts w:ascii="Times New Roman" w:hAnsi="Times New Roman" w:cs="Times New Roman"/>
        </w:rPr>
      </w:pPr>
    </w:p>
    <w:p w14:paraId="5B491D7A" w14:textId="77777777" w:rsidR="003651EF" w:rsidRDefault="003651EF" w:rsidP="003651EF">
      <w:pPr>
        <w:ind w:firstLine="720"/>
        <w:rPr>
          <w:rFonts w:ascii="Times New Roman" w:hAnsi="Times New Roman" w:cs="Times New Roman"/>
        </w:rPr>
      </w:pPr>
      <w:r>
        <w:rPr>
          <w:rFonts w:ascii="Times New Roman" w:hAnsi="Times New Roman" w:cs="Times New Roman"/>
        </w:rPr>
        <w:t xml:space="preserve">(1) “an agency statement of general applicability to a class;” </w:t>
      </w:r>
    </w:p>
    <w:p w14:paraId="5DA99C4A" w14:textId="77777777" w:rsidR="003651EF" w:rsidRDefault="003651EF" w:rsidP="003651EF">
      <w:pPr>
        <w:ind w:firstLine="720"/>
        <w:rPr>
          <w:rFonts w:ascii="Times New Roman" w:hAnsi="Times New Roman" w:cs="Times New Roman"/>
        </w:rPr>
      </w:pPr>
      <w:r>
        <w:rPr>
          <w:rFonts w:ascii="Times New Roman" w:hAnsi="Times New Roman" w:cs="Times New Roman"/>
        </w:rPr>
        <w:t xml:space="preserve">(2) that is “applied prospectively to the class;” </w:t>
      </w:r>
    </w:p>
    <w:p w14:paraId="2A1F50DC" w14:textId="77777777" w:rsidR="003651EF" w:rsidRDefault="003651EF" w:rsidP="003651EF">
      <w:pPr>
        <w:ind w:firstLine="720"/>
        <w:rPr>
          <w:rFonts w:ascii="Times New Roman" w:hAnsi="Times New Roman" w:cs="Times New Roman"/>
        </w:rPr>
      </w:pPr>
      <w:r>
        <w:rPr>
          <w:rFonts w:ascii="Times New Roman" w:hAnsi="Times New Roman" w:cs="Times New Roman"/>
        </w:rPr>
        <w:t xml:space="preserve">(3) that is “applied as though it </w:t>
      </w:r>
      <w:r w:rsidRPr="003651EF">
        <w:rPr>
          <w:rFonts w:ascii="Times New Roman" w:hAnsi="Times New Roman" w:cs="Times New Roman"/>
          <w:i/>
          <w:iCs/>
        </w:rPr>
        <w:t>has the</w:t>
      </w:r>
      <w:r>
        <w:rPr>
          <w:rFonts w:ascii="Times New Roman" w:hAnsi="Times New Roman" w:cs="Times New Roman"/>
        </w:rPr>
        <w:t xml:space="preserve"> </w:t>
      </w:r>
      <w:r w:rsidRPr="003651EF">
        <w:rPr>
          <w:rFonts w:ascii="Times New Roman" w:hAnsi="Times New Roman" w:cs="Times New Roman"/>
          <w:i/>
          <w:iCs/>
        </w:rPr>
        <w:t>effect of law</w:t>
      </w:r>
      <w:r>
        <w:rPr>
          <w:rFonts w:ascii="Times New Roman" w:hAnsi="Times New Roman" w:cs="Times New Roman"/>
        </w:rPr>
        <w:t xml:space="preserve">;” and </w:t>
      </w:r>
    </w:p>
    <w:p w14:paraId="2510EED4" w14:textId="77777777" w:rsidR="003651EF" w:rsidRDefault="003651EF" w:rsidP="003651EF">
      <w:pPr>
        <w:ind w:firstLine="720"/>
        <w:rPr>
          <w:rFonts w:ascii="Times New Roman" w:hAnsi="Times New Roman" w:cs="Times New Roman"/>
        </w:rPr>
      </w:pPr>
      <w:r>
        <w:rPr>
          <w:rFonts w:ascii="Times New Roman" w:hAnsi="Times New Roman" w:cs="Times New Roman"/>
        </w:rPr>
        <w:t xml:space="preserve">(4) that “affect[s] the substantive rights of the class.” </w:t>
      </w:r>
    </w:p>
    <w:p w14:paraId="66FBB6F9" w14:textId="77777777" w:rsidR="003651EF" w:rsidRDefault="003651EF" w:rsidP="003651EF">
      <w:pPr>
        <w:rPr>
          <w:rFonts w:ascii="Times New Roman" w:hAnsi="Times New Roman" w:cs="Times New Roman"/>
        </w:rPr>
      </w:pPr>
    </w:p>
    <w:p w14:paraId="085700A1" w14:textId="24E82E3C" w:rsidR="003651EF" w:rsidRDefault="003651EF" w:rsidP="003651EF">
      <w:pPr>
        <w:rPr>
          <w:rFonts w:ascii="Times New Roman" w:hAnsi="Times New Roman" w:cs="Times New Roman"/>
        </w:rPr>
      </w:pPr>
      <w:r w:rsidRPr="003651EF">
        <w:rPr>
          <w:rFonts w:ascii="Times New Roman" w:hAnsi="Times New Roman" w:cs="Times New Roman"/>
          <w:i/>
          <w:iCs/>
        </w:rPr>
        <w:t>Villegas v. Silverman</w:t>
      </w:r>
      <w:r>
        <w:rPr>
          <w:rFonts w:ascii="Times New Roman" w:hAnsi="Times New Roman" w:cs="Times New Roman"/>
        </w:rPr>
        <w:t xml:space="preserve">, 832 N.E.2d 598, 609 (Ind. Ct. App. 2005) (emphasis added) (citing </w:t>
      </w:r>
      <w:proofErr w:type="spellStart"/>
      <w:r w:rsidRPr="003651EF">
        <w:rPr>
          <w:rFonts w:ascii="Times New Roman" w:hAnsi="Times New Roman" w:cs="Times New Roman"/>
          <w:i/>
          <w:iCs/>
        </w:rPr>
        <w:t>Blinzinger</w:t>
      </w:r>
      <w:proofErr w:type="spellEnd"/>
      <w:r w:rsidRPr="003651EF">
        <w:rPr>
          <w:rFonts w:ascii="Times New Roman" w:hAnsi="Times New Roman" w:cs="Times New Roman"/>
          <w:i/>
          <w:iCs/>
        </w:rPr>
        <w:t xml:space="preserve"> v. Americana Healthcare Corp.</w:t>
      </w:r>
      <w:r>
        <w:rPr>
          <w:rFonts w:ascii="Times New Roman" w:hAnsi="Times New Roman" w:cs="Times New Roman"/>
        </w:rPr>
        <w:t>, 466 N.E.2d 1371, 1375 (Ind. Ct. App. 1984)).</w:t>
      </w:r>
    </w:p>
    <w:p w14:paraId="586CBB2F" w14:textId="77777777" w:rsidR="003651EF" w:rsidRDefault="003651EF" w:rsidP="003651EF">
      <w:pPr>
        <w:rPr>
          <w:rFonts w:ascii="Times New Roman" w:hAnsi="Times New Roman" w:cs="Times New Roman"/>
        </w:rPr>
      </w:pPr>
    </w:p>
    <w:p w14:paraId="5060E7AE" w14:textId="3190EB40" w:rsidR="00C752EC" w:rsidRDefault="00312252" w:rsidP="00C752EC">
      <w:pPr>
        <w:rPr>
          <w:rFonts w:ascii="Times New Roman" w:hAnsi="Times New Roman" w:cs="Times New Roman"/>
        </w:rPr>
      </w:pPr>
      <w:r>
        <w:rPr>
          <w:rFonts w:ascii="Times New Roman" w:hAnsi="Times New Roman" w:cs="Times New Roman"/>
        </w:rPr>
        <w:t>Thus, whether an agency requirement carries the “effect of law” is a key question in determining whether the requirement must be contained in regulation, and subject to the formal rulemaking process in AR</w:t>
      </w:r>
      <w:r w:rsidR="00924056">
        <w:rPr>
          <w:rFonts w:ascii="Times New Roman" w:hAnsi="Times New Roman" w:cs="Times New Roman"/>
        </w:rPr>
        <w:t>P</w:t>
      </w:r>
      <w:r>
        <w:rPr>
          <w:rFonts w:ascii="Times New Roman" w:hAnsi="Times New Roman" w:cs="Times New Roman"/>
        </w:rPr>
        <w:t xml:space="preserve">A, or may merely be contained in an internal policy or procedure and </w:t>
      </w:r>
      <w:r w:rsidR="00666876">
        <w:rPr>
          <w:rFonts w:ascii="Times New Roman" w:hAnsi="Times New Roman" w:cs="Times New Roman"/>
        </w:rPr>
        <w:t>exempt from</w:t>
      </w:r>
      <w:r>
        <w:rPr>
          <w:rFonts w:ascii="Times New Roman" w:hAnsi="Times New Roman" w:cs="Times New Roman"/>
        </w:rPr>
        <w:t xml:space="preserve"> the formal rulemaking process.  </w:t>
      </w:r>
      <w:r w:rsidR="003651EF">
        <w:rPr>
          <w:rFonts w:ascii="Times New Roman" w:hAnsi="Times New Roman" w:cs="Times New Roman"/>
        </w:rPr>
        <w:t>The Indiana Supreme Court</w:t>
      </w:r>
      <w:r>
        <w:rPr>
          <w:rFonts w:ascii="Times New Roman" w:hAnsi="Times New Roman" w:cs="Times New Roman"/>
        </w:rPr>
        <w:t xml:space="preserve"> </w:t>
      </w:r>
      <w:r w:rsidR="00C752EC">
        <w:rPr>
          <w:rFonts w:ascii="Times New Roman" w:hAnsi="Times New Roman" w:cs="Times New Roman"/>
        </w:rPr>
        <w:t>has explained the “effect of law” standard as follows:</w:t>
      </w:r>
    </w:p>
    <w:p w14:paraId="4F8BA052" w14:textId="77777777" w:rsidR="00C752EC" w:rsidRDefault="00C752EC" w:rsidP="00C752EC">
      <w:pPr>
        <w:rPr>
          <w:rFonts w:ascii="Times New Roman" w:hAnsi="Times New Roman" w:cs="Times New Roman"/>
        </w:rPr>
      </w:pPr>
    </w:p>
    <w:p w14:paraId="1886E5AC" w14:textId="281F663B" w:rsidR="00C752EC" w:rsidRDefault="00E266D7" w:rsidP="00C752EC">
      <w:pPr>
        <w:ind w:left="720" w:right="720"/>
        <w:rPr>
          <w:rFonts w:ascii="Times New Roman" w:hAnsi="Times New Roman" w:cs="Times New Roman"/>
        </w:rPr>
      </w:pPr>
      <w:r>
        <w:rPr>
          <w:rFonts w:ascii="Times New Roman" w:hAnsi="Times New Roman" w:cs="Times New Roman"/>
        </w:rPr>
        <w:t xml:space="preserve">Weaving together this federal and state precedent, we observe a common thread—a rule carrying the effect of law primarily affects individual rights and obligations by setting binding standards of conduct for persons subject to its authority. This ‘effect of law’ concept manifests in everyday situations where Hoosiers must conform their conduct to meet agency standards. To be sure, when an agency standard requires citizens to alter their behavior—i.e., when it regulates their conduct—it necessarily affects the citizens’ rights or obligations because it compels them to do something they would not do </w:t>
      </w:r>
      <w:r>
        <w:rPr>
          <w:rFonts w:ascii="Times New Roman" w:hAnsi="Times New Roman" w:cs="Times New Roman"/>
        </w:rPr>
        <w:lastRenderedPageBreak/>
        <w:t xml:space="preserve">otherwise or face legal consequences for noncompliance. And so that agency standard carries the effect of law. We therefore settle on the following summation of the phrase ‘effect of law’ for Indiana jurisprudence: </w:t>
      </w:r>
      <w:r w:rsidRPr="00FD3A0B">
        <w:rPr>
          <w:rFonts w:ascii="Times New Roman" w:hAnsi="Times New Roman" w:cs="Times New Roman"/>
          <w:b/>
          <w:bCs/>
        </w:rPr>
        <w:t>An agency regulation carries the effect of law when it prescribes binding standards of conduct for persons subject to agency authority</w:t>
      </w:r>
      <w:r>
        <w:rPr>
          <w:rFonts w:ascii="Times New Roman" w:hAnsi="Times New Roman" w:cs="Times New Roman"/>
        </w:rPr>
        <w:t>.</w:t>
      </w:r>
    </w:p>
    <w:p w14:paraId="629DCB38" w14:textId="77777777" w:rsidR="00C752EC" w:rsidRDefault="00C752EC" w:rsidP="00E266D7">
      <w:pPr>
        <w:rPr>
          <w:rFonts w:ascii="Times New Roman" w:hAnsi="Times New Roman" w:cs="Times New Roman"/>
        </w:rPr>
      </w:pPr>
    </w:p>
    <w:p w14:paraId="181EC154" w14:textId="34E97375" w:rsidR="00E266D7" w:rsidRDefault="00E266D7" w:rsidP="00E266D7">
      <w:pPr>
        <w:rPr>
          <w:rFonts w:ascii="Times New Roman" w:hAnsi="Times New Roman" w:cs="Times New Roman"/>
        </w:rPr>
      </w:pPr>
      <w:r>
        <w:rPr>
          <w:rFonts w:ascii="Times New Roman" w:hAnsi="Times New Roman" w:cs="Times New Roman"/>
          <w:i/>
          <w:iCs/>
        </w:rPr>
        <w:t>Ward v. Carter</w:t>
      </w:r>
      <w:r>
        <w:rPr>
          <w:rFonts w:ascii="Times New Roman" w:hAnsi="Times New Roman" w:cs="Times New Roman"/>
        </w:rPr>
        <w:t xml:space="preserve">, 90 N.E.3d 660, 665 (Ind.), </w:t>
      </w:r>
      <w:r>
        <w:rPr>
          <w:rFonts w:ascii="Times New Roman" w:hAnsi="Times New Roman" w:cs="Times New Roman"/>
          <w:i/>
          <w:iCs/>
        </w:rPr>
        <w:t>cert. denied</w:t>
      </w:r>
      <w:r>
        <w:rPr>
          <w:rFonts w:ascii="Times New Roman" w:hAnsi="Times New Roman" w:cs="Times New Roman"/>
        </w:rPr>
        <w:t>, 139 S. Ct. 240, 202 L. Ed. 2d 161 (2018)</w:t>
      </w:r>
      <w:r w:rsidR="00FD3A0B">
        <w:rPr>
          <w:rFonts w:ascii="Times New Roman" w:hAnsi="Times New Roman" w:cs="Times New Roman"/>
        </w:rPr>
        <w:t xml:space="preserve"> (</w:t>
      </w:r>
      <w:r w:rsidR="00FD3A0B">
        <w:rPr>
          <w:rFonts w:ascii="Times New Roman" w:hAnsi="Times New Roman" w:cs="Times New Roman"/>
          <w:i/>
          <w:iCs/>
        </w:rPr>
        <w:t>emphasis added</w:t>
      </w:r>
      <w:r w:rsidR="00FD3A0B">
        <w:rPr>
          <w:rFonts w:ascii="Times New Roman" w:hAnsi="Times New Roman" w:cs="Times New Roman"/>
        </w:rPr>
        <w:t>)</w:t>
      </w:r>
      <w:r>
        <w:rPr>
          <w:rFonts w:ascii="Times New Roman" w:hAnsi="Times New Roman" w:cs="Times New Roman"/>
        </w:rPr>
        <w:t xml:space="preserve">.  </w:t>
      </w:r>
    </w:p>
    <w:p w14:paraId="1A0A799A" w14:textId="77777777" w:rsidR="00666876" w:rsidRDefault="00666876" w:rsidP="00666876">
      <w:pPr>
        <w:rPr>
          <w:rFonts w:ascii="Times New Roman" w:hAnsi="Times New Roman" w:cs="Times New Roman"/>
        </w:rPr>
      </w:pPr>
    </w:p>
    <w:p w14:paraId="783EB940" w14:textId="16B22752" w:rsidR="00666876" w:rsidRDefault="00666876" w:rsidP="009A5A1E">
      <w:pPr>
        <w:rPr>
          <w:rFonts w:ascii="Times New Roman" w:hAnsi="Times New Roman" w:cs="Times New Roman"/>
        </w:rPr>
      </w:pPr>
      <w:r>
        <w:rPr>
          <w:rFonts w:ascii="Times New Roman" w:hAnsi="Times New Roman" w:cs="Times New Roman"/>
        </w:rPr>
        <w:t xml:space="preserve">Case law has established several helpful guidelines for determining whether a particular type of agency standard carries the effect of law:  </w:t>
      </w:r>
    </w:p>
    <w:p w14:paraId="0A272030" w14:textId="77777777" w:rsidR="00666876" w:rsidRDefault="00666876" w:rsidP="009A5A1E">
      <w:pPr>
        <w:rPr>
          <w:rFonts w:ascii="Times New Roman" w:hAnsi="Times New Roman" w:cs="Times New Roman"/>
        </w:rPr>
      </w:pPr>
    </w:p>
    <w:p w14:paraId="70207D0B" w14:textId="43B723F9" w:rsidR="009C4930" w:rsidRPr="009C4930" w:rsidRDefault="00F53943" w:rsidP="009C4930">
      <w:pPr>
        <w:ind w:firstLine="720"/>
        <w:rPr>
          <w:rFonts w:ascii="Times New Roman" w:hAnsi="Times New Roman" w:cs="Times New Roman"/>
          <w:i/>
          <w:iCs/>
        </w:rPr>
      </w:pPr>
      <w:r>
        <w:rPr>
          <w:rFonts w:ascii="Times New Roman" w:hAnsi="Times New Roman" w:cs="Times New Roman"/>
        </w:rPr>
        <w:t xml:space="preserve">II.  </w:t>
      </w:r>
      <w:r w:rsidR="009C4930" w:rsidRPr="000B5ED6">
        <w:rPr>
          <w:rFonts w:ascii="Times New Roman" w:hAnsi="Times New Roman" w:cs="Times New Roman"/>
          <w:i/>
          <w:iCs/>
          <w:u w:val="single"/>
        </w:rPr>
        <w:t>Internal Agency Policy vs. Regulation</w:t>
      </w:r>
    </w:p>
    <w:p w14:paraId="386BB8AD" w14:textId="77777777" w:rsidR="00666876" w:rsidRDefault="00666876" w:rsidP="009A5A1E">
      <w:pPr>
        <w:rPr>
          <w:rFonts w:ascii="Times New Roman" w:hAnsi="Times New Roman" w:cs="Times New Roman"/>
        </w:rPr>
      </w:pPr>
    </w:p>
    <w:p w14:paraId="6B7F9B1C" w14:textId="660FE9FC" w:rsidR="00666876" w:rsidRDefault="00666876" w:rsidP="00666876">
      <w:p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Ward</w:t>
      </w:r>
      <w:r>
        <w:rPr>
          <w:rFonts w:ascii="Times New Roman" w:hAnsi="Times New Roman" w:cs="Times New Roman"/>
        </w:rPr>
        <w:t xml:space="preserve">, the Plaintiff challenged a change by the Department of Corrections to the lethal </w:t>
      </w:r>
      <w:r w:rsidRPr="00187474">
        <w:rPr>
          <w:rFonts w:ascii="Times New Roman" w:hAnsi="Times New Roman" w:cs="Times New Roman"/>
        </w:rPr>
        <w:t xml:space="preserve">injection protocol. Specifically, </w:t>
      </w:r>
      <w:r>
        <w:rPr>
          <w:rFonts w:ascii="Times New Roman" w:hAnsi="Times New Roman" w:cs="Times New Roman"/>
        </w:rPr>
        <w:t xml:space="preserve">DOC changed the </w:t>
      </w:r>
      <w:r w:rsidRPr="00187474">
        <w:rPr>
          <w:rFonts w:ascii="Times New Roman" w:hAnsi="Times New Roman" w:cs="Times New Roman"/>
        </w:rPr>
        <w:t>three-drug combination used for executions</w:t>
      </w:r>
      <w:r>
        <w:rPr>
          <w:rFonts w:ascii="Times New Roman" w:hAnsi="Times New Roman" w:cs="Times New Roman"/>
        </w:rPr>
        <w:t xml:space="preserve">.  The Indiana Supreme Court determined that various challenged agency policies did not need to be contained in regulation because they only governed internal agency procedures and did not impose requirements on individuals:  </w:t>
      </w:r>
    </w:p>
    <w:p w14:paraId="196E6701" w14:textId="77777777" w:rsidR="00666876" w:rsidRDefault="00666876" w:rsidP="00666876">
      <w:pPr>
        <w:rPr>
          <w:rFonts w:ascii="Times New Roman" w:hAnsi="Times New Roman" w:cs="Times New Roman"/>
        </w:rPr>
      </w:pPr>
    </w:p>
    <w:p w14:paraId="3B723F25" w14:textId="77777777" w:rsidR="00666876" w:rsidRDefault="00666876" w:rsidP="00666876">
      <w:pPr>
        <w:ind w:left="720" w:right="720"/>
        <w:rPr>
          <w:rFonts w:ascii="Times New Roman" w:hAnsi="Times New Roman" w:cs="Times New Roman"/>
        </w:rPr>
      </w:pPr>
      <w:r>
        <w:rPr>
          <w:rFonts w:ascii="Times New Roman" w:hAnsi="Times New Roman" w:cs="Times New Roman"/>
        </w:rPr>
        <w:t xml:space="preserve">In our view, none of these exhibits primarily affect an offender’s rights or obligations. No exhibit prescribes binding standards of conduct that condemned offenders, like Ward, must follow to vindicate a substantive right. Unlike the </w:t>
      </w:r>
      <w:r>
        <w:rPr>
          <w:rFonts w:ascii="Times New Roman" w:hAnsi="Times New Roman" w:cs="Times New Roman"/>
          <w:i/>
          <w:iCs/>
        </w:rPr>
        <w:t>Villegas</w:t>
      </w:r>
      <w:r>
        <w:rPr>
          <w:rFonts w:ascii="Times New Roman" w:hAnsi="Times New Roman" w:cs="Times New Roman"/>
        </w:rPr>
        <w:t xml:space="preserve"> plaintiffs or the </w:t>
      </w:r>
      <w:r>
        <w:rPr>
          <w:rFonts w:ascii="Times New Roman" w:hAnsi="Times New Roman" w:cs="Times New Roman"/>
          <w:i/>
          <w:iCs/>
        </w:rPr>
        <w:t>American Trucking</w:t>
      </w:r>
      <w:r>
        <w:rPr>
          <w:rFonts w:ascii="Times New Roman" w:hAnsi="Times New Roman" w:cs="Times New Roman"/>
        </w:rPr>
        <w:t xml:space="preserve"> companies, Ward is not required to alter his conduct in any way. He is not faced with a choice of conforming his conduct to Department standards or foregoing a substantive right—his fate remains unaltered. Rather, the exhibits outline what Department personnel must do. They relate to the Department's internal policies and procedures that bind Department personnel and no one else. We therefore conclude that the Department's lethal injection protocol, as evidenced by these exhibits, does not carry the effect of law. Consequently, we hold the Department's lethal injection procedures do not constitute rules under Section 4–22–2–3(b) and are exempt from ARPA’s rulemaking strictures.</w:t>
      </w:r>
    </w:p>
    <w:p w14:paraId="28ED479C" w14:textId="77777777" w:rsidR="00666876" w:rsidRDefault="00666876" w:rsidP="00666876">
      <w:pPr>
        <w:rPr>
          <w:rFonts w:ascii="Times New Roman" w:hAnsi="Times New Roman" w:cs="Times New Roman"/>
        </w:rPr>
      </w:pPr>
    </w:p>
    <w:p w14:paraId="58F1132E" w14:textId="0F66D5E4" w:rsidR="00666876" w:rsidRDefault="00666876" w:rsidP="00666876">
      <w:pPr>
        <w:rPr>
          <w:rFonts w:ascii="Times New Roman" w:hAnsi="Times New Roman" w:cs="Times New Roman"/>
        </w:rPr>
      </w:pPr>
      <w:r>
        <w:rPr>
          <w:rFonts w:ascii="Times New Roman" w:hAnsi="Times New Roman" w:cs="Times New Roman"/>
          <w:i/>
          <w:iCs/>
        </w:rPr>
        <w:t>Ward</w:t>
      </w:r>
      <w:r>
        <w:rPr>
          <w:rFonts w:ascii="Times New Roman" w:hAnsi="Times New Roman" w:cs="Times New Roman"/>
        </w:rPr>
        <w:t xml:space="preserve">, 90 N.E.3d at 666.  In distinguishing the policies at issue in </w:t>
      </w:r>
      <w:r>
        <w:rPr>
          <w:rFonts w:ascii="Times New Roman" w:hAnsi="Times New Roman" w:cs="Times New Roman"/>
          <w:i/>
          <w:iCs/>
        </w:rPr>
        <w:t>Ward</w:t>
      </w:r>
      <w:r>
        <w:rPr>
          <w:rFonts w:ascii="Times New Roman" w:hAnsi="Times New Roman" w:cs="Times New Roman"/>
        </w:rPr>
        <w:t xml:space="preserve">, the Indiana Supreme Court favorably cited to several decisions that discussed common questions that arise in agency rulemaking.   </w:t>
      </w:r>
    </w:p>
    <w:p w14:paraId="3E62B326" w14:textId="77777777" w:rsidR="00666876" w:rsidRDefault="00666876" w:rsidP="009A5A1E">
      <w:pPr>
        <w:rPr>
          <w:rFonts w:ascii="Times New Roman" w:hAnsi="Times New Roman" w:cs="Times New Roman"/>
        </w:rPr>
      </w:pPr>
    </w:p>
    <w:p w14:paraId="56CD643D" w14:textId="1326BBC9" w:rsidR="009A5A1E" w:rsidRDefault="009A5A1E" w:rsidP="009A5A1E">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Ward </w:t>
      </w:r>
      <w:r>
        <w:rPr>
          <w:rFonts w:ascii="Times New Roman" w:hAnsi="Times New Roman" w:cs="Times New Roman"/>
        </w:rPr>
        <w:t xml:space="preserve">decision favorably cited the case of </w:t>
      </w:r>
      <w:r>
        <w:rPr>
          <w:rFonts w:ascii="Times New Roman" w:hAnsi="Times New Roman" w:cs="Times New Roman"/>
          <w:i/>
          <w:iCs/>
        </w:rPr>
        <w:t>Villegas v. Silverman</w:t>
      </w:r>
      <w:r>
        <w:rPr>
          <w:rFonts w:ascii="Times New Roman" w:hAnsi="Times New Roman" w:cs="Times New Roman"/>
        </w:rPr>
        <w:t xml:space="preserve">, 832 N.E.2d 598 (Ind. Ct. App. 2005), which invalided the “BMV's policy of tightening the requirements to obtain new issuances of Indiana driver licenses, permits, and identification cards.”  </w:t>
      </w:r>
      <w:r>
        <w:rPr>
          <w:rFonts w:ascii="Times New Roman" w:hAnsi="Times New Roman" w:cs="Times New Roman"/>
          <w:i/>
          <w:iCs/>
        </w:rPr>
        <w:t xml:space="preserve">Id. </w:t>
      </w:r>
      <w:r>
        <w:rPr>
          <w:rFonts w:ascii="Times New Roman" w:hAnsi="Times New Roman" w:cs="Times New Roman"/>
        </w:rPr>
        <w:t xml:space="preserve">at 609.  In </w:t>
      </w:r>
      <w:r>
        <w:rPr>
          <w:rFonts w:ascii="Times New Roman" w:hAnsi="Times New Roman" w:cs="Times New Roman"/>
          <w:i/>
          <w:iCs/>
        </w:rPr>
        <w:t>Villegas</w:t>
      </w:r>
      <w:r>
        <w:rPr>
          <w:rFonts w:ascii="Times New Roman" w:hAnsi="Times New Roman" w:cs="Times New Roman"/>
        </w:rPr>
        <w:t xml:space="preserve">, </w:t>
      </w:r>
      <w:proofErr w:type="gramStart"/>
      <w:r>
        <w:rPr>
          <w:rFonts w:ascii="Times New Roman" w:hAnsi="Times New Roman" w:cs="Times New Roman"/>
        </w:rPr>
        <w:t>as a result of</w:t>
      </w:r>
      <w:proofErr w:type="gramEnd"/>
      <w:r>
        <w:rPr>
          <w:rFonts w:ascii="Times New Roman" w:hAnsi="Times New Roman" w:cs="Times New Roman"/>
        </w:rPr>
        <w:t xml:space="preserve"> recent increases in identify fraud, the BMV announced that </w:t>
      </w:r>
      <w:r w:rsidRPr="009A5A1E">
        <w:rPr>
          <w:rFonts w:ascii="Times New Roman" w:hAnsi="Times New Roman" w:cs="Times New Roman"/>
        </w:rPr>
        <w:t>applicants for Indiana driver licenses, permits, and identification cards would have to present certain documentation proving their identity before obtaining such cards.</w:t>
      </w:r>
      <w:r>
        <w:rPr>
          <w:rFonts w:ascii="Times New Roman" w:hAnsi="Times New Roman" w:cs="Times New Roman"/>
        </w:rPr>
        <w:t xml:space="preserve">  </w:t>
      </w:r>
      <w:r w:rsidR="00C80F72">
        <w:rPr>
          <w:rFonts w:ascii="Times New Roman" w:hAnsi="Times New Roman" w:cs="Times New Roman"/>
        </w:rPr>
        <w:t xml:space="preserve">The new identification requirements were different from the standards previously applied by the BMV.  </w:t>
      </w:r>
      <w:r w:rsidR="00C80F72">
        <w:rPr>
          <w:rFonts w:ascii="Times New Roman" w:hAnsi="Times New Roman" w:cs="Times New Roman"/>
          <w:i/>
          <w:iCs/>
        </w:rPr>
        <w:t xml:space="preserve">Id. </w:t>
      </w:r>
      <w:r w:rsidR="00C80F72">
        <w:rPr>
          <w:rFonts w:ascii="Times New Roman" w:hAnsi="Times New Roman" w:cs="Times New Roman"/>
        </w:rPr>
        <w:t xml:space="preserve">at 601.  </w:t>
      </w:r>
      <w:r>
        <w:rPr>
          <w:rFonts w:ascii="Times New Roman" w:hAnsi="Times New Roman" w:cs="Times New Roman"/>
        </w:rPr>
        <w:t>The Court of Appeals “</w:t>
      </w:r>
      <w:r>
        <w:rPr>
          <w:rFonts w:ascii="Times New Roman" w:hAnsi="Times New Roman" w:cs="Times New Roman"/>
          <w:color w:val="000000"/>
        </w:rPr>
        <w:t>determined </w:t>
      </w:r>
      <w:r>
        <w:rPr>
          <w:rFonts w:ascii="Times New Roman" w:hAnsi="Times New Roman" w:cs="Times New Roman"/>
          <w:color w:val="000000"/>
          <w:shd w:val="clear" w:color="auto" w:fill="FFFFFF"/>
        </w:rPr>
        <w:t>“[t]</w:t>
      </w:r>
      <w:proofErr w:type="gramStart"/>
      <w:r>
        <w:rPr>
          <w:rFonts w:ascii="Times New Roman" w:hAnsi="Times New Roman" w:cs="Times New Roman"/>
          <w:color w:val="000000"/>
          <w:shd w:val="clear" w:color="auto" w:fill="FFFFFF"/>
        </w:rPr>
        <w:t>he</w:t>
      </w:r>
      <w:proofErr w:type="gramEnd"/>
      <w:r>
        <w:rPr>
          <w:rFonts w:ascii="Times New Roman" w:hAnsi="Times New Roman" w:cs="Times New Roman"/>
          <w:color w:val="000000"/>
          <w:shd w:val="clear" w:color="auto" w:fill="FFFFFF"/>
        </w:rPr>
        <w:t xml:space="preserve"> requirements are designed to have the effect of law because if an applicant does not produce the necessary documentation, then he or she cannot obtain a driver license, permit, or identification card.”</w:t>
      </w:r>
      <w:r>
        <w:rPr>
          <w:rFonts w:ascii="Times New Roman" w:hAnsi="Times New Roman" w:cs="Times New Roman"/>
          <w:color w:val="000000"/>
        </w:rPr>
        <w:t xml:space="preserve">  </w:t>
      </w:r>
      <w:r>
        <w:rPr>
          <w:rFonts w:ascii="Times New Roman" w:hAnsi="Times New Roman" w:cs="Times New Roman"/>
          <w:i/>
          <w:iCs/>
          <w:color w:val="000000"/>
          <w:shd w:val="clear" w:color="auto" w:fill="FFFFFF"/>
        </w:rPr>
        <w:t>Id.</w:t>
      </w:r>
      <w:r>
        <w:rPr>
          <w:rFonts w:ascii="Times New Roman" w:hAnsi="Times New Roman" w:cs="Times New Roman"/>
          <w:color w:val="000000"/>
        </w:rPr>
        <w:t xml:space="preserve">  In discussing </w:t>
      </w:r>
      <w:r>
        <w:rPr>
          <w:rFonts w:ascii="Times New Roman" w:hAnsi="Times New Roman" w:cs="Times New Roman"/>
          <w:i/>
          <w:iCs/>
          <w:color w:val="000000"/>
        </w:rPr>
        <w:t>Villegas</w:t>
      </w:r>
      <w:r>
        <w:rPr>
          <w:rFonts w:ascii="Times New Roman" w:hAnsi="Times New Roman" w:cs="Times New Roman"/>
          <w:color w:val="000000"/>
        </w:rPr>
        <w:t xml:space="preserve">, the Supreme Court </w:t>
      </w:r>
      <w:r w:rsidR="00C80F72">
        <w:rPr>
          <w:rFonts w:ascii="Times New Roman" w:hAnsi="Times New Roman" w:cs="Times New Roman"/>
          <w:color w:val="000000"/>
        </w:rPr>
        <w:t xml:space="preserve">in </w:t>
      </w:r>
      <w:r w:rsidR="00C80F72">
        <w:rPr>
          <w:rFonts w:ascii="Times New Roman" w:hAnsi="Times New Roman" w:cs="Times New Roman"/>
          <w:i/>
          <w:iCs/>
          <w:color w:val="000000"/>
        </w:rPr>
        <w:t xml:space="preserve">Ward </w:t>
      </w:r>
      <w:r>
        <w:rPr>
          <w:rFonts w:ascii="Times New Roman" w:hAnsi="Times New Roman" w:cs="Times New Roman"/>
          <w:color w:val="000000"/>
        </w:rPr>
        <w:t>explained</w:t>
      </w:r>
      <w:r w:rsidR="00FA1676">
        <w:rPr>
          <w:rFonts w:ascii="Times New Roman" w:hAnsi="Times New Roman" w:cs="Times New Roman"/>
          <w:color w:val="000000"/>
        </w:rPr>
        <w:t>: “</w:t>
      </w:r>
      <w:r>
        <w:rPr>
          <w:rFonts w:ascii="Times New Roman" w:hAnsi="Times New Roman" w:cs="Times New Roman"/>
          <w:color w:val="000000"/>
        </w:rPr>
        <w:t>As we see it, the BMV's requirements carried the effect of law not just because they created rights or obligations, but because of who bore those rights or obligations—the individual, not the agency. Per the BMV requirements, the </w:t>
      </w:r>
      <w:r>
        <w:rPr>
          <w:rFonts w:ascii="Times New Roman" w:hAnsi="Times New Roman" w:cs="Times New Roman"/>
          <w:i/>
          <w:iCs/>
          <w:color w:val="000000"/>
          <w:shd w:val="clear" w:color="auto" w:fill="FFFFFF"/>
        </w:rPr>
        <w:t>Villegas</w:t>
      </w:r>
      <w:r>
        <w:rPr>
          <w:rFonts w:ascii="Times New Roman" w:hAnsi="Times New Roman" w:cs="Times New Roman"/>
          <w:color w:val="000000"/>
        </w:rPr>
        <w:t xml:space="preserve"> plaintiffs had to alter their conduct (provide certain documents) to receive the substantive benefits the law afforded (driver licenses, ID cards, or permits). And there was no latitude in compliance.”  </w:t>
      </w:r>
      <w:r>
        <w:rPr>
          <w:rFonts w:ascii="Times New Roman" w:hAnsi="Times New Roman" w:cs="Times New Roman"/>
          <w:i/>
          <w:iCs/>
          <w:color w:val="000000"/>
        </w:rPr>
        <w:t>Ward</w:t>
      </w:r>
      <w:r>
        <w:rPr>
          <w:rFonts w:ascii="Times New Roman" w:hAnsi="Times New Roman" w:cs="Times New Roman"/>
          <w:color w:val="000000"/>
        </w:rPr>
        <w:t xml:space="preserve">, 90 N.E.3d at 663.  </w:t>
      </w:r>
    </w:p>
    <w:p w14:paraId="1247DAA0" w14:textId="699AE9B7" w:rsidR="009A5A1E" w:rsidRDefault="009A5A1E" w:rsidP="00E266D7">
      <w:pPr>
        <w:rPr>
          <w:rFonts w:ascii="Times New Roman" w:hAnsi="Times New Roman" w:cs="Times New Roman"/>
        </w:rPr>
      </w:pPr>
    </w:p>
    <w:p w14:paraId="6AF8B3E1" w14:textId="7C65BCFB" w:rsidR="00187474" w:rsidRDefault="009A5A1E" w:rsidP="00E266D7">
      <w:pPr>
        <w:rPr>
          <w:rFonts w:ascii="Times New Roman" w:hAnsi="Times New Roman" w:cs="Times New Roman"/>
        </w:rPr>
      </w:pPr>
      <w:r>
        <w:rPr>
          <w:rFonts w:ascii="Times New Roman" w:hAnsi="Times New Roman" w:cs="Times New Roman"/>
        </w:rPr>
        <w:lastRenderedPageBreak/>
        <w:t xml:space="preserve">The </w:t>
      </w:r>
      <w:r>
        <w:rPr>
          <w:rFonts w:ascii="Times New Roman" w:hAnsi="Times New Roman" w:cs="Times New Roman"/>
          <w:i/>
          <w:iCs/>
        </w:rPr>
        <w:t xml:space="preserve">Ward </w:t>
      </w:r>
      <w:r>
        <w:rPr>
          <w:rFonts w:ascii="Times New Roman" w:hAnsi="Times New Roman" w:cs="Times New Roman"/>
        </w:rPr>
        <w:t xml:space="preserve">decision </w:t>
      </w:r>
      <w:r w:rsidR="00C80F72">
        <w:rPr>
          <w:rFonts w:ascii="Times New Roman" w:hAnsi="Times New Roman" w:cs="Times New Roman"/>
        </w:rPr>
        <w:t xml:space="preserve">also </w:t>
      </w:r>
      <w:r>
        <w:rPr>
          <w:rFonts w:ascii="Times New Roman" w:hAnsi="Times New Roman" w:cs="Times New Roman"/>
        </w:rPr>
        <w:t xml:space="preserve">favorably cited the Court of Appeals decision in </w:t>
      </w:r>
      <w:proofErr w:type="spellStart"/>
      <w:r>
        <w:rPr>
          <w:rFonts w:ascii="Times New Roman" w:hAnsi="Times New Roman" w:cs="Times New Roman"/>
          <w:i/>
          <w:iCs/>
        </w:rPr>
        <w:t>Blinzinger</w:t>
      </w:r>
      <w:proofErr w:type="spellEnd"/>
      <w:r>
        <w:rPr>
          <w:rFonts w:ascii="Times New Roman" w:hAnsi="Times New Roman" w:cs="Times New Roman"/>
          <w:i/>
          <w:iCs/>
        </w:rPr>
        <w:t xml:space="preserve"> v. Americana Healthcare Corp</w:t>
      </w:r>
      <w:r>
        <w:rPr>
          <w:rFonts w:ascii="Times New Roman" w:hAnsi="Times New Roman" w:cs="Times New Roman"/>
        </w:rPr>
        <w:t>., 466 N.E.2d 1371 (Ind.</w:t>
      </w:r>
      <w:r w:rsidR="00C80F72">
        <w:rPr>
          <w:rFonts w:ascii="Times New Roman" w:hAnsi="Times New Roman" w:cs="Times New Roman"/>
        </w:rPr>
        <w:t xml:space="preserve"> </w:t>
      </w:r>
      <w:r>
        <w:rPr>
          <w:rFonts w:ascii="Times New Roman" w:hAnsi="Times New Roman" w:cs="Times New Roman"/>
        </w:rPr>
        <w:t>Ct.</w:t>
      </w:r>
      <w:r w:rsidR="00C80F72">
        <w:rPr>
          <w:rFonts w:ascii="Times New Roman" w:hAnsi="Times New Roman" w:cs="Times New Roman"/>
        </w:rPr>
        <w:t xml:space="preserve"> </w:t>
      </w:r>
      <w:r>
        <w:rPr>
          <w:rFonts w:ascii="Times New Roman" w:hAnsi="Times New Roman" w:cs="Times New Roman"/>
        </w:rPr>
        <w:t>App.</w:t>
      </w:r>
      <w:r w:rsidR="00C80F72">
        <w:rPr>
          <w:rFonts w:ascii="Times New Roman" w:hAnsi="Times New Roman" w:cs="Times New Roman"/>
        </w:rPr>
        <w:t xml:space="preserve"> </w:t>
      </w:r>
      <w:r>
        <w:rPr>
          <w:rFonts w:ascii="Times New Roman" w:hAnsi="Times New Roman" w:cs="Times New Roman"/>
        </w:rPr>
        <w:t xml:space="preserve">1984).  </w:t>
      </w:r>
      <w:proofErr w:type="spellStart"/>
      <w:r>
        <w:rPr>
          <w:rFonts w:ascii="Times New Roman" w:hAnsi="Times New Roman" w:cs="Times New Roman"/>
          <w:i/>
          <w:iCs/>
        </w:rPr>
        <w:t>Blinzinger</w:t>
      </w:r>
      <w:proofErr w:type="spellEnd"/>
      <w:r>
        <w:rPr>
          <w:rFonts w:ascii="Times New Roman" w:hAnsi="Times New Roman" w:cs="Times New Roman"/>
        </w:rPr>
        <w:t xml:space="preserve"> </w:t>
      </w:r>
      <w:r w:rsidR="00C80F72">
        <w:rPr>
          <w:rFonts w:ascii="Times New Roman" w:hAnsi="Times New Roman" w:cs="Times New Roman"/>
        </w:rPr>
        <w:t>examined</w:t>
      </w:r>
      <w:r>
        <w:rPr>
          <w:rFonts w:ascii="Times New Roman" w:hAnsi="Times New Roman" w:cs="Times New Roman"/>
        </w:rPr>
        <w:t xml:space="preserve"> whether </w:t>
      </w:r>
      <w:r w:rsidR="00C80F72">
        <w:rPr>
          <w:rFonts w:ascii="Times New Roman" w:hAnsi="Times New Roman" w:cs="Times New Roman"/>
        </w:rPr>
        <w:t>a</w:t>
      </w:r>
      <w:r w:rsidR="00666876">
        <w:rPr>
          <w:rFonts w:ascii="Times New Roman" w:hAnsi="Times New Roman" w:cs="Times New Roman"/>
        </w:rPr>
        <w:t xml:space="preserve"> directive from the </w:t>
      </w:r>
      <w:r w:rsidRPr="00187474">
        <w:rPr>
          <w:rFonts w:ascii="Times New Roman" w:hAnsi="Times New Roman" w:cs="Times New Roman"/>
        </w:rPr>
        <w:t xml:space="preserve">Indiana Department of Public Welfare </w:t>
      </w:r>
      <w:r>
        <w:rPr>
          <w:rFonts w:ascii="Times New Roman" w:hAnsi="Times New Roman" w:cs="Times New Roman"/>
        </w:rPr>
        <w:t xml:space="preserve">(a predecessor to FSSA) implementing </w:t>
      </w:r>
      <w:r w:rsidRPr="00187474">
        <w:rPr>
          <w:rFonts w:ascii="Times New Roman" w:hAnsi="Times New Roman" w:cs="Times New Roman"/>
        </w:rPr>
        <w:t xml:space="preserve">rate freezes for healthcare providers involved in decertification proceedings </w:t>
      </w:r>
      <w:r>
        <w:rPr>
          <w:rFonts w:ascii="Times New Roman" w:hAnsi="Times New Roman" w:cs="Times New Roman"/>
        </w:rPr>
        <w:t>was</w:t>
      </w:r>
      <w:r w:rsidRPr="00187474">
        <w:rPr>
          <w:rFonts w:ascii="Times New Roman" w:hAnsi="Times New Roman" w:cs="Times New Roman"/>
        </w:rPr>
        <w:t xml:space="preserve"> an unpromulgated rule, an administrative adjudication, or an agency decision relating solely to internal policy and procedure</w:t>
      </w:r>
      <w:r>
        <w:rPr>
          <w:rFonts w:ascii="Times New Roman" w:hAnsi="Times New Roman" w:cs="Times New Roman"/>
        </w:rPr>
        <w:t xml:space="preserve">.  The </w:t>
      </w:r>
      <w:r w:rsidR="00C80F72">
        <w:rPr>
          <w:rFonts w:ascii="Times New Roman" w:hAnsi="Times New Roman" w:cs="Times New Roman"/>
        </w:rPr>
        <w:t>Court of Appeals</w:t>
      </w:r>
      <w:r>
        <w:rPr>
          <w:rFonts w:ascii="Times New Roman" w:hAnsi="Times New Roman" w:cs="Times New Roman"/>
        </w:rPr>
        <w:t xml:space="preserve"> held the directive was an unpromulgated rule </w:t>
      </w:r>
      <w:r w:rsidR="00C80F72">
        <w:rPr>
          <w:rFonts w:ascii="Times New Roman" w:hAnsi="Times New Roman" w:cs="Times New Roman"/>
        </w:rPr>
        <w:t>explaining</w:t>
      </w:r>
      <w:r>
        <w:rPr>
          <w:rFonts w:ascii="Times New Roman" w:hAnsi="Times New Roman" w:cs="Times New Roman"/>
        </w:rPr>
        <w:t xml:space="preserve">: </w:t>
      </w:r>
    </w:p>
    <w:p w14:paraId="580EEE2B" w14:textId="77777777" w:rsidR="00187474" w:rsidRDefault="00187474" w:rsidP="00E266D7">
      <w:pPr>
        <w:rPr>
          <w:rFonts w:ascii="Times New Roman" w:hAnsi="Times New Roman" w:cs="Times New Roman"/>
        </w:rPr>
      </w:pPr>
    </w:p>
    <w:p w14:paraId="0AC6CFEE" w14:textId="01B6CDA2" w:rsidR="009A5A1E" w:rsidRPr="009A5A1E" w:rsidRDefault="009A5A1E" w:rsidP="00C80F72">
      <w:pPr>
        <w:ind w:left="720" w:right="720"/>
        <w:rPr>
          <w:rFonts w:ascii="Times New Roman" w:hAnsi="Times New Roman" w:cs="Times New Roman"/>
        </w:rPr>
      </w:pPr>
      <w:r w:rsidRPr="009A5A1E">
        <w:rPr>
          <w:rFonts w:ascii="Times New Roman" w:hAnsi="Times New Roman" w:cs="Times New Roman"/>
        </w:rPr>
        <w:t xml:space="preserve">The rate freeze directive possesses qualities which are typical of administrative rules because it is an agency statement of general applicability to a class—i.e., all certified healthcare providers in the State of Indiana who seek increased Medicaid reimbursement rates during the pendency of an administrative decertification proceeding. In addition, the directive is and was applied prospectively, as of August 1, 1980, to all healthcare providers similarly situated. The directive has been applied as though it had the effect of law, and it affects substantive rights of certified Medicaid providers in that it denies, for an indefinite period, the rate increases to which a provider may be otherwise entitled. </w:t>
      </w:r>
      <w:r w:rsidR="00C80F72">
        <w:rPr>
          <w:rFonts w:ascii="Times New Roman" w:hAnsi="Times New Roman" w:cs="Times New Roman"/>
        </w:rPr>
        <w:t>…</w:t>
      </w:r>
    </w:p>
    <w:p w14:paraId="4CE5FE4B" w14:textId="77777777" w:rsidR="00C80F72" w:rsidRDefault="00C80F72" w:rsidP="00C80F72">
      <w:pPr>
        <w:ind w:left="720" w:right="720"/>
        <w:rPr>
          <w:rFonts w:ascii="Times New Roman" w:hAnsi="Times New Roman" w:cs="Times New Roman"/>
        </w:rPr>
      </w:pPr>
    </w:p>
    <w:p w14:paraId="0823A5C5" w14:textId="1C9CF815" w:rsidR="009A5A1E" w:rsidRPr="009A5A1E" w:rsidRDefault="009A5A1E" w:rsidP="00C80F72">
      <w:pPr>
        <w:ind w:left="720" w:right="720"/>
        <w:rPr>
          <w:rFonts w:ascii="Times New Roman" w:hAnsi="Times New Roman" w:cs="Times New Roman"/>
        </w:rPr>
      </w:pPr>
      <w:r w:rsidRPr="009A5A1E">
        <w:rPr>
          <w:rFonts w:ascii="Times New Roman" w:hAnsi="Times New Roman" w:cs="Times New Roman"/>
        </w:rPr>
        <w:t>Furthermore, we do not agree with DPW that the directive relates solely to internal policies and procedures. The impact of the directive falls outside the agency upon a class of healthcare providers to deny rate increases to which the providers may otherwise be entitled. The internal impact of the directive, upon the agency, is of less significance. It merely permits the agency to postpone the consideration of a requested rate increase, until such time as the agency has made a final determination regarding decertification which, as the instant case demonstrates, may be delayed for months. During this time, a provider who is otherwise entitled, must labor under increasing costs without an increase in the reimbursement rate. For these reasons, the directive may not be considered an internal policy which is exempt from the rulemaking requirements.</w:t>
      </w:r>
    </w:p>
    <w:p w14:paraId="0F4986EB" w14:textId="77777777" w:rsidR="009A5A1E" w:rsidRPr="009A5A1E" w:rsidRDefault="009A5A1E" w:rsidP="009A5A1E">
      <w:pPr>
        <w:rPr>
          <w:rFonts w:ascii="Times New Roman" w:hAnsi="Times New Roman" w:cs="Times New Roman"/>
        </w:rPr>
      </w:pPr>
    </w:p>
    <w:p w14:paraId="6C7C06E0" w14:textId="77777777" w:rsidR="009C4930" w:rsidRDefault="00C80F72" w:rsidP="009A5A1E">
      <w:pPr>
        <w:rPr>
          <w:rFonts w:ascii="Times New Roman" w:hAnsi="Times New Roman" w:cs="Times New Roman"/>
        </w:rPr>
      </w:pPr>
      <w:r>
        <w:rPr>
          <w:rFonts w:ascii="Times New Roman" w:hAnsi="Times New Roman" w:cs="Times New Roman"/>
          <w:i/>
          <w:iCs/>
        </w:rPr>
        <w:t xml:space="preserve">Id. </w:t>
      </w:r>
      <w:r>
        <w:rPr>
          <w:rFonts w:ascii="Times New Roman" w:hAnsi="Times New Roman" w:cs="Times New Roman"/>
        </w:rPr>
        <w:t xml:space="preserve">at </w:t>
      </w:r>
      <w:r w:rsidR="009A5A1E" w:rsidRPr="009A5A1E">
        <w:rPr>
          <w:rFonts w:ascii="Times New Roman" w:hAnsi="Times New Roman" w:cs="Times New Roman"/>
        </w:rPr>
        <w:t>1375</w:t>
      </w:r>
      <w:r>
        <w:rPr>
          <w:rFonts w:ascii="Times New Roman" w:hAnsi="Times New Roman" w:cs="Times New Roman"/>
        </w:rPr>
        <w:t xml:space="preserve">.  </w:t>
      </w:r>
    </w:p>
    <w:p w14:paraId="1CB2DEE5" w14:textId="77777777" w:rsidR="009C4930" w:rsidRDefault="009C4930" w:rsidP="009A5A1E">
      <w:pPr>
        <w:rPr>
          <w:rFonts w:ascii="Times New Roman" w:hAnsi="Times New Roman" w:cs="Times New Roman"/>
        </w:rPr>
      </w:pPr>
    </w:p>
    <w:p w14:paraId="11E1C3CA" w14:textId="460F97F4" w:rsidR="009C4930" w:rsidRPr="009C4930" w:rsidRDefault="000B5ED6" w:rsidP="009C4930">
      <w:pPr>
        <w:ind w:firstLine="720"/>
        <w:rPr>
          <w:rFonts w:ascii="Times New Roman" w:hAnsi="Times New Roman" w:cs="Times New Roman"/>
          <w:i/>
          <w:iCs/>
        </w:rPr>
      </w:pPr>
      <w:r>
        <w:rPr>
          <w:rFonts w:ascii="Times New Roman" w:hAnsi="Times New Roman" w:cs="Times New Roman"/>
        </w:rPr>
        <w:t xml:space="preserve">III.  </w:t>
      </w:r>
      <w:r w:rsidR="009C4930" w:rsidRPr="000B5ED6">
        <w:rPr>
          <w:rFonts w:ascii="Times New Roman" w:hAnsi="Times New Roman" w:cs="Times New Roman"/>
          <w:i/>
          <w:iCs/>
          <w:u w:val="single"/>
        </w:rPr>
        <w:t>Agency Adjudication vs. Regulation</w:t>
      </w:r>
    </w:p>
    <w:p w14:paraId="2F1AA8EE" w14:textId="1D20D628" w:rsidR="009C4930" w:rsidRDefault="009C4930" w:rsidP="009A5A1E">
      <w:pPr>
        <w:rPr>
          <w:rFonts w:ascii="Times New Roman" w:hAnsi="Times New Roman" w:cs="Times New Roman"/>
        </w:rPr>
      </w:pPr>
    </w:p>
    <w:p w14:paraId="27C6A2AD" w14:textId="76E7930A" w:rsidR="00F70D87" w:rsidRDefault="009C4930" w:rsidP="007A39F7">
      <w:pPr>
        <w:rPr>
          <w:rFonts w:ascii="Times New Roman" w:hAnsi="Times New Roman" w:cs="Times New Roman"/>
        </w:rPr>
      </w:pPr>
      <w:r w:rsidRPr="009C4930">
        <w:rPr>
          <w:rFonts w:ascii="Times New Roman" w:hAnsi="Times New Roman" w:cs="Times New Roman"/>
        </w:rPr>
        <w:t>In</w:t>
      </w:r>
      <w:r>
        <w:rPr>
          <w:rFonts w:ascii="Times New Roman" w:hAnsi="Times New Roman" w:cs="Times New Roman"/>
          <w:i/>
          <w:iCs/>
        </w:rPr>
        <w:t xml:space="preserve"> </w:t>
      </w:r>
      <w:proofErr w:type="spellStart"/>
      <w:r>
        <w:rPr>
          <w:rFonts w:ascii="Times New Roman" w:hAnsi="Times New Roman" w:cs="Times New Roman"/>
          <w:i/>
          <w:iCs/>
        </w:rPr>
        <w:t>Blinzinger</w:t>
      </w:r>
      <w:proofErr w:type="spellEnd"/>
      <w:r>
        <w:rPr>
          <w:rFonts w:ascii="Times New Roman" w:hAnsi="Times New Roman" w:cs="Times New Roman"/>
        </w:rPr>
        <w:t xml:space="preserve">, the Court of Appeals distinguished the generalized and prospective directive implementing </w:t>
      </w:r>
      <w:r w:rsidRPr="00187474">
        <w:rPr>
          <w:rFonts w:ascii="Times New Roman" w:hAnsi="Times New Roman" w:cs="Times New Roman"/>
        </w:rPr>
        <w:t xml:space="preserve">rate freezes for healthcare providers involved in decertification proceedings </w:t>
      </w:r>
      <w:r>
        <w:rPr>
          <w:rFonts w:ascii="Times New Roman" w:hAnsi="Times New Roman" w:cs="Times New Roman"/>
        </w:rPr>
        <w:t>from a retrospective and particularized agency adjudication:  “T</w:t>
      </w:r>
      <w:r w:rsidR="00F70D87" w:rsidRPr="00F70D87">
        <w:rPr>
          <w:rFonts w:ascii="Times New Roman" w:hAnsi="Times New Roman" w:cs="Times New Roman"/>
        </w:rPr>
        <w:t>he rulemaking function is distinguished from the adjudicatory function in that the former embraces an element of generality, operating upon a class of individuals or situations whereas an adjudication operates upon a particular individual or circumstance. In addition, the exercise of administrative rulemaking power looks to the future, whereas an adjudication operates retrospectively upon events which occurred in the past.</w:t>
      </w:r>
      <w:r>
        <w:rPr>
          <w:rFonts w:ascii="Times New Roman" w:hAnsi="Times New Roman" w:cs="Times New Roman"/>
        </w:rPr>
        <w:t xml:space="preserve">”  </w:t>
      </w:r>
      <w:r w:rsidR="00F70D87" w:rsidRPr="00F70D87">
        <w:rPr>
          <w:rFonts w:ascii="Times New Roman" w:hAnsi="Times New Roman" w:cs="Times New Roman"/>
        </w:rPr>
        <w:t xml:space="preserve"> </w:t>
      </w:r>
      <w:proofErr w:type="spellStart"/>
      <w:r w:rsidR="007A39F7" w:rsidRPr="007A39F7">
        <w:rPr>
          <w:rFonts w:ascii="Times New Roman" w:hAnsi="Times New Roman" w:cs="Times New Roman"/>
          <w:i/>
          <w:iCs/>
        </w:rPr>
        <w:t>Blinzinger</w:t>
      </w:r>
      <w:proofErr w:type="spellEnd"/>
      <w:r w:rsidR="007A39F7" w:rsidRPr="00F70D87">
        <w:rPr>
          <w:rFonts w:ascii="Times New Roman" w:hAnsi="Times New Roman" w:cs="Times New Roman"/>
        </w:rPr>
        <w:t xml:space="preserve">, 466 N.E.2d </w:t>
      </w:r>
      <w:r w:rsidR="007A39F7">
        <w:rPr>
          <w:rFonts w:ascii="Times New Roman" w:hAnsi="Times New Roman" w:cs="Times New Roman"/>
        </w:rPr>
        <w:t xml:space="preserve">at </w:t>
      </w:r>
      <w:r w:rsidR="007A39F7" w:rsidRPr="00F70D87">
        <w:rPr>
          <w:rFonts w:ascii="Times New Roman" w:hAnsi="Times New Roman" w:cs="Times New Roman"/>
        </w:rPr>
        <w:t>1375</w:t>
      </w:r>
      <w:r w:rsidR="007A39F7">
        <w:rPr>
          <w:rFonts w:ascii="Times New Roman" w:hAnsi="Times New Roman" w:cs="Times New Roman"/>
        </w:rPr>
        <w:t xml:space="preserve">.  </w:t>
      </w:r>
    </w:p>
    <w:p w14:paraId="2D00F00E" w14:textId="180601A9" w:rsidR="007A39F7" w:rsidRDefault="007A39F7" w:rsidP="007A39F7">
      <w:pPr>
        <w:rPr>
          <w:rFonts w:ascii="Times New Roman" w:hAnsi="Times New Roman" w:cs="Times New Roman"/>
        </w:rPr>
      </w:pPr>
    </w:p>
    <w:p w14:paraId="397A6931" w14:textId="528AB184" w:rsidR="007A39F7" w:rsidRPr="007A39F7" w:rsidRDefault="007A39F7" w:rsidP="007A39F7">
      <w:pPr>
        <w:rPr>
          <w:rFonts w:ascii="Times New Roman" w:hAnsi="Times New Roman" w:cs="Times New Roman"/>
          <w:i/>
          <w:iCs/>
        </w:rPr>
      </w:pPr>
      <w:r>
        <w:rPr>
          <w:rFonts w:ascii="Times New Roman" w:hAnsi="Times New Roman" w:cs="Times New Roman"/>
        </w:rPr>
        <w:tab/>
      </w:r>
      <w:r w:rsidR="000B5ED6">
        <w:rPr>
          <w:rFonts w:ascii="Times New Roman" w:hAnsi="Times New Roman" w:cs="Times New Roman"/>
        </w:rPr>
        <w:t xml:space="preserve">IV.  </w:t>
      </w:r>
      <w:r w:rsidRPr="000B5ED6">
        <w:rPr>
          <w:rFonts w:ascii="Times New Roman" w:hAnsi="Times New Roman" w:cs="Times New Roman"/>
          <w:i/>
          <w:iCs/>
          <w:u w:val="single"/>
        </w:rPr>
        <w:t>Agency Contracting vs. Regulation</w:t>
      </w:r>
    </w:p>
    <w:p w14:paraId="771F3DE4" w14:textId="77777777" w:rsidR="00F70D87" w:rsidRDefault="00F70D87" w:rsidP="00E266D7">
      <w:pPr>
        <w:rPr>
          <w:rFonts w:ascii="Times New Roman" w:hAnsi="Times New Roman" w:cs="Times New Roman"/>
        </w:rPr>
      </w:pPr>
    </w:p>
    <w:p w14:paraId="5A6C7B9A" w14:textId="217CE177" w:rsidR="007C7868" w:rsidRDefault="00E8314E" w:rsidP="007C7868">
      <w:pPr>
        <w:rPr>
          <w:rFonts w:ascii="Times New Roman" w:hAnsi="Times New Roman" w:cs="Times New Roman"/>
        </w:rPr>
      </w:pPr>
      <w:r>
        <w:rPr>
          <w:rFonts w:ascii="Times New Roman" w:hAnsi="Times New Roman" w:cs="Times New Roman"/>
          <w:i/>
          <w:iCs/>
        </w:rPr>
        <w:t xml:space="preserve">Ward </w:t>
      </w:r>
      <w:r>
        <w:rPr>
          <w:rFonts w:ascii="Times New Roman" w:hAnsi="Times New Roman" w:cs="Times New Roman"/>
        </w:rPr>
        <w:t xml:space="preserve">also discussed </w:t>
      </w:r>
      <w:r w:rsidRPr="00E8314E">
        <w:rPr>
          <w:rFonts w:ascii="Times New Roman" w:hAnsi="Times New Roman" w:cs="Times New Roman"/>
          <w:i/>
          <w:iCs/>
        </w:rPr>
        <w:t>Am. Trucking Associations, Inc. v. City of Los Angeles, Cal.</w:t>
      </w:r>
      <w:r w:rsidRPr="00E8314E">
        <w:rPr>
          <w:rFonts w:ascii="Times New Roman" w:hAnsi="Times New Roman" w:cs="Times New Roman"/>
        </w:rPr>
        <w:t>, 569 U.S. 641</w:t>
      </w:r>
      <w:r>
        <w:rPr>
          <w:rFonts w:ascii="Times New Roman" w:hAnsi="Times New Roman" w:cs="Times New Roman"/>
        </w:rPr>
        <w:t xml:space="preserve"> </w:t>
      </w:r>
      <w:r w:rsidRPr="00E8314E">
        <w:rPr>
          <w:rFonts w:ascii="Times New Roman" w:hAnsi="Times New Roman" w:cs="Times New Roman"/>
        </w:rPr>
        <w:t>(2013)</w:t>
      </w:r>
      <w:r>
        <w:rPr>
          <w:rFonts w:ascii="Times New Roman" w:hAnsi="Times New Roman" w:cs="Times New Roman"/>
        </w:rPr>
        <w:t>, which examined the distinction between “a government’s</w:t>
      </w:r>
      <w:r w:rsidRPr="00E8314E">
        <w:t xml:space="preserve"> </w:t>
      </w:r>
      <w:r w:rsidRPr="00E8314E">
        <w:rPr>
          <w:rFonts w:ascii="Times New Roman" w:hAnsi="Times New Roman" w:cs="Times New Roman"/>
        </w:rPr>
        <w:t>exercise of regulatory authority and its own contract-based participation in a market.</w:t>
      </w:r>
      <w:r>
        <w:rPr>
          <w:rFonts w:ascii="Times New Roman" w:hAnsi="Times New Roman" w:cs="Times New Roman"/>
        </w:rPr>
        <w:t xml:space="preserve">”  </w:t>
      </w:r>
      <w:r>
        <w:rPr>
          <w:rFonts w:ascii="Times New Roman" w:hAnsi="Times New Roman" w:cs="Times New Roman"/>
          <w:i/>
          <w:iCs/>
        </w:rPr>
        <w:t xml:space="preserve">Id. </w:t>
      </w:r>
      <w:r>
        <w:rPr>
          <w:rFonts w:ascii="Times New Roman" w:hAnsi="Times New Roman" w:cs="Times New Roman"/>
        </w:rPr>
        <w:t xml:space="preserve">at 649. </w:t>
      </w:r>
      <w:r w:rsidR="007C7868">
        <w:rPr>
          <w:rFonts w:ascii="Times New Roman" w:hAnsi="Times New Roman" w:cs="Times New Roman"/>
        </w:rPr>
        <w:t xml:space="preserve"> In </w:t>
      </w:r>
      <w:r w:rsidR="007C7868">
        <w:rPr>
          <w:rFonts w:ascii="Times New Roman" w:hAnsi="Times New Roman" w:cs="Times New Roman"/>
          <w:i/>
          <w:iCs/>
        </w:rPr>
        <w:t>American Trucking</w:t>
      </w:r>
      <w:r w:rsidR="007C7868">
        <w:rPr>
          <w:rFonts w:ascii="Times New Roman" w:hAnsi="Times New Roman" w:cs="Times New Roman"/>
        </w:rPr>
        <w:t>, “</w:t>
      </w:r>
      <w:r w:rsidR="007C7868" w:rsidRPr="00187474">
        <w:rPr>
          <w:rFonts w:ascii="Times New Roman" w:hAnsi="Times New Roman" w:cs="Times New Roman"/>
        </w:rPr>
        <w:t xml:space="preserve">the Port required that certain trucking companies </w:t>
      </w:r>
      <w:proofErr w:type="gramStart"/>
      <w:r w:rsidR="007C7868" w:rsidRPr="00187474">
        <w:rPr>
          <w:rFonts w:ascii="Times New Roman" w:hAnsi="Times New Roman" w:cs="Times New Roman"/>
        </w:rPr>
        <w:t>enter into</w:t>
      </w:r>
      <w:proofErr w:type="gramEnd"/>
      <w:r w:rsidR="007C7868" w:rsidRPr="00187474">
        <w:rPr>
          <w:rFonts w:ascii="Times New Roman" w:hAnsi="Times New Roman" w:cs="Times New Roman"/>
        </w:rPr>
        <w:t xml:space="preserve"> </w:t>
      </w:r>
      <w:r w:rsidR="007C7868">
        <w:rPr>
          <w:rFonts w:ascii="Times New Roman" w:hAnsi="Times New Roman" w:cs="Times New Roman"/>
        </w:rPr>
        <w:t>‘</w:t>
      </w:r>
      <w:r w:rsidR="007C7868" w:rsidRPr="00187474">
        <w:rPr>
          <w:rFonts w:ascii="Times New Roman" w:hAnsi="Times New Roman" w:cs="Times New Roman"/>
        </w:rPr>
        <w:t>concession agreements</w:t>
      </w:r>
      <w:r w:rsidR="007C7868">
        <w:rPr>
          <w:rFonts w:ascii="Times New Roman" w:hAnsi="Times New Roman" w:cs="Times New Roman"/>
        </w:rPr>
        <w:t>’</w:t>
      </w:r>
      <w:r w:rsidR="007C7868" w:rsidRPr="00187474">
        <w:rPr>
          <w:rFonts w:ascii="Times New Roman" w:hAnsi="Times New Roman" w:cs="Times New Roman"/>
        </w:rPr>
        <w:t xml:space="preserve"> that mandated the companies affix placards on some trucks and submit parking plans for unused trucks. </w:t>
      </w:r>
      <w:r w:rsidR="007C7868" w:rsidRPr="00E8314E">
        <w:rPr>
          <w:rFonts w:ascii="Times New Roman" w:hAnsi="Times New Roman" w:cs="Times New Roman"/>
          <w:i/>
          <w:iCs/>
        </w:rPr>
        <w:t>Id.</w:t>
      </w:r>
      <w:r w:rsidR="007C7868" w:rsidRPr="00187474">
        <w:rPr>
          <w:rFonts w:ascii="Times New Roman" w:hAnsi="Times New Roman" w:cs="Times New Roman"/>
        </w:rPr>
        <w:t xml:space="preserve"> at 645, 133 </w:t>
      </w:r>
      <w:proofErr w:type="spellStart"/>
      <w:r w:rsidR="007C7868" w:rsidRPr="00187474">
        <w:rPr>
          <w:rFonts w:ascii="Times New Roman" w:hAnsi="Times New Roman" w:cs="Times New Roman"/>
        </w:rPr>
        <w:t>S.Ct</w:t>
      </w:r>
      <w:proofErr w:type="spellEnd"/>
      <w:r w:rsidR="007C7868" w:rsidRPr="00187474">
        <w:rPr>
          <w:rFonts w:ascii="Times New Roman" w:hAnsi="Times New Roman" w:cs="Times New Roman"/>
        </w:rPr>
        <w:t>. 2096. The Port prescribed penalties for noncompliance. For example, a company's failure to enter into these agreements could result in a “misdemeanor ... punishable by a fine of up to $500 or a prison sentence of up to six months.</w:t>
      </w:r>
      <w:r w:rsidR="007C7868">
        <w:rPr>
          <w:rFonts w:ascii="Times New Roman" w:hAnsi="Times New Roman" w:cs="Times New Roman"/>
        </w:rPr>
        <w:t>’</w:t>
      </w:r>
      <w:r w:rsidR="007C7868" w:rsidRPr="00187474">
        <w:rPr>
          <w:rFonts w:ascii="Times New Roman" w:hAnsi="Times New Roman" w:cs="Times New Roman"/>
        </w:rPr>
        <w:t xml:space="preserve"> </w:t>
      </w:r>
      <w:r w:rsidR="007C7868" w:rsidRPr="00E8314E">
        <w:rPr>
          <w:rFonts w:ascii="Times New Roman" w:hAnsi="Times New Roman" w:cs="Times New Roman"/>
          <w:i/>
          <w:iCs/>
        </w:rPr>
        <w:t>Id.</w:t>
      </w:r>
      <w:r w:rsidR="007C7868">
        <w:rPr>
          <w:rFonts w:ascii="Times New Roman" w:hAnsi="Times New Roman" w:cs="Times New Roman"/>
          <w:i/>
          <w:iCs/>
        </w:rPr>
        <w:t>”</w:t>
      </w:r>
      <w:r w:rsidR="007C7868" w:rsidRPr="00187474">
        <w:rPr>
          <w:rFonts w:ascii="Times New Roman" w:hAnsi="Times New Roman" w:cs="Times New Roman"/>
        </w:rPr>
        <w:t xml:space="preserve"> </w:t>
      </w:r>
      <w:r w:rsidR="007C7868" w:rsidRPr="00E8314E">
        <w:rPr>
          <w:rFonts w:ascii="Times New Roman" w:hAnsi="Times New Roman" w:cs="Times New Roman"/>
          <w:i/>
          <w:iCs/>
        </w:rPr>
        <w:t>Ward</w:t>
      </w:r>
      <w:r w:rsidR="007C7868" w:rsidRPr="00187474">
        <w:rPr>
          <w:rFonts w:ascii="Times New Roman" w:hAnsi="Times New Roman" w:cs="Times New Roman"/>
        </w:rPr>
        <w:t xml:space="preserve">, 90 N.E.3d </w:t>
      </w:r>
      <w:r w:rsidR="007C7868">
        <w:rPr>
          <w:rFonts w:ascii="Times New Roman" w:hAnsi="Times New Roman" w:cs="Times New Roman"/>
        </w:rPr>
        <w:t xml:space="preserve">at </w:t>
      </w:r>
      <w:r w:rsidR="007C7868" w:rsidRPr="00187474">
        <w:rPr>
          <w:rFonts w:ascii="Times New Roman" w:hAnsi="Times New Roman" w:cs="Times New Roman"/>
        </w:rPr>
        <w:t>664</w:t>
      </w:r>
      <w:r w:rsidR="007C7868">
        <w:rPr>
          <w:rFonts w:ascii="Times New Roman" w:hAnsi="Times New Roman" w:cs="Times New Roman"/>
        </w:rPr>
        <w:t>.  As explained by the U.S. Supreme Court</w:t>
      </w:r>
      <w:r w:rsidR="00F70D87">
        <w:rPr>
          <w:rFonts w:ascii="Times New Roman" w:hAnsi="Times New Roman" w:cs="Times New Roman"/>
        </w:rPr>
        <w:t xml:space="preserve">, these requirements crossed over from </w:t>
      </w:r>
      <w:r w:rsidR="00666876">
        <w:rPr>
          <w:rFonts w:ascii="Times New Roman" w:hAnsi="Times New Roman" w:cs="Times New Roman"/>
        </w:rPr>
        <w:t>“</w:t>
      </w:r>
      <w:r w:rsidR="00F70D87" w:rsidRPr="00F70D87">
        <w:rPr>
          <w:rFonts w:ascii="Times New Roman" w:hAnsi="Times New Roman" w:cs="Times New Roman"/>
        </w:rPr>
        <w:t>contractual commitments voluntarily undertaken</w:t>
      </w:r>
      <w:r w:rsidR="00666876">
        <w:rPr>
          <w:rFonts w:ascii="Times New Roman" w:hAnsi="Times New Roman" w:cs="Times New Roman"/>
        </w:rPr>
        <w:t>”</w:t>
      </w:r>
      <w:r w:rsidR="00F70D87">
        <w:rPr>
          <w:rFonts w:ascii="Times New Roman" w:hAnsi="Times New Roman" w:cs="Times New Roman"/>
        </w:rPr>
        <w:t xml:space="preserve"> into </w:t>
      </w:r>
      <w:r w:rsidR="00666876">
        <w:rPr>
          <w:rFonts w:ascii="Times New Roman" w:hAnsi="Times New Roman" w:cs="Times New Roman"/>
        </w:rPr>
        <w:t>“</w:t>
      </w:r>
      <w:r w:rsidR="00F70D87" w:rsidRPr="00F70D87">
        <w:rPr>
          <w:rFonts w:ascii="Times New Roman" w:hAnsi="Times New Roman" w:cs="Times New Roman"/>
        </w:rPr>
        <w:t>official, government-imposed policies</w:t>
      </w:r>
      <w:r w:rsidR="00F70D87">
        <w:rPr>
          <w:rFonts w:ascii="Times New Roman" w:hAnsi="Times New Roman" w:cs="Times New Roman"/>
        </w:rPr>
        <w:t xml:space="preserve"> </w:t>
      </w:r>
      <w:r w:rsidR="00F70D87" w:rsidRPr="00F70D87">
        <w:rPr>
          <w:rFonts w:ascii="Times New Roman" w:hAnsi="Times New Roman" w:cs="Times New Roman"/>
        </w:rPr>
        <w:t>prescribing binding standards of conduct</w:t>
      </w:r>
      <w:r w:rsidR="00666876">
        <w:rPr>
          <w:rFonts w:ascii="Times New Roman" w:hAnsi="Times New Roman" w:cs="Times New Roman"/>
        </w:rPr>
        <w:t>”</w:t>
      </w:r>
      <w:r w:rsidR="00F70D87">
        <w:rPr>
          <w:rFonts w:ascii="Times New Roman" w:hAnsi="Times New Roman" w:cs="Times New Roman"/>
        </w:rPr>
        <w:t>:</w:t>
      </w:r>
      <w:r w:rsidR="00F70D87" w:rsidRPr="00F70D87">
        <w:rPr>
          <w:rFonts w:ascii="Times New Roman" w:hAnsi="Times New Roman" w:cs="Times New Roman"/>
        </w:rPr>
        <w:t xml:space="preserve"> </w:t>
      </w:r>
    </w:p>
    <w:p w14:paraId="29F99ED2" w14:textId="16877B8E" w:rsidR="007C7868" w:rsidRDefault="007C7868" w:rsidP="007C7868">
      <w:pPr>
        <w:rPr>
          <w:rFonts w:ascii="Times New Roman" w:hAnsi="Times New Roman" w:cs="Times New Roman"/>
        </w:rPr>
      </w:pPr>
    </w:p>
    <w:p w14:paraId="13AE63E2" w14:textId="348FC220" w:rsidR="007C7868" w:rsidRDefault="007C7868" w:rsidP="007C7868">
      <w:pPr>
        <w:ind w:left="720" w:right="720"/>
        <w:rPr>
          <w:rFonts w:ascii="Times New Roman" w:hAnsi="Times New Roman" w:cs="Times New Roman"/>
        </w:rPr>
      </w:pPr>
      <w:r w:rsidRPr="007C7868">
        <w:rPr>
          <w:rFonts w:ascii="Times New Roman" w:hAnsi="Times New Roman" w:cs="Times New Roman"/>
        </w:rPr>
        <w:t>The “force and effect of law” language in § 14501(c)(1) excludes such everyday contractual arrangements from the clause's scope. That phrasing targets the State acting as a State, not as any market actor—or otherwise said, the State acting in a regulatory rather than proprietary mode.</w:t>
      </w:r>
    </w:p>
    <w:p w14:paraId="0A170877" w14:textId="77777777" w:rsidR="00F70D87" w:rsidRPr="007C7868" w:rsidRDefault="00F70D87" w:rsidP="007C7868">
      <w:pPr>
        <w:ind w:left="720" w:right="720"/>
        <w:rPr>
          <w:rFonts w:ascii="Times New Roman" w:hAnsi="Times New Roman" w:cs="Times New Roman"/>
        </w:rPr>
      </w:pPr>
    </w:p>
    <w:p w14:paraId="243A941E" w14:textId="5639727A" w:rsidR="007C7868" w:rsidRPr="007C7868" w:rsidRDefault="007C7868" w:rsidP="007C7868">
      <w:pPr>
        <w:ind w:left="720" w:right="720"/>
        <w:rPr>
          <w:rFonts w:ascii="Times New Roman" w:hAnsi="Times New Roman" w:cs="Times New Roman"/>
        </w:rPr>
      </w:pPr>
      <w:r w:rsidRPr="007C7868">
        <w:rPr>
          <w:rFonts w:ascii="Times New Roman" w:hAnsi="Times New Roman" w:cs="Times New Roman"/>
        </w:rPr>
        <w:t xml:space="preserve">But that statutory reading gets the Port </w:t>
      </w:r>
      <w:proofErr w:type="gramStart"/>
      <w:r w:rsidRPr="007C7868">
        <w:rPr>
          <w:rFonts w:ascii="Times New Roman" w:hAnsi="Times New Roman" w:cs="Times New Roman"/>
        </w:rPr>
        <w:t>nothing, because</w:t>
      </w:r>
      <w:proofErr w:type="gramEnd"/>
      <w:r w:rsidRPr="007C7868">
        <w:rPr>
          <w:rFonts w:ascii="Times New Roman" w:hAnsi="Times New Roman" w:cs="Times New Roman"/>
        </w:rPr>
        <w:t xml:space="preserve"> it exercised classic regulatory authority—complete with the use of criminal penalties—in imposing the placard and parking requirements at issue here. Consider again how those requirements work. They are, to be sure, contained in contracts between the Port and trucking companies. But those contracts do not stand alone, as the result merely of the parties' voluntary commitments. </w:t>
      </w:r>
      <w:r w:rsidR="00F70D87">
        <w:rPr>
          <w:rFonts w:ascii="Times New Roman" w:hAnsi="Times New Roman" w:cs="Times New Roman"/>
        </w:rPr>
        <w:t>… [T]he</w:t>
      </w:r>
      <w:r w:rsidRPr="007C7868">
        <w:rPr>
          <w:rFonts w:ascii="Times New Roman" w:hAnsi="Times New Roman" w:cs="Times New Roman"/>
        </w:rPr>
        <w:t xml:space="preserve"> </w:t>
      </w:r>
      <w:proofErr w:type="gramStart"/>
      <w:r w:rsidRPr="007C7868">
        <w:rPr>
          <w:rFonts w:ascii="Times New Roman" w:hAnsi="Times New Roman" w:cs="Times New Roman"/>
        </w:rPr>
        <w:t>contract</w:t>
      </w:r>
      <w:proofErr w:type="gramEnd"/>
      <w:r w:rsidRPr="007C7868">
        <w:rPr>
          <w:rFonts w:ascii="Times New Roman" w:hAnsi="Times New Roman" w:cs="Times New Roman"/>
        </w:rPr>
        <w:t xml:space="preserve"> here functions as part and parcel of a governmental program wielding coercive power over private parties, backed by the threat of criminal punishment.</w:t>
      </w:r>
    </w:p>
    <w:p w14:paraId="284951FD" w14:textId="77777777" w:rsidR="00F70D87" w:rsidRDefault="00F70D87" w:rsidP="007C7868">
      <w:pPr>
        <w:ind w:left="720" w:right="720"/>
        <w:rPr>
          <w:rFonts w:ascii="Times New Roman" w:hAnsi="Times New Roman" w:cs="Times New Roman"/>
        </w:rPr>
      </w:pPr>
    </w:p>
    <w:p w14:paraId="76511385" w14:textId="55794498" w:rsidR="007C7868" w:rsidRPr="007C7868" w:rsidRDefault="007C7868" w:rsidP="007C7868">
      <w:pPr>
        <w:ind w:left="720" w:right="720"/>
        <w:rPr>
          <w:rFonts w:ascii="Times New Roman" w:hAnsi="Times New Roman" w:cs="Times New Roman"/>
        </w:rPr>
      </w:pPr>
      <w:r w:rsidRPr="007C7868">
        <w:rPr>
          <w:rFonts w:ascii="Times New Roman" w:hAnsi="Times New Roman" w:cs="Times New Roman"/>
        </w:rPr>
        <w:t xml:space="preserve">That counts as action “having the force and effect of law” if anything does. The Port here has not acted as a private party, contracting in a way that the owner of an ordinary commercial enterprise could mimic. Rather, it has forced terminal operators—and through them, trucking companies—to alter their conduct by implementing a criminal prohibition punishable by time in prison. In some cases, the question whether governmental action has the force of law may pose difficulties; the line between regulatory and proprietary conduct has soft edges. But this case takes us nowhere near those uncertain boundaries. Contractual commitments resulting not from ordinary bargaining (as in </w:t>
      </w:r>
      <w:proofErr w:type="gramStart"/>
      <w:r w:rsidRPr="00F70D87">
        <w:rPr>
          <w:rFonts w:ascii="Times New Roman" w:hAnsi="Times New Roman" w:cs="Times New Roman"/>
          <w:i/>
          <w:iCs/>
        </w:rPr>
        <w:t>Wolens</w:t>
      </w:r>
      <w:r w:rsidRPr="007C7868">
        <w:rPr>
          <w:rFonts w:ascii="Times New Roman" w:hAnsi="Times New Roman" w:cs="Times New Roman"/>
        </w:rPr>
        <w:t xml:space="preserve"> )</w:t>
      </w:r>
      <w:proofErr w:type="gramEnd"/>
      <w:r w:rsidRPr="007C7868">
        <w:rPr>
          <w:rFonts w:ascii="Times New Roman" w:hAnsi="Times New Roman" w:cs="Times New Roman"/>
        </w:rPr>
        <w:t>, but instead from the threat of criminal sanctions manifest the government qua government, performing its prototypical regulatory role.</w:t>
      </w:r>
    </w:p>
    <w:p w14:paraId="1F66C03E" w14:textId="331E7323" w:rsidR="007C7868" w:rsidRDefault="007C7868" w:rsidP="007C7868">
      <w:pPr>
        <w:rPr>
          <w:rFonts w:ascii="Times New Roman" w:hAnsi="Times New Roman" w:cs="Times New Roman"/>
        </w:rPr>
      </w:pPr>
    </w:p>
    <w:p w14:paraId="3233C495" w14:textId="50F80860" w:rsidR="00F70D87" w:rsidRDefault="00F70D87" w:rsidP="00F70D87">
      <w:pPr>
        <w:ind w:left="720" w:right="720"/>
        <w:rPr>
          <w:rFonts w:ascii="Times New Roman" w:hAnsi="Times New Roman" w:cs="Times New Roman"/>
        </w:rPr>
      </w:pPr>
      <w:r>
        <w:rPr>
          <w:rFonts w:ascii="Times New Roman" w:hAnsi="Times New Roman" w:cs="Times New Roman"/>
        </w:rPr>
        <w:t>…</w:t>
      </w:r>
      <w:r w:rsidRPr="00F70D87">
        <w:rPr>
          <w:rFonts w:ascii="Times New Roman" w:hAnsi="Times New Roman" w:cs="Times New Roman"/>
        </w:rPr>
        <w:t xml:space="preserve"> when the government employs such a coercive mechanism, available to no private party, it acts with the force and effect of law, </w:t>
      </w:r>
      <w:proofErr w:type="gramStart"/>
      <w:r w:rsidRPr="00F70D87">
        <w:rPr>
          <w:rFonts w:ascii="Times New Roman" w:hAnsi="Times New Roman" w:cs="Times New Roman"/>
        </w:rPr>
        <w:t>whether or not</w:t>
      </w:r>
      <w:proofErr w:type="gramEnd"/>
      <w:r w:rsidRPr="00F70D87">
        <w:rPr>
          <w:rFonts w:ascii="Times New Roman" w:hAnsi="Times New Roman" w:cs="Times New Roman"/>
        </w:rPr>
        <w:t xml:space="preserve"> it does so to turn a profit. Only if it forgoes the (distinctively governmental) exercise of legal authority may it escape § 14501(c)(1)'s preemptive scope</w:t>
      </w:r>
      <w:r>
        <w:rPr>
          <w:rFonts w:ascii="Times New Roman" w:hAnsi="Times New Roman" w:cs="Times New Roman"/>
        </w:rPr>
        <w:t>.</w:t>
      </w:r>
    </w:p>
    <w:p w14:paraId="0A8800BB" w14:textId="77777777" w:rsidR="00F70D87" w:rsidRPr="007C7868" w:rsidRDefault="00F70D87" w:rsidP="007C7868">
      <w:pPr>
        <w:rPr>
          <w:rFonts w:ascii="Times New Roman" w:hAnsi="Times New Roman" w:cs="Times New Roman"/>
        </w:rPr>
      </w:pPr>
    </w:p>
    <w:p w14:paraId="669BA4BD" w14:textId="31BF31B1" w:rsidR="007C7868" w:rsidRDefault="007C7868" w:rsidP="007C7868">
      <w:pPr>
        <w:rPr>
          <w:rFonts w:ascii="Times New Roman" w:hAnsi="Times New Roman" w:cs="Times New Roman"/>
        </w:rPr>
      </w:pPr>
      <w:r w:rsidRPr="007A39F7">
        <w:rPr>
          <w:rFonts w:ascii="Times New Roman" w:hAnsi="Times New Roman" w:cs="Times New Roman"/>
          <w:i/>
          <w:iCs/>
        </w:rPr>
        <w:t>Am. Trucking Associations</w:t>
      </w:r>
      <w:r w:rsidRPr="007C7868">
        <w:rPr>
          <w:rFonts w:ascii="Times New Roman" w:hAnsi="Times New Roman" w:cs="Times New Roman"/>
        </w:rPr>
        <w:t xml:space="preserve">, 569 U.S. </w:t>
      </w:r>
      <w:r w:rsidR="00F70D87">
        <w:rPr>
          <w:rFonts w:ascii="Times New Roman" w:hAnsi="Times New Roman" w:cs="Times New Roman"/>
        </w:rPr>
        <w:t xml:space="preserve">at </w:t>
      </w:r>
      <w:r w:rsidRPr="007C7868">
        <w:rPr>
          <w:rFonts w:ascii="Times New Roman" w:hAnsi="Times New Roman" w:cs="Times New Roman"/>
        </w:rPr>
        <w:t>6</w:t>
      </w:r>
      <w:r w:rsidR="00F70D87">
        <w:rPr>
          <w:rFonts w:ascii="Times New Roman" w:hAnsi="Times New Roman" w:cs="Times New Roman"/>
        </w:rPr>
        <w:t>50</w:t>
      </w:r>
      <w:r w:rsidRPr="007C7868">
        <w:rPr>
          <w:rFonts w:ascii="Times New Roman" w:hAnsi="Times New Roman" w:cs="Times New Roman"/>
        </w:rPr>
        <w:t>–5</w:t>
      </w:r>
      <w:r w:rsidR="00F70D87">
        <w:rPr>
          <w:rFonts w:ascii="Times New Roman" w:hAnsi="Times New Roman" w:cs="Times New Roman"/>
        </w:rPr>
        <w:t xml:space="preserve">2.  </w:t>
      </w:r>
    </w:p>
    <w:p w14:paraId="24B28DC1" w14:textId="5559CE86" w:rsidR="00620466" w:rsidRDefault="00620466"/>
    <w:p w14:paraId="31BE1725" w14:textId="4B397A1A" w:rsidR="00A37E8A" w:rsidRPr="007A39F7" w:rsidRDefault="00A37E8A" w:rsidP="00A37E8A">
      <w:pPr>
        <w:rPr>
          <w:rFonts w:ascii="Times New Roman" w:hAnsi="Times New Roman" w:cs="Times New Roman"/>
          <w:i/>
          <w:iCs/>
        </w:rPr>
      </w:pPr>
      <w:r>
        <w:rPr>
          <w:rFonts w:ascii="Times New Roman" w:hAnsi="Times New Roman" w:cs="Times New Roman"/>
        </w:rPr>
        <w:tab/>
        <w:t xml:space="preserve">V.  </w:t>
      </w:r>
      <w:r w:rsidRPr="000B5ED6">
        <w:rPr>
          <w:rFonts w:ascii="Times New Roman" w:hAnsi="Times New Roman" w:cs="Times New Roman"/>
          <w:i/>
          <w:iCs/>
          <w:u w:val="single"/>
        </w:rPr>
        <w:t xml:space="preserve">Agency </w:t>
      </w:r>
      <w:r>
        <w:rPr>
          <w:rFonts w:ascii="Times New Roman" w:hAnsi="Times New Roman" w:cs="Times New Roman"/>
          <w:i/>
          <w:iCs/>
          <w:u w:val="single"/>
        </w:rPr>
        <w:t>Discretion</w:t>
      </w:r>
      <w:r w:rsidR="008D0338">
        <w:rPr>
          <w:rFonts w:ascii="Times New Roman" w:hAnsi="Times New Roman" w:cs="Times New Roman"/>
          <w:i/>
          <w:iCs/>
          <w:u w:val="single"/>
        </w:rPr>
        <w:t>ary Powers</w:t>
      </w:r>
      <w:r>
        <w:rPr>
          <w:rFonts w:ascii="Times New Roman" w:hAnsi="Times New Roman" w:cs="Times New Roman"/>
          <w:i/>
          <w:iCs/>
          <w:u w:val="single"/>
        </w:rPr>
        <w:t xml:space="preserve"> </w:t>
      </w:r>
      <w:r w:rsidRPr="000B5ED6">
        <w:rPr>
          <w:rFonts w:ascii="Times New Roman" w:hAnsi="Times New Roman" w:cs="Times New Roman"/>
          <w:i/>
          <w:iCs/>
          <w:u w:val="single"/>
        </w:rPr>
        <w:t>vs. Regulation</w:t>
      </w:r>
    </w:p>
    <w:p w14:paraId="7154C484" w14:textId="5C03F3FD" w:rsidR="00A37E8A" w:rsidRDefault="00A37E8A"/>
    <w:p w14:paraId="377D0666" w14:textId="185FFAA1" w:rsidR="00A37E8A" w:rsidRPr="006F6C4A" w:rsidRDefault="006F6C4A" w:rsidP="00E746F0">
      <w:pPr>
        <w:rPr>
          <w:rFonts w:ascii="Times New Roman" w:hAnsi="Times New Roman" w:cs="Times New Roman"/>
          <w:color w:val="212121"/>
        </w:rPr>
      </w:pPr>
      <w:r>
        <w:rPr>
          <w:rFonts w:ascii="Times New Roman" w:hAnsi="Times New Roman" w:cs="Times New Roman"/>
        </w:rPr>
        <w:t>Many agenc</w:t>
      </w:r>
      <w:r w:rsidR="00273541">
        <w:rPr>
          <w:rFonts w:ascii="Times New Roman" w:hAnsi="Times New Roman" w:cs="Times New Roman"/>
        </w:rPr>
        <w:t xml:space="preserve">y enacting </w:t>
      </w:r>
      <w:r>
        <w:rPr>
          <w:rFonts w:ascii="Times New Roman" w:hAnsi="Times New Roman" w:cs="Times New Roman"/>
        </w:rPr>
        <w:t xml:space="preserve">statutes have </w:t>
      </w:r>
      <w:r w:rsidR="00273541">
        <w:rPr>
          <w:rFonts w:ascii="Times New Roman" w:hAnsi="Times New Roman" w:cs="Times New Roman"/>
        </w:rPr>
        <w:t>broad language granting the agency discretion to take actions necessary or appropriate to carry out its mission.</w:t>
      </w:r>
      <w:r w:rsidR="00E746F0">
        <w:rPr>
          <w:rFonts w:ascii="Times New Roman" w:hAnsi="Times New Roman" w:cs="Times New Roman"/>
        </w:rPr>
        <w:t xml:space="preserve">  </w:t>
      </w:r>
      <w:r w:rsidRPr="009C4930">
        <w:rPr>
          <w:rFonts w:ascii="Times New Roman" w:hAnsi="Times New Roman" w:cs="Times New Roman"/>
        </w:rPr>
        <w:t>In</w:t>
      </w:r>
      <w:r>
        <w:rPr>
          <w:rFonts w:ascii="Times New Roman" w:hAnsi="Times New Roman" w:cs="Times New Roman"/>
          <w:i/>
          <w:iCs/>
        </w:rPr>
        <w:t xml:space="preserve"> </w:t>
      </w:r>
      <w:proofErr w:type="spellStart"/>
      <w:r>
        <w:rPr>
          <w:rFonts w:ascii="Times New Roman" w:hAnsi="Times New Roman" w:cs="Times New Roman"/>
          <w:i/>
          <w:iCs/>
        </w:rPr>
        <w:t>Blinzinger</w:t>
      </w:r>
      <w:proofErr w:type="spellEnd"/>
      <w:r>
        <w:rPr>
          <w:rFonts w:ascii="Times New Roman" w:hAnsi="Times New Roman" w:cs="Times New Roman"/>
        </w:rPr>
        <w:t xml:space="preserve">, the Court of Appeals </w:t>
      </w:r>
      <w:r w:rsidR="00E746F0">
        <w:rPr>
          <w:rFonts w:ascii="Times New Roman" w:hAnsi="Times New Roman" w:cs="Times New Roman"/>
        </w:rPr>
        <w:t xml:space="preserve">addressed whether this language allows an agency to undertake action without formal rulemaking:  </w:t>
      </w:r>
    </w:p>
    <w:p w14:paraId="526B35C5" w14:textId="77777777" w:rsidR="00A37E8A" w:rsidRPr="006F6C4A" w:rsidRDefault="00A37E8A" w:rsidP="00A37E8A">
      <w:pPr>
        <w:rPr>
          <w:rFonts w:ascii="Times New Roman" w:hAnsi="Times New Roman" w:cs="Times New Roman"/>
          <w:color w:val="212121"/>
        </w:rPr>
      </w:pPr>
    </w:p>
    <w:p w14:paraId="75FAA1AD" w14:textId="77777777" w:rsidR="00A37E8A" w:rsidRPr="006F6C4A" w:rsidRDefault="00A37E8A" w:rsidP="005E59A1">
      <w:pPr>
        <w:ind w:left="720" w:right="720"/>
        <w:rPr>
          <w:rFonts w:ascii="Times New Roman" w:hAnsi="Times New Roman" w:cs="Times New Roman"/>
          <w:color w:val="212121"/>
        </w:rPr>
      </w:pPr>
      <w:r w:rsidRPr="006F6C4A">
        <w:rPr>
          <w:rFonts w:ascii="Times New Roman" w:hAnsi="Times New Roman" w:cs="Times New Roman"/>
          <w:color w:val="212121"/>
        </w:rPr>
        <w:t>DPW next argues that the rate freeze directive was issued pursuant to the discretionary power conferred by </w:t>
      </w:r>
      <w:hyperlink r:id="rId6" w:history="1">
        <w:r w:rsidRPr="006F6C4A">
          <w:rPr>
            <w:rStyle w:val="Hyperlink"/>
            <w:rFonts w:ascii="Times New Roman" w:hAnsi="Times New Roman" w:cs="Times New Roman"/>
            <w:color w:val="145DA4"/>
          </w:rPr>
          <w:t>I.C. 12–1–2–3(f)</w:t>
        </w:r>
      </w:hyperlink>
      <w:r w:rsidRPr="006F6C4A">
        <w:rPr>
          <w:rFonts w:ascii="Times New Roman" w:hAnsi="Times New Roman" w:cs="Times New Roman"/>
          <w:color w:val="212121"/>
        </w:rPr>
        <w:t>, which provides:</w:t>
      </w:r>
    </w:p>
    <w:p w14:paraId="2B196542" w14:textId="77777777" w:rsidR="00A37E8A" w:rsidRPr="006F6C4A" w:rsidRDefault="00A37E8A" w:rsidP="005E59A1">
      <w:pPr>
        <w:ind w:left="1440" w:right="720"/>
        <w:rPr>
          <w:rFonts w:ascii="Times New Roman" w:hAnsi="Times New Roman" w:cs="Times New Roman"/>
          <w:color w:val="212121"/>
        </w:rPr>
      </w:pPr>
    </w:p>
    <w:p w14:paraId="084E4EC0" w14:textId="77777777" w:rsidR="00A37E8A" w:rsidRPr="006F6C4A" w:rsidRDefault="00A37E8A" w:rsidP="005E59A1">
      <w:pPr>
        <w:ind w:left="1440" w:right="720"/>
        <w:rPr>
          <w:rFonts w:ascii="Times New Roman" w:hAnsi="Times New Roman" w:cs="Times New Roman"/>
          <w:color w:val="212121"/>
        </w:rPr>
      </w:pPr>
      <w:r w:rsidRPr="006F6C4A">
        <w:rPr>
          <w:rFonts w:ascii="Times New Roman" w:hAnsi="Times New Roman" w:cs="Times New Roman"/>
          <w:color w:val="212121"/>
        </w:rPr>
        <w:t>“IDPW may make such rules and regulations and take such action as may be deemed necessary or desirable to carry out the provisions of this act and which are not inconsistent therewith.”</w:t>
      </w:r>
    </w:p>
    <w:p w14:paraId="3F2FD0F3" w14:textId="77777777" w:rsidR="00A37E8A" w:rsidRPr="006F6C4A" w:rsidRDefault="00A37E8A" w:rsidP="005E59A1">
      <w:pPr>
        <w:ind w:left="720" w:right="720"/>
        <w:rPr>
          <w:rFonts w:ascii="Times New Roman" w:hAnsi="Times New Roman" w:cs="Times New Roman"/>
          <w:color w:val="212121"/>
        </w:rPr>
      </w:pPr>
    </w:p>
    <w:p w14:paraId="286FD2C5" w14:textId="2A567C22" w:rsidR="00A37E8A" w:rsidRDefault="00A37E8A" w:rsidP="005E59A1">
      <w:pPr>
        <w:ind w:left="720" w:right="720"/>
        <w:rPr>
          <w:rFonts w:ascii="Times New Roman" w:hAnsi="Times New Roman" w:cs="Times New Roman"/>
          <w:color w:val="212121"/>
        </w:rPr>
      </w:pPr>
      <w:r w:rsidRPr="006F6C4A">
        <w:rPr>
          <w:rFonts w:ascii="Times New Roman" w:hAnsi="Times New Roman" w:cs="Times New Roman"/>
          <w:color w:val="212121"/>
        </w:rPr>
        <w:t>Our resolution of Issue I is determinative of this issue. Having determined that the rate freeze directive constitutes an unpromulgated rule, and noting that an agency has no power, discretionary or otherwise, to issue rules or regulations except as provided by statute, </w:t>
      </w:r>
      <w:hyperlink r:id="rId7" w:history="1">
        <w:r w:rsidRPr="006F6C4A">
          <w:rPr>
            <w:rStyle w:val="Emphasis"/>
            <w:rFonts w:ascii="Times New Roman" w:hAnsi="Times New Roman" w:cs="Times New Roman"/>
            <w:color w:val="145DA4"/>
          </w:rPr>
          <w:t>Indiana Air Pollution Control Board v. City of Richmond</w:t>
        </w:r>
        <w:r w:rsidRPr="006F6C4A">
          <w:rPr>
            <w:rStyle w:val="Hyperlink"/>
            <w:rFonts w:ascii="Times New Roman" w:hAnsi="Times New Roman" w:cs="Times New Roman"/>
            <w:color w:val="145DA4"/>
          </w:rPr>
          <w:t> (1983) Ind., 457 N.E.2d 204,</w:t>
        </w:r>
      </w:hyperlink>
      <w:r w:rsidRPr="006F6C4A">
        <w:rPr>
          <w:rFonts w:ascii="Times New Roman" w:hAnsi="Times New Roman" w:cs="Times New Roman"/>
          <w:color w:val="212121"/>
        </w:rPr>
        <w:t> we must conclude that the rate freeze directive is not validated as within DPW's discretionary power.</w:t>
      </w:r>
    </w:p>
    <w:p w14:paraId="52E4E77D" w14:textId="77777777" w:rsidR="002F3E47" w:rsidRPr="006F6C4A" w:rsidRDefault="002F3E47" w:rsidP="005E59A1">
      <w:pPr>
        <w:ind w:left="720" w:right="720"/>
        <w:rPr>
          <w:rFonts w:ascii="Times New Roman" w:hAnsi="Times New Roman" w:cs="Times New Roman"/>
          <w:color w:val="212121"/>
        </w:rPr>
      </w:pPr>
    </w:p>
    <w:p w14:paraId="73CB0210" w14:textId="732FF45F" w:rsidR="005E59A1" w:rsidRDefault="002F3E47" w:rsidP="001B5D86">
      <w:pPr>
        <w:rPr>
          <w:rFonts w:ascii="Times New Roman" w:hAnsi="Times New Roman" w:cs="Times New Roman"/>
        </w:rPr>
      </w:pPr>
      <w:proofErr w:type="spellStart"/>
      <w:r w:rsidRPr="007A39F7">
        <w:rPr>
          <w:rFonts w:ascii="Times New Roman" w:hAnsi="Times New Roman" w:cs="Times New Roman"/>
          <w:i/>
          <w:iCs/>
        </w:rPr>
        <w:t>Blinzinger</w:t>
      </w:r>
      <w:proofErr w:type="spellEnd"/>
      <w:r w:rsidRPr="00F70D87">
        <w:rPr>
          <w:rFonts w:ascii="Times New Roman" w:hAnsi="Times New Roman" w:cs="Times New Roman"/>
        </w:rPr>
        <w:t xml:space="preserve">, 466 N.E.2d </w:t>
      </w:r>
      <w:r>
        <w:rPr>
          <w:rFonts w:ascii="Times New Roman" w:hAnsi="Times New Roman" w:cs="Times New Roman"/>
        </w:rPr>
        <w:t xml:space="preserve">at </w:t>
      </w:r>
      <w:r w:rsidRPr="00F70D87">
        <w:rPr>
          <w:rFonts w:ascii="Times New Roman" w:hAnsi="Times New Roman" w:cs="Times New Roman"/>
        </w:rPr>
        <w:t>137</w:t>
      </w:r>
      <w:r>
        <w:rPr>
          <w:rFonts w:ascii="Times New Roman" w:hAnsi="Times New Roman" w:cs="Times New Roman"/>
        </w:rPr>
        <w:t>6-77.</w:t>
      </w:r>
      <w:r w:rsidR="00E11EBC">
        <w:rPr>
          <w:rFonts w:ascii="Times New Roman" w:hAnsi="Times New Roman" w:cs="Times New Roman"/>
        </w:rPr>
        <w:t xml:space="preserve">  </w:t>
      </w:r>
      <w:r w:rsidR="000C1DBC">
        <w:rPr>
          <w:rFonts w:ascii="Times New Roman" w:hAnsi="Times New Roman" w:cs="Times New Roman"/>
        </w:rPr>
        <w:t xml:space="preserve">Similarly, in </w:t>
      </w:r>
      <w:r w:rsidR="000C1DBC" w:rsidRPr="000C1DBC">
        <w:rPr>
          <w:rFonts w:ascii="Times New Roman" w:hAnsi="Times New Roman" w:cs="Times New Roman"/>
          <w:i/>
          <w:iCs/>
        </w:rPr>
        <w:t>Villegas</w:t>
      </w:r>
      <w:r w:rsidR="000C1DBC">
        <w:rPr>
          <w:rFonts w:ascii="Times New Roman" w:hAnsi="Times New Roman" w:cs="Times New Roman"/>
        </w:rPr>
        <w:t xml:space="preserve">, </w:t>
      </w:r>
      <w:r w:rsidR="00FC2AC2">
        <w:rPr>
          <w:rFonts w:ascii="Times New Roman" w:hAnsi="Times New Roman" w:cs="Times New Roman"/>
        </w:rPr>
        <w:t>t</w:t>
      </w:r>
      <w:r w:rsidR="00E11EBC" w:rsidRPr="000C1DBC">
        <w:rPr>
          <w:rFonts w:ascii="Times New Roman" w:hAnsi="Times New Roman" w:cs="Times New Roman"/>
        </w:rPr>
        <w:t>he</w:t>
      </w:r>
      <w:r w:rsidR="00E11EBC">
        <w:rPr>
          <w:rFonts w:ascii="Times New Roman" w:hAnsi="Times New Roman" w:cs="Times New Roman"/>
        </w:rPr>
        <w:t xml:space="preserve"> Court of Appeals </w:t>
      </w:r>
      <w:r w:rsidR="00CC2A91">
        <w:rPr>
          <w:rFonts w:ascii="Times New Roman" w:hAnsi="Times New Roman" w:cs="Times New Roman"/>
        </w:rPr>
        <w:t xml:space="preserve">found that </w:t>
      </w:r>
      <w:r w:rsidR="00E41037">
        <w:rPr>
          <w:rFonts w:ascii="Times New Roman" w:hAnsi="Times New Roman" w:cs="Times New Roman"/>
        </w:rPr>
        <w:t>a statute</w:t>
      </w:r>
      <w:r w:rsidR="00CC2A91">
        <w:rPr>
          <w:rFonts w:ascii="Times New Roman" w:hAnsi="Times New Roman" w:cs="Times New Roman"/>
        </w:rPr>
        <w:t xml:space="preserve"> directing </w:t>
      </w:r>
      <w:r w:rsidR="005960BB">
        <w:rPr>
          <w:rFonts w:ascii="Times New Roman" w:hAnsi="Times New Roman" w:cs="Times New Roman"/>
        </w:rPr>
        <w:t>“</w:t>
      </w:r>
      <w:r w:rsidR="001B5D86" w:rsidRPr="001B5D86">
        <w:rPr>
          <w:rFonts w:ascii="Times New Roman" w:hAnsi="Times New Roman" w:cs="Times New Roman"/>
        </w:rPr>
        <w:t>the BMV to issue licenses in a manner the Bureau considers necessary and prudent</w:t>
      </w:r>
      <w:r w:rsidR="005960BB">
        <w:rPr>
          <w:rFonts w:ascii="Times New Roman" w:hAnsi="Times New Roman" w:cs="Times New Roman"/>
        </w:rPr>
        <w:t xml:space="preserve">” </w:t>
      </w:r>
      <w:r w:rsidR="00CC2A91">
        <w:rPr>
          <w:rFonts w:ascii="Times New Roman" w:hAnsi="Times New Roman" w:cs="Times New Roman"/>
        </w:rPr>
        <w:t xml:space="preserve">did not </w:t>
      </w:r>
      <w:r w:rsidR="005960BB">
        <w:rPr>
          <w:rFonts w:ascii="Times New Roman" w:hAnsi="Times New Roman" w:cs="Times New Roman"/>
        </w:rPr>
        <w:t xml:space="preserve">remove the necessity for rulemaking.  </w:t>
      </w:r>
      <w:r w:rsidR="005E59A1">
        <w:rPr>
          <w:rFonts w:ascii="Times New Roman" w:hAnsi="Times New Roman" w:cs="Times New Roman"/>
        </w:rPr>
        <w:t xml:space="preserve">The Court explained:  </w:t>
      </w:r>
      <w:r w:rsidR="001B5D86" w:rsidRPr="001B5D86">
        <w:rPr>
          <w:rFonts w:ascii="Times New Roman" w:hAnsi="Times New Roman" w:cs="Times New Roman"/>
        </w:rPr>
        <w:t xml:space="preserve"> </w:t>
      </w:r>
    </w:p>
    <w:p w14:paraId="65B2D49D" w14:textId="77777777" w:rsidR="005E59A1" w:rsidRDefault="005E59A1" w:rsidP="001B5D86">
      <w:pPr>
        <w:rPr>
          <w:rFonts w:ascii="Times New Roman" w:hAnsi="Times New Roman" w:cs="Times New Roman"/>
        </w:rPr>
      </w:pPr>
    </w:p>
    <w:p w14:paraId="32477758" w14:textId="2D3F6323" w:rsidR="001B5D86" w:rsidRPr="001B5D86" w:rsidRDefault="001B5D86" w:rsidP="005E59A1">
      <w:pPr>
        <w:ind w:left="720" w:right="720"/>
        <w:rPr>
          <w:rFonts w:ascii="Times New Roman" w:hAnsi="Times New Roman" w:cs="Times New Roman"/>
        </w:rPr>
      </w:pPr>
      <w:r w:rsidRPr="001B5D86">
        <w:rPr>
          <w:rFonts w:ascii="Times New Roman" w:hAnsi="Times New Roman" w:cs="Times New Roman"/>
        </w:rPr>
        <w:t xml:space="preserve">the ARPA requires rules to be adopted in accordance with the requirements of Indiana Code chapter 4–22–2. </w:t>
      </w:r>
      <w:r w:rsidRPr="002003CD">
        <w:rPr>
          <w:rFonts w:ascii="Times New Roman" w:hAnsi="Times New Roman" w:cs="Times New Roman"/>
          <w:i/>
          <w:iCs/>
        </w:rPr>
        <w:t>See</w:t>
      </w:r>
      <w:r w:rsidRPr="001B5D86">
        <w:rPr>
          <w:rFonts w:ascii="Times New Roman" w:hAnsi="Times New Roman" w:cs="Times New Roman"/>
        </w:rPr>
        <w:t xml:space="preserve"> </w:t>
      </w:r>
      <w:proofErr w:type="spellStart"/>
      <w:r w:rsidRPr="001B5D86">
        <w:rPr>
          <w:rFonts w:ascii="Times New Roman" w:hAnsi="Times New Roman" w:cs="Times New Roman"/>
        </w:rPr>
        <w:t>Ind.Code</w:t>
      </w:r>
      <w:proofErr w:type="spellEnd"/>
      <w:r w:rsidRPr="001B5D86">
        <w:rPr>
          <w:rFonts w:ascii="Times New Roman" w:hAnsi="Times New Roman" w:cs="Times New Roman"/>
        </w:rPr>
        <w:t xml:space="preserve"> § 9–15–2–1(3). These requirements dictate, among other things, public input into any proposed rule changes. The duty of the BMV to issue licenses in a manner that it deems prudent does not </w:t>
      </w:r>
      <w:proofErr w:type="spellStart"/>
      <w:r w:rsidRPr="001B5D86">
        <w:rPr>
          <w:rFonts w:ascii="Times New Roman" w:hAnsi="Times New Roman" w:cs="Times New Roman"/>
        </w:rPr>
        <w:t>supercede</w:t>
      </w:r>
      <w:proofErr w:type="spellEnd"/>
      <w:r w:rsidRPr="001B5D86">
        <w:rPr>
          <w:rFonts w:ascii="Times New Roman" w:hAnsi="Times New Roman" w:cs="Times New Roman"/>
        </w:rPr>
        <w:t xml:space="preserve"> the mandate to allow the public to participate in the rule-making process.</w:t>
      </w:r>
    </w:p>
    <w:p w14:paraId="7ABA32E6" w14:textId="77777777" w:rsidR="001B5D86" w:rsidRPr="001B5D86" w:rsidRDefault="001B5D86" w:rsidP="001B5D86">
      <w:pPr>
        <w:rPr>
          <w:rFonts w:ascii="Times New Roman" w:hAnsi="Times New Roman" w:cs="Times New Roman"/>
        </w:rPr>
      </w:pPr>
    </w:p>
    <w:p w14:paraId="10D8F12F" w14:textId="0A0CED6F" w:rsidR="001B5D86" w:rsidRPr="006F6C4A" w:rsidRDefault="001B5D86" w:rsidP="001B5D86">
      <w:pPr>
        <w:rPr>
          <w:rFonts w:ascii="Times New Roman" w:hAnsi="Times New Roman" w:cs="Times New Roman"/>
        </w:rPr>
      </w:pPr>
      <w:r w:rsidRPr="00A238FB">
        <w:rPr>
          <w:rFonts w:ascii="Times New Roman" w:hAnsi="Times New Roman" w:cs="Times New Roman"/>
          <w:i/>
          <w:iCs/>
        </w:rPr>
        <w:t>Villegas</w:t>
      </w:r>
      <w:r w:rsidRPr="001B5D86">
        <w:rPr>
          <w:rFonts w:ascii="Times New Roman" w:hAnsi="Times New Roman" w:cs="Times New Roman"/>
        </w:rPr>
        <w:t xml:space="preserve">, 832 N.E.2d </w:t>
      </w:r>
      <w:r w:rsidR="00A238FB">
        <w:rPr>
          <w:rFonts w:ascii="Times New Roman" w:hAnsi="Times New Roman" w:cs="Times New Roman"/>
        </w:rPr>
        <w:t xml:space="preserve">at </w:t>
      </w:r>
      <w:r w:rsidRPr="001B5D86">
        <w:rPr>
          <w:rFonts w:ascii="Times New Roman" w:hAnsi="Times New Roman" w:cs="Times New Roman"/>
        </w:rPr>
        <w:t xml:space="preserve">610 </w:t>
      </w:r>
      <w:r w:rsidR="002003CD">
        <w:rPr>
          <w:rFonts w:ascii="Times New Roman" w:hAnsi="Times New Roman" w:cs="Times New Roman"/>
        </w:rPr>
        <w:t xml:space="preserve">(footnote omitted). </w:t>
      </w:r>
    </w:p>
    <w:p w14:paraId="7F702C88" w14:textId="77777777" w:rsidR="00A37E8A" w:rsidRPr="006F6C4A" w:rsidRDefault="00A37E8A" w:rsidP="00A37E8A">
      <w:pPr>
        <w:rPr>
          <w:rFonts w:ascii="Times New Roman" w:hAnsi="Times New Roman" w:cs="Times New Roman"/>
        </w:rPr>
      </w:pPr>
    </w:p>
    <w:p w14:paraId="6947160F" w14:textId="77777777" w:rsidR="00A37E8A" w:rsidRPr="006F6C4A" w:rsidRDefault="00A37E8A">
      <w:pPr>
        <w:rPr>
          <w:rFonts w:ascii="Times New Roman" w:hAnsi="Times New Roman" w:cs="Times New Roman"/>
        </w:rPr>
      </w:pPr>
    </w:p>
    <w:sectPr w:rsidR="00A37E8A" w:rsidRPr="006F6C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CFFF" w14:textId="77777777" w:rsidR="00056679" w:rsidRDefault="00056679" w:rsidP="002E520A">
      <w:r>
        <w:separator/>
      </w:r>
    </w:p>
  </w:endnote>
  <w:endnote w:type="continuationSeparator" w:id="0">
    <w:p w14:paraId="37C911A4" w14:textId="77777777" w:rsidR="00056679" w:rsidRDefault="00056679" w:rsidP="002E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78478"/>
      <w:docPartObj>
        <w:docPartGallery w:val="Page Numbers (Bottom of Page)"/>
        <w:docPartUnique/>
      </w:docPartObj>
    </w:sdtPr>
    <w:sdtEndPr>
      <w:rPr>
        <w:noProof/>
      </w:rPr>
    </w:sdtEndPr>
    <w:sdtContent>
      <w:p w14:paraId="77432A0C" w14:textId="2DA8C8C1" w:rsidR="002E520A" w:rsidRDefault="002E5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391B24" w14:textId="77777777" w:rsidR="002E520A" w:rsidRDefault="002E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0527" w14:textId="77777777" w:rsidR="00056679" w:rsidRDefault="00056679" w:rsidP="002E520A">
      <w:r>
        <w:separator/>
      </w:r>
    </w:p>
  </w:footnote>
  <w:footnote w:type="continuationSeparator" w:id="0">
    <w:p w14:paraId="13BD30EF" w14:textId="77777777" w:rsidR="00056679" w:rsidRDefault="00056679" w:rsidP="002E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7005" w14:textId="52603CBB" w:rsidR="00CD2E4C" w:rsidRDefault="00CD2E4C" w:rsidP="00CD2E4C">
    <w:pPr>
      <w:pStyle w:val="Header"/>
      <w:jc w:val="right"/>
    </w:pPr>
    <w:r>
      <w:t>Last Updated May 30, 2023</w:t>
    </w:r>
  </w:p>
  <w:p w14:paraId="27E578CB" w14:textId="77777777" w:rsidR="00CD2E4C" w:rsidRDefault="00CD2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D7"/>
    <w:rsid w:val="00030B73"/>
    <w:rsid w:val="00056679"/>
    <w:rsid w:val="000B5ED6"/>
    <w:rsid w:val="000C1DBC"/>
    <w:rsid w:val="00187474"/>
    <w:rsid w:val="001B5D86"/>
    <w:rsid w:val="002003CD"/>
    <w:rsid w:val="00273541"/>
    <w:rsid w:val="002E520A"/>
    <w:rsid w:val="002F3E47"/>
    <w:rsid w:val="00312252"/>
    <w:rsid w:val="003651EF"/>
    <w:rsid w:val="003F0C71"/>
    <w:rsid w:val="004178B7"/>
    <w:rsid w:val="005249B3"/>
    <w:rsid w:val="00572931"/>
    <w:rsid w:val="005960BB"/>
    <w:rsid w:val="005E59A1"/>
    <w:rsid w:val="005F538E"/>
    <w:rsid w:val="00620466"/>
    <w:rsid w:val="00666876"/>
    <w:rsid w:val="006F56DB"/>
    <w:rsid w:val="006F6C4A"/>
    <w:rsid w:val="00725A42"/>
    <w:rsid w:val="007A39F7"/>
    <w:rsid w:val="007C7868"/>
    <w:rsid w:val="00807583"/>
    <w:rsid w:val="00873800"/>
    <w:rsid w:val="008D0338"/>
    <w:rsid w:val="008D494B"/>
    <w:rsid w:val="00924056"/>
    <w:rsid w:val="009A5A1E"/>
    <w:rsid w:val="009C4930"/>
    <w:rsid w:val="00A238FB"/>
    <w:rsid w:val="00A37E8A"/>
    <w:rsid w:val="00BF690C"/>
    <w:rsid w:val="00C752EC"/>
    <w:rsid w:val="00C80F72"/>
    <w:rsid w:val="00C85D84"/>
    <w:rsid w:val="00C9621F"/>
    <w:rsid w:val="00CC2A91"/>
    <w:rsid w:val="00CD2E4C"/>
    <w:rsid w:val="00E11EBC"/>
    <w:rsid w:val="00E266D7"/>
    <w:rsid w:val="00E41037"/>
    <w:rsid w:val="00E746F0"/>
    <w:rsid w:val="00E8314E"/>
    <w:rsid w:val="00F53943"/>
    <w:rsid w:val="00F70D87"/>
    <w:rsid w:val="00FA1676"/>
    <w:rsid w:val="00FC2AC2"/>
    <w:rsid w:val="00FD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1D3"/>
  <w15:chartTrackingRefBased/>
  <w15:docId w15:val="{37648627-1FA6-43D2-8D5F-6F89EEB9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0A"/>
    <w:pPr>
      <w:tabs>
        <w:tab w:val="center" w:pos="4680"/>
        <w:tab w:val="right" w:pos="9360"/>
      </w:tabs>
    </w:pPr>
  </w:style>
  <w:style w:type="character" w:customStyle="1" w:styleId="HeaderChar">
    <w:name w:val="Header Char"/>
    <w:basedOn w:val="DefaultParagraphFont"/>
    <w:link w:val="Header"/>
    <w:uiPriority w:val="99"/>
    <w:rsid w:val="002E520A"/>
  </w:style>
  <w:style w:type="paragraph" w:styleId="Footer">
    <w:name w:val="footer"/>
    <w:basedOn w:val="Normal"/>
    <w:link w:val="FooterChar"/>
    <w:uiPriority w:val="99"/>
    <w:unhideWhenUsed/>
    <w:rsid w:val="002E520A"/>
    <w:pPr>
      <w:tabs>
        <w:tab w:val="center" w:pos="4680"/>
        <w:tab w:val="right" w:pos="9360"/>
      </w:tabs>
    </w:pPr>
  </w:style>
  <w:style w:type="character" w:customStyle="1" w:styleId="FooterChar">
    <w:name w:val="Footer Char"/>
    <w:basedOn w:val="DefaultParagraphFont"/>
    <w:link w:val="Footer"/>
    <w:uiPriority w:val="99"/>
    <w:rsid w:val="002E520A"/>
  </w:style>
  <w:style w:type="character" w:styleId="Hyperlink">
    <w:name w:val="Hyperlink"/>
    <w:basedOn w:val="DefaultParagraphFont"/>
    <w:uiPriority w:val="99"/>
    <w:semiHidden/>
    <w:unhideWhenUsed/>
    <w:rsid w:val="00A37E8A"/>
    <w:rPr>
      <w:color w:val="0563C1"/>
      <w:u w:val="single"/>
    </w:rPr>
  </w:style>
  <w:style w:type="character" w:customStyle="1" w:styleId="costarpage">
    <w:name w:val="co_starpage"/>
    <w:basedOn w:val="DefaultParagraphFont"/>
    <w:rsid w:val="00A37E8A"/>
  </w:style>
  <w:style w:type="character" w:styleId="Emphasis">
    <w:name w:val="Emphasis"/>
    <w:basedOn w:val="DefaultParagraphFont"/>
    <w:uiPriority w:val="20"/>
    <w:qFormat/>
    <w:rsid w:val="00A37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3766">
      <w:bodyDiv w:val="1"/>
      <w:marLeft w:val="0"/>
      <w:marRight w:val="0"/>
      <w:marTop w:val="0"/>
      <w:marBottom w:val="0"/>
      <w:divBdr>
        <w:top w:val="none" w:sz="0" w:space="0" w:color="auto"/>
        <w:left w:val="none" w:sz="0" w:space="0" w:color="auto"/>
        <w:bottom w:val="none" w:sz="0" w:space="0" w:color="auto"/>
        <w:right w:val="none" w:sz="0" w:space="0" w:color="auto"/>
      </w:divBdr>
    </w:div>
    <w:div w:id="1055855039">
      <w:bodyDiv w:val="1"/>
      <w:marLeft w:val="0"/>
      <w:marRight w:val="0"/>
      <w:marTop w:val="0"/>
      <w:marBottom w:val="0"/>
      <w:divBdr>
        <w:top w:val="none" w:sz="0" w:space="0" w:color="auto"/>
        <w:left w:val="none" w:sz="0" w:space="0" w:color="auto"/>
        <w:bottom w:val="none" w:sz="0" w:space="0" w:color="auto"/>
        <w:right w:val="none" w:sz="0" w:space="0" w:color="auto"/>
      </w:divBdr>
      <w:divsChild>
        <w:div w:id="1912813044">
          <w:marLeft w:val="0"/>
          <w:marRight w:val="0"/>
          <w:marTop w:val="0"/>
          <w:marBottom w:val="0"/>
          <w:divBdr>
            <w:top w:val="none" w:sz="0" w:space="0" w:color="auto"/>
            <w:left w:val="none" w:sz="0" w:space="0" w:color="auto"/>
            <w:bottom w:val="none" w:sz="0" w:space="0" w:color="auto"/>
            <w:right w:val="none" w:sz="0" w:space="0" w:color="auto"/>
          </w:divBdr>
        </w:div>
        <w:div w:id="878472121">
          <w:marLeft w:val="0"/>
          <w:marRight w:val="0"/>
          <w:marTop w:val="240"/>
          <w:marBottom w:val="0"/>
          <w:divBdr>
            <w:top w:val="none" w:sz="0" w:space="0" w:color="auto"/>
            <w:left w:val="none" w:sz="0" w:space="0" w:color="auto"/>
            <w:bottom w:val="none" w:sz="0" w:space="0" w:color="auto"/>
            <w:right w:val="none" w:sz="0" w:space="0" w:color="auto"/>
          </w:divBdr>
          <w:divsChild>
            <w:div w:id="1677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056">
      <w:bodyDiv w:val="1"/>
      <w:marLeft w:val="0"/>
      <w:marRight w:val="0"/>
      <w:marTop w:val="0"/>
      <w:marBottom w:val="0"/>
      <w:divBdr>
        <w:top w:val="none" w:sz="0" w:space="0" w:color="auto"/>
        <w:left w:val="none" w:sz="0" w:space="0" w:color="auto"/>
        <w:bottom w:val="none" w:sz="0" w:space="0" w:color="auto"/>
        <w:right w:val="none" w:sz="0" w:space="0" w:color="auto"/>
      </w:divBdr>
    </w:div>
    <w:div w:id="1502116385">
      <w:bodyDiv w:val="1"/>
      <w:marLeft w:val="0"/>
      <w:marRight w:val="0"/>
      <w:marTop w:val="0"/>
      <w:marBottom w:val="0"/>
      <w:divBdr>
        <w:top w:val="none" w:sz="0" w:space="0" w:color="auto"/>
        <w:left w:val="none" w:sz="0" w:space="0" w:color="auto"/>
        <w:bottom w:val="none" w:sz="0" w:space="0" w:color="auto"/>
        <w:right w:val="none" w:sz="0" w:space="0" w:color="auto"/>
      </w:divBdr>
      <w:divsChild>
        <w:div w:id="2064910239">
          <w:marLeft w:val="0"/>
          <w:marRight w:val="0"/>
          <w:marTop w:val="0"/>
          <w:marBottom w:val="0"/>
          <w:divBdr>
            <w:top w:val="none" w:sz="0" w:space="0" w:color="auto"/>
            <w:left w:val="none" w:sz="0" w:space="0" w:color="auto"/>
            <w:bottom w:val="none" w:sz="0" w:space="0" w:color="auto"/>
            <w:right w:val="none" w:sz="0" w:space="0" w:color="auto"/>
          </w:divBdr>
        </w:div>
        <w:div w:id="644237051">
          <w:marLeft w:val="0"/>
          <w:marRight w:val="0"/>
          <w:marTop w:val="240"/>
          <w:marBottom w:val="0"/>
          <w:divBdr>
            <w:top w:val="none" w:sz="0" w:space="0" w:color="auto"/>
            <w:left w:val="none" w:sz="0" w:space="0" w:color="auto"/>
            <w:bottom w:val="none" w:sz="0" w:space="0" w:color="auto"/>
            <w:right w:val="none" w:sz="0" w:space="0" w:color="auto"/>
          </w:divBdr>
          <w:divsChild>
            <w:div w:id="2029259934">
              <w:marLeft w:val="0"/>
              <w:marRight w:val="0"/>
              <w:marTop w:val="0"/>
              <w:marBottom w:val="0"/>
              <w:divBdr>
                <w:top w:val="none" w:sz="0" w:space="0" w:color="auto"/>
                <w:left w:val="none" w:sz="0" w:space="0" w:color="auto"/>
                <w:bottom w:val="none" w:sz="0" w:space="0" w:color="auto"/>
                <w:right w:val="none" w:sz="0" w:space="0" w:color="auto"/>
              </w:divBdr>
            </w:div>
          </w:divsChild>
        </w:div>
        <w:div w:id="555430648">
          <w:marLeft w:val="0"/>
          <w:marRight w:val="0"/>
          <w:marTop w:val="240"/>
          <w:marBottom w:val="0"/>
          <w:divBdr>
            <w:top w:val="none" w:sz="0" w:space="0" w:color="auto"/>
            <w:left w:val="none" w:sz="0" w:space="0" w:color="auto"/>
            <w:bottom w:val="none" w:sz="0" w:space="0" w:color="auto"/>
            <w:right w:val="none" w:sz="0" w:space="0" w:color="auto"/>
          </w:divBdr>
          <w:divsChild>
            <w:div w:id="578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next.westlaw.com/Link/Document/FullText?findType=Y&amp;serNum=1984100149&amp;pubNum=578&amp;originatingDoc=I966768d0d38911d9bf60c1d57ebc853e&amp;refType=RP&amp;originationContext=document&amp;transitionType=DocumentItem&amp;ppcid=211183dd26c34cadb6d4577133f7c02d&amp;contextData=(sc.UserEnteredCi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009&amp;cite=INS12-1-2-3&amp;originatingDoc=I966768d0d38911d9bf60c1d57ebc853e&amp;refType=LQ&amp;originationContext=document&amp;transitionType=DocumentItem&amp;ppcid=211183dd26c34cadb6d4577133f7c02d&amp;contextData=(sc.UserEnteredCit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Patrick W</dc:creator>
  <cp:keywords/>
  <dc:description/>
  <cp:lastModifiedBy>Price, Patrick W</cp:lastModifiedBy>
  <cp:revision>2</cp:revision>
  <dcterms:created xsi:type="dcterms:W3CDTF">2023-06-05T13:12:00Z</dcterms:created>
  <dcterms:modified xsi:type="dcterms:W3CDTF">2023-06-05T13:12:00Z</dcterms:modified>
</cp:coreProperties>
</file>