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CE" w:rsidRDefault="00BC04CE" w:rsidP="002667FA">
      <w:pPr>
        <w:jc w:val="both"/>
        <w:rPr>
          <w:rFonts w:ascii="Times New Roman" w:hAnsi="Times New Roman"/>
          <w:sz w:val="24"/>
        </w:rPr>
      </w:pPr>
      <w:bookmarkStart w:id="0" w:name="_GoBack"/>
      <w:bookmarkEnd w:id="0"/>
    </w:p>
    <w:p w:rsidR="002667FA" w:rsidRDefault="002667FA" w:rsidP="002667FA">
      <w:pPr>
        <w:contextualSpacing/>
        <w:rPr>
          <w:rFonts w:ascii="Times New Roman" w:hAnsi="Times New Roman"/>
          <w:sz w:val="24"/>
          <w:szCs w:val="24"/>
        </w:rPr>
      </w:pPr>
      <w:r w:rsidRPr="00651551">
        <w:rPr>
          <w:rFonts w:ascii="Times New Roman" w:hAnsi="Times New Roman"/>
          <w:b/>
          <w:sz w:val="24"/>
          <w:szCs w:val="24"/>
        </w:rPr>
        <w:t>To:</w:t>
      </w:r>
      <w:r w:rsidRPr="00651551">
        <w:rPr>
          <w:rFonts w:ascii="Times New Roman" w:hAnsi="Times New Roman"/>
          <w:sz w:val="24"/>
          <w:szCs w:val="24"/>
        </w:rPr>
        <w:t xml:space="preserve"> Indiana State Board of Education, Governor </w:t>
      </w:r>
      <w:r>
        <w:rPr>
          <w:rFonts w:ascii="Times New Roman" w:hAnsi="Times New Roman"/>
          <w:sz w:val="24"/>
          <w:szCs w:val="24"/>
        </w:rPr>
        <w:t>Holcomb</w:t>
      </w:r>
      <w:r w:rsidRPr="00651551">
        <w:rPr>
          <w:rFonts w:ascii="Times New Roman" w:hAnsi="Times New Roman"/>
          <w:sz w:val="24"/>
          <w:szCs w:val="24"/>
        </w:rPr>
        <w:t>, and the Indiana General Assembly</w:t>
      </w:r>
    </w:p>
    <w:p w:rsidR="002667FA" w:rsidRPr="00651551" w:rsidRDefault="002667FA" w:rsidP="002667FA">
      <w:pPr>
        <w:contextualSpacing/>
        <w:rPr>
          <w:rFonts w:ascii="Times New Roman" w:hAnsi="Times New Roman"/>
          <w:sz w:val="24"/>
          <w:szCs w:val="24"/>
        </w:rPr>
      </w:pPr>
    </w:p>
    <w:p w:rsidR="002667FA" w:rsidRDefault="002667FA" w:rsidP="002667FA">
      <w:pPr>
        <w:contextualSpacing/>
        <w:rPr>
          <w:rFonts w:ascii="Times New Roman" w:hAnsi="Times New Roman"/>
          <w:sz w:val="24"/>
          <w:szCs w:val="24"/>
        </w:rPr>
      </w:pPr>
      <w:r w:rsidRPr="00651551">
        <w:rPr>
          <w:rFonts w:ascii="Times New Roman" w:hAnsi="Times New Roman"/>
          <w:b/>
          <w:sz w:val="24"/>
          <w:szCs w:val="24"/>
        </w:rPr>
        <w:t>From:</w:t>
      </w:r>
      <w:r w:rsidRPr="00651551">
        <w:rPr>
          <w:rFonts w:ascii="Times New Roman" w:hAnsi="Times New Roman"/>
          <w:sz w:val="24"/>
          <w:szCs w:val="24"/>
        </w:rPr>
        <w:t xml:space="preserve"> Micah Vincent, OMB Director</w:t>
      </w:r>
    </w:p>
    <w:p w:rsidR="002667FA" w:rsidRPr="00651551" w:rsidRDefault="002667FA" w:rsidP="002667FA">
      <w:pPr>
        <w:contextualSpacing/>
        <w:rPr>
          <w:rFonts w:ascii="Times New Roman" w:hAnsi="Times New Roman"/>
          <w:sz w:val="24"/>
          <w:szCs w:val="24"/>
        </w:rPr>
      </w:pPr>
    </w:p>
    <w:p w:rsidR="002667FA" w:rsidRDefault="002667FA" w:rsidP="002667FA">
      <w:pPr>
        <w:contextualSpacing/>
        <w:rPr>
          <w:rFonts w:ascii="Times New Roman" w:hAnsi="Times New Roman"/>
          <w:sz w:val="24"/>
          <w:szCs w:val="24"/>
        </w:rPr>
      </w:pPr>
      <w:r w:rsidRPr="00651551">
        <w:rPr>
          <w:rFonts w:ascii="Times New Roman" w:hAnsi="Times New Roman"/>
          <w:b/>
          <w:sz w:val="24"/>
          <w:szCs w:val="24"/>
        </w:rPr>
        <w:t>Date:</w:t>
      </w:r>
      <w:r w:rsidRPr="00651551">
        <w:rPr>
          <w:rFonts w:ascii="Times New Roman" w:hAnsi="Times New Roman"/>
          <w:sz w:val="24"/>
          <w:szCs w:val="24"/>
        </w:rPr>
        <w:t xml:space="preserve"> </w:t>
      </w:r>
      <w:r w:rsidR="00095FF6">
        <w:rPr>
          <w:rFonts w:ascii="Times New Roman" w:hAnsi="Times New Roman"/>
          <w:sz w:val="24"/>
          <w:szCs w:val="24"/>
        </w:rPr>
        <w:t>January 18, 2019</w:t>
      </w:r>
    </w:p>
    <w:p w:rsidR="002667FA" w:rsidRPr="00651551" w:rsidRDefault="002667FA" w:rsidP="002667FA">
      <w:pPr>
        <w:contextualSpacing/>
        <w:rPr>
          <w:rFonts w:ascii="Times New Roman" w:hAnsi="Times New Roman"/>
          <w:sz w:val="24"/>
          <w:szCs w:val="24"/>
        </w:rPr>
      </w:pPr>
    </w:p>
    <w:p w:rsidR="002667FA" w:rsidRPr="00651551" w:rsidRDefault="002667FA" w:rsidP="002667FA">
      <w:pPr>
        <w:pBdr>
          <w:bottom w:val="single" w:sz="12" w:space="1" w:color="auto"/>
        </w:pBdr>
        <w:contextualSpacing/>
        <w:rPr>
          <w:rFonts w:ascii="Times New Roman" w:hAnsi="Times New Roman"/>
          <w:sz w:val="24"/>
          <w:szCs w:val="24"/>
        </w:rPr>
      </w:pPr>
      <w:r w:rsidRPr="00651551">
        <w:rPr>
          <w:rFonts w:ascii="Times New Roman" w:hAnsi="Times New Roman"/>
          <w:b/>
          <w:sz w:val="24"/>
          <w:szCs w:val="24"/>
        </w:rPr>
        <w:t>Re:</w:t>
      </w:r>
      <w:r w:rsidRPr="00651551">
        <w:rPr>
          <w:rFonts w:ascii="Times New Roman" w:hAnsi="Times New Roman"/>
          <w:sz w:val="24"/>
          <w:szCs w:val="24"/>
        </w:rPr>
        <w:t xml:space="preserve"> Student Instructional Expenditure Report for the 201</w:t>
      </w:r>
      <w:r w:rsidR="002F4DFF">
        <w:rPr>
          <w:rFonts w:ascii="Times New Roman" w:hAnsi="Times New Roman"/>
          <w:sz w:val="24"/>
          <w:szCs w:val="24"/>
        </w:rPr>
        <w:t>6</w:t>
      </w:r>
      <w:r w:rsidRPr="00651551">
        <w:rPr>
          <w:rFonts w:ascii="Times New Roman" w:hAnsi="Times New Roman"/>
          <w:sz w:val="24"/>
          <w:szCs w:val="24"/>
        </w:rPr>
        <w:t xml:space="preserve"> – 1</w:t>
      </w:r>
      <w:r w:rsidR="002F4DFF">
        <w:rPr>
          <w:rFonts w:ascii="Times New Roman" w:hAnsi="Times New Roman"/>
          <w:sz w:val="24"/>
          <w:szCs w:val="24"/>
        </w:rPr>
        <w:t>7</w:t>
      </w:r>
      <w:r w:rsidRPr="00651551">
        <w:rPr>
          <w:rFonts w:ascii="Times New Roman" w:hAnsi="Times New Roman"/>
          <w:sz w:val="24"/>
          <w:szCs w:val="24"/>
        </w:rPr>
        <w:t xml:space="preserve"> School Year</w:t>
      </w:r>
    </w:p>
    <w:p w:rsidR="002667FA" w:rsidRPr="00651551" w:rsidRDefault="002667FA" w:rsidP="002667FA">
      <w:pPr>
        <w:rPr>
          <w:rFonts w:ascii="Times New Roman" w:hAnsi="Times New Roman"/>
          <w:sz w:val="24"/>
          <w:szCs w:val="24"/>
        </w:rPr>
      </w:pPr>
    </w:p>
    <w:p w:rsidR="002667FA" w:rsidRPr="00095FF6" w:rsidRDefault="002667FA" w:rsidP="002667FA">
      <w:pPr>
        <w:rPr>
          <w:rFonts w:ascii="Times New Roman" w:hAnsi="Times New Roman"/>
          <w:color w:val="000000" w:themeColor="text1"/>
          <w:sz w:val="24"/>
          <w:szCs w:val="24"/>
        </w:rPr>
      </w:pPr>
      <w:r w:rsidRPr="00651551">
        <w:rPr>
          <w:rFonts w:ascii="Times New Roman" w:hAnsi="Times New Roman"/>
          <w:sz w:val="24"/>
          <w:szCs w:val="24"/>
        </w:rPr>
        <w:t>Per IC 20-42.5-3-5, the 201</w:t>
      </w:r>
      <w:r w:rsidR="002F4DFF">
        <w:rPr>
          <w:rFonts w:ascii="Times New Roman" w:hAnsi="Times New Roman"/>
          <w:sz w:val="24"/>
          <w:szCs w:val="24"/>
        </w:rPr>
        <w:t>6</w:t>
      </w:r>
      <w:r w:rsidRPr="00651551">
        <w:rPr>
          <w:rFonts w:ascii="Times New Roman" w:hAnsi="Times New Roman"/>
          <w:sz w:val="24"/>
          <w:szCs w:val="24"/>
        </w:rPr>
        <w:t>-1</w:t>
      </w:r>
      <w:r w:rsidR="002F4DFF">
        <w:rPr>
          <w:rFonts w:ascii="Times New Roman" w:hAnsi="Times New Roman"/>
          <w:sz w:val="24"/>
          <w:szCs w:val="24"/>
        </w:rPr>
        <w:t>7</w:t>
      </w:r>
      <w:r w:rsidRPr="00651551">
        <w:rPr>
          <w:rFonts w:ascii="Times New Roman" w:hAnsi="Times New Roman"/>
          <w:sz w:val="24"/>
          <w:szCs w:val="24"/>
        </w:rPr>
        <w:t xml:space="preserve"> Student Instructional Expenditure Report provides analysis of school corporation expenditures reported to the Indiana Department of Education. Total expenditures in 201</w:t>
      </w:r>
      <w:r w:rsidR="002F4DFF">
        <w:rPr>
          <w:rFonts w:ascii="Times New Roman" w:hAnsi="Times New Roman"/>
          <w:sz w:val="24"/>
          <w:szCs w:val="24"/>
        </w:rPr>
        <w:t>6</w:t>
      </w:r>
      <w:r w:rsidRPr="00651551">
        <w:rPr>
          <w:rFonts w:ascii="Times New Roman" w:hAnsi="Times New Roman"/>
          <w:sz w:val="24"/>
          <w:szCs w:val="24"/>
        </w:rPr>
        <w:t>-1</w:t>
      </w:r>
      <w:r w:rsidR="002F4DFF">
        <w:rPr>
          <w:rFonts w:ascii="Times New Roman" w:hAnsi="Times New Roman"/>
          <w:sz w:val="24"/>
          <w:szCs w:val="24"/>
        </w:rPr>
        <w:t>7</w:t>
      </w:r>
      <w:r w:rsidRPr="00651551">
        <w:rPr>
          <w:rFonts w:ascii="Times New Roman" w:hAnsi="Times New Roman"/>
          <w:sz w:val="24"/>
          <w:szCs w:val="24"/>
        </w:rPr>
        <w:t xml:space="preserve"> were $1</w:t>
      </w:r>
      <w:r w:rsidR="002F4DFF">
        <w:rPr>
          <w:rFonts w:ascii="Times New Roman" w:hAnsi="Times New Roman"/>
          <w:sz w:val="24"/>
          <w:szCs w:val="24"/>
        </w:rPr>
        <w:t>2</w:t>
      </w:r>
      <w:r w:rsidRPr="00651551">
        <w:rPr>
          <w:rFonts w:ascii="Times New Roman" w:hAnsi="Times New Roman"/>
          <w:sz w:val="24"/>
          <w:szCs w:val="24"/>
        </w:rPr>
        <w:t>.</w:t>
      </w:r>
      <w:r w:rsidR="002F4DFF">
        <w:rPr>
          <w:rFonts w:ascii="Times New Roman" w:hAnsi="Times New Roman"/>
          <w:sz w:val="24"/>
          <w:szCs w:val="24"/>
        </w:rPr>
        <w:t>2</w:t>
      </w:r>
      <w:r w:rsidRPr="00651551">
        <w:rPr>
          <w:rFonts w:ascii="Times New Roman" w:hAnsi="Times New Roman"/>
          <w:sz w:val="24"/>
          <w:szCs w:val="24"/>
        </w:rPr>
        <w:t xml:space="preserve"> Billion (an increase of roughly $</w:t>
      </w:r>
      <w:r w:rsidR="004B3997">
        <w:rPr>
          <w:rFonts w:ascii="Times New Roman" w:hAnsi="Times New Roman"/>
          <w:sz w:val="24"/>
          <w:szCs w:val="24"/>
        </w:rPr>
        <w:t>286.8</w:t>
      </w:r>
      <w:r w:rsidRPr="00651551">
        <w:rPr>
          <w:rFonts w:ascii="Times New Roman" w:hAnsi="Times New Roman"/>
          <w:sz w:val="24"/>
          <w:szCs w:val="24"/>
        </w:rPr>
        <w:t xml:space="preserve"> Million from the pr</w:t>
      </w:r>
      <w:r w:rsidR="004B3997">
        <w:rPr>
          <w:rFonts w:ascii="Times New Roman" w:hAnsi="Times New Roman"/>
          <w:sz w:val="24"/>
          <w:szCs w:val="24"/>
        </w:rPr>
        <w:t>evious year). Of this total, $7.1</w:t>
      </w:r>
      <w:r w:rsidRPr="00651551">
        <w:rPr>
          <w:rFonts w:ascii="Times New Roman" w:hAnsi="Times New Roman"/>
          <w:sz w:val="24"/>
          <w:szCs w:val="24"/>
        </w:rPr>
        <w:t xml:space="preserve"> Billion was spent on Student Instruction. The statewide Student Instructional Expenditures ratio (also known as the “D</w:t>
      </w:r>
      <w:r w:rsidRPr="00095FF6">
        <w:rPr>
          <w:rFonts w:ascii="Times New Roman" w:hAnsi="Times New Roman"/>
          <w:color w:val="000000" w:themeColor="text1"/>
          <w:sz w:val="24"/>
          <w:szCs w:val="24"/>
        </w:rPr>
        <w:t>ollars to the Classroom” percentage) in 201</w:t>
      </w:r>
      <w:r w:rsidR="004B3997" w:rsidRPr="00095FF6">
        <w:rPr>
          <w:rFonts w:ascii="Times New Roman" w:hAnsi="Times New Roman"/>
          <w:color w:val="000000" w:themeColor="text1"/>
          <w:sz w:val="24"/>
          <w:szCs w:val="24"/>
        </w:rPr>
        <w:t>6</w:t>
      </w:r>
      <w:r w:rsidRPr="00095FF6">
        <w:rPr>
          <w:rFonts w:ascii="Times New Roman" w:hAnsi="Times New Roman"/>
          <w:color w:val="000000" w:themeColor="text1"/>
          <w:sz w:val="24"/>
          <w:szCs w:val="24"/>
        </w:rPr>
        <w:t>-1</w:t>
      </w:r>
      <w:r w:rsidR="004B3997" w:rsidRPr="00095FF6">
        <w:rPr>
          <w:rFonts w:ascii="Times New Roman" w:hAnsi="Times New Roman"/>
          <w:color w:val="000000" w:themeColor="text1"/>
          <w:sz w:val="24"/>
          <w:szCs w:val="24"/>
        </w:rPr>
        <w:t>7</w:t>
      </w:r>
      <w:r w:rsidRPr="00095FF6">
        <w:rPr>
          <w:rFonts w:ascii="Times New Roman" w:hAnsi="Times New Roman"/>
          <w:color w:val="000000" w:themeColor="text1"/>
          <w:sz w:val="24"/>
          <w:szCs w:val="24"/>
        </w:rPr>
        <w:t xml:space="preserve"> was </w:t>
      </w:r>
      <w:r w:rsidR="004B3997" w:rsidRPr="00095FF6">
        <w:rPr>
          <w:rFonts w:ascii="Times New Roman" w:hAnsi="Times New Roman"/>
          <w:b/>
          <w:bCs/>
          <w:color w:val="000000" w:themeColor="text1"/>
          <w:sz w:val="24"/>
          <w:szCs w:val="24"/>
        </w:rPr>
        <w:t>58</w:t>
      </w:r>
      <w:r w:rsidRPr="00095FF6">
        <w:rPr>
          <w:rFonts w:ascii="Times New Roman" w:hAnsi="Times New Roman"/>
          <w:b/>
          <w:bCs/>
          <w:color w:val="000000" w:themeColor="text1"/>
          <w:sz w:val="24"/>
          <w:szCs w:val="24"/>
        </w:rPr>
        <w:t>.</w:t>
      </w:r>
      <w:r w:rsidR="00995DC7" w:rsidRPr="00095FF6">
        <w:rPr>
          <w:rFonts w:ascii="Times New Roman" w:hAnsi="Times New Roman"/>
          <w:b/>
          <w:bCs/>
          <w:color w:val="000000" w:themeColor="text1"/>
          <w:sz w:val="24"/>
          <w:szCs w:val="24"/>
        </w:rPr>
        <w:t>1</w:t>
      </w:r>
      <w:r w:rsidRPr="00095FF6">
        <w:rPr>
          <w:rFonts w:ascii="Times New Roman" w:hAnsi="Times New Roman"/>
          <w:b/>
          <w:bCs/>
          <w:color w:val="000000" w:themeColor="text1"/>
          <w:sz w:val="24"/>
          <w:szCs w:val="24"/>
        </w:rPr>
        <w:t>%</w:t>
      </w:r>
      <w:r w:rsidRPr="00095FF6">
        <w:rPr>
          <w:rFonts w:ascii="Times New Roman" w:hAnsi="Times New Roman"/>
          <w:color w:val="000000" w:themeColor="text1"/>
          <w:sz w:val="24"/>
          <w:szCs w:val="24"/>
        </w:rPr>
        <w:t xml:space="preserve">. This figure is </w:t>
      </w:r>
      <w:r w:rsidR="0054099D" w:rsidRPr="00095FF6">
        <w:rPr>
          <w:rFonts w:ascii="Times New Roman" w:hAnsi="Times New Roman"/>
          <w:color w:val="000000" w:themeColor="text1"/>
          <w:sz w:val="24"/>
          <w:szCs w:val="24"/>
        </w:rPr>
        <w:t>higher</w:t>
      </w:r>
      <w:r w:rsidRPr="00095FF6">
        <w:rPr>
          <w:rFonts w:ascii="Times New Roman" w:hAnsi="Times New Roman"/>
          <w:color w:val="000000" w:themeColor="text1"/>
          <w:sz w:val="24"/>
          <w:szCs w:val="24"/>
        </w:rPr>
        <w:t xml:space="preserve"> than the previous year.</w:t>
      </w:r>
      <w:r w:rsidR="00CA02AC" w:rsidRPr="00095FF6">
        <w:rPr>
          <w:rFonts w:ascii="Times New Roman" w:hAnsi="Times New Roman"/>
          <w:color w:val="000000" w:themeColor="text1"/>
          <w:sz w:val="24"/>
          <w:szCs w:val="24"/>
        </w:rPr>
        <w:t xml:space="preserve"> </w:t>
      </w:r>
      <w:r w:rsidR="0050165C" w:rsidRPr="00095FF6">
        <w:rPr>
          <w:rFonts w:ascii="Times New Roman" w:hAnsi="Times New Roman"/>
          <w:color w:val="000000" w:themeColor="text1"/>
          <w:sz w:val="24"/>
          <w:szCs w:val="24"/>
        </w:rPr>
        <w:t>It is important to note that a change was made with regard to reporting.  In FY17, Athletic Coaches were categorized as Student Instructional Support.  FY 16 and older, Athletic Coaches were categorized as Non-Operational. Had this change not occurred, the Dollars to the Classroom percentage would have been 57.4%.</w:t>
      </w:r>
    </w:p>
    <w:p w:rsidR="002667FA" w:rsidRPr="00651551" w:rsidRDefault="002667FA" w:rsidP="002667FA">
      <w:pPr>
        <w:rPr>
          <w:rFonts w:ascii="Times New Roman" w:hAnsi="Times New Roman"/>
          <w:sz w:val="24"/>
          <w:szCs w:val="24"/>
        </w:rPr>
      </w:pPr>
    </w:p>
    <w:tbl>
      <w:tblPr>
        <w:tblW w:w="6160" w:type="dxa"/>
        <w:tblInd w:w="1595" w:type="dxa"/>
        <w:tblLook w:val="04A0" w:firstRow="1" w:lastRow="0" w:firstColumn="1" w:lastColumn="0" w:noHBand="0" w:noVBand="1"/>
      </w:tblPr>
      <w:tblGrid>
        <w:gridCol w:w="1540"/>
        <w:gridCol w:w="1540"/>
        <w:gridCol w:w="1540"/>
        <w:gridCol w:w="1540"/>
      </w:tblGrid>
      <w:tr w:rsidR="0054099D" w:rsidRPr="0054099D" w:rsidTr="0054099D">
        <w:trPr>
          <w:trHeight w:val="315"/>
        </w:trPr>
        <w:tc>
          <w:tcPr>
            <w:tcW w:w="616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4099D" w:rsidRPr="0054099D" w:rsidRDefault="0054099D" w:rsidP="0054099D">
            <w:pPr>
              <w:overflowPunct/>
              <w:autoSpaceDE/>
              <w:autoSpaceDN/>
              <w:adjustRightInd/>
              <w:jc w:val="center"/>
              <w:textAlignment w:val="auto"/>
              <w:rPr>
                <w:rFonts w:ascii="Calibri" w:hAnsi="Calibri" w:cs="Calibri"/>
                <w:b/>
                <w:bCs/>
                <w:color w:val="000000"/>
                <w:sz w:val="22"/>
                <w:szCs w:val="22"/>
              </w:rPr>
            </w:pPr>
            <w:r w:rsidRPr="0054099D">
              <w:rPr>
                <w:rFonts w:ascii="Calibri" w:hAnsi="Calibri" w:cs="Calibri"/>
                <w:b/>
                <w:bCs/>
                <w:color w:val="000000"/>
                <w:sz w:val="22"/>
                <w:szCs w:val="22"/>
              </w:rPr>
              <w:t>Percentage of Total School Expenditures on Student Instruction</w:t>
            </w:r>
          </w:p>
        </w:tc>
      </w:tr>
      <w:tr w:rsidR="0054099D" w:rsidRPr="0054099D" w:rsidTr="0054099D">
        <w:trPr>
          <w:trHeight w:val="315"/>
        </w:trPr>
        <w:tc>
          <w:tcPr>
            <w:tcW w:w="1540" w:type="dxa"/>
            <w:tcBorders>
              <w:top w:val="nil"/>
              <w:left w:val="single" w:sz="8" w:space="0" w:color="auto"/>
              <w:bottom w:val="double" w:sz="6" w:space="0" w:color="auto"/>
              <w:right w:val="nil"/>
            </w:tcBorders>
            <w:shd w:val="clear" w:color="auto" w:fill="auto"/>
            <w:noWrap/>
            <w:vAlign w:val="bottom"/>
            <w:hideMark/>
          </w:tcPr>
          <w:p w:rsidR="0054099D" w:rsidRPr="00FF4C79" w:rsidRDefault="0054099D" w:rsidP="0054099D">
            <w:pPr>
              <w:overflowPunct/>
              <w:autoSpaceDE/>
              <w:autoSpaceDN/>
              <w:adjustRightInd/>
              <w:jc w:val="center"/>
              <w:textAlignment w:val="auto"/>
              <w:rPr>
                <w:rFonts w:ascii="Calibri" w:hAnsi="Calibri" w:cs="Calibri"/>
                <w:color w:val="000000"/>
                <w:sz w:val="22"/>
                <w:szCs w:val="22"/>
              </w:rPr>
            </w:pPr>
            <w:r w:rsidRPr="00FF4C79">
              <w:rPr>
                <w:rFonts w:ascii="Calibri" w:hAnsi="Calibri" w:cs="Calibri"/>
                <w:color w:val="000000"/>
                <w:sz w:val="22"/>
                <w:szCs w:val="22"/>
              </w:rPr>
              <w:t>FY 201</w:t>
            </w:r>
            <w:r w:rsidR="00983EFA" w:rsidRPr="00FF4C79">
              <w:rPr>
                <w:rFonts w:ascii="Calibri" w:hAnsi="Calibri" w:cs="Calibri"/>
                <w:color w:val="000000"/>
                <w:sz w:val="22"/>
                <w:szCs w:val="22"/>
              </w:rPr>
              <w:t>4</w:t>
            </w:r>
          </w:p>
        </w:tc>
        <w:tc>
          <w:tcPr>
            <w:tcW w:w="1540" w:type="dxa"/>
            <w:tcBorders>
              <w:top w:val="nil"/>
              <w:left w:val="nil"/>
              <w:bottom w:val="double" w:sz="6" w:space="0" w:color="auto"/>
              <w:right w:val="nil"/>
            </w:tcBorders>
            <w:shd w:val="clear" w:color="auto" w:fill="auto"/>
            <w:noWrap/>
            <w:vAlign w:val="bottom"/>
            <w:hideMark/>
          </w:tcPr>
          <w:p w:rsidR="0054099D" w:rsidRPr="00FF4C79" w:rsidRDefault="0054099D" w:rsidP="0054099D">
            <w:pPr>
              <w:overflowPunct/>
              <w:autoSpaceDE/>
              <w:autoSpaceDN/>
              <w:adjustRightInd/>
              <w:jc w:val="center"/>
              <w:textAlignment w:val="auto"/>
              <w:rPr>
                <w:rFonts w:ascii="Calibri" w:hAnsi="Calibri" w:cs="Calibri"/>
                <w:color w:val="000000"/>
                <w:sz w:val="22"/>
                <w:szCs w:val="22"/>
              </w:rPr>
            </w:pPr>
            <w:r w:rsidRPr="00FF4C79">
              <w:rPr>
                <w:rFonts w:ascii="Calibri" w:hAnsi="Calibri" w:cs="Calibri"/>
                <w:color w:val="000000"/>
                <w:sz w:val="22"/>
                <w:szCs w:val="22"/>
              </w:rPr>
              <w:t>FY 201</w:t>
            </w:r>
            <w:r w:rsidR="00983EFA" w:rsidRPr="00FF4C79">
              <w:rPr>
                <w:rFonts w:ascii="Calibri" w:hAnsi="Calibri" w:cs="Calibri"/>
                <w:color w:val="000000"/>
                <w:sz w:val="22"/>
                <w:szCs w:val="22"/>
              </w:rPr>
              <w:t>5</w:t>
            </w:r>
          </w:p>
        </w:tc>
        <w:tc>
          <w:tcPr>
            <w:tcW w:w="1540" w:type="dxa"/>
            <w:tcBorders>
              <w:top w:val="nil"/>
              <w:left w:val="nil"/>
              <w:bottom w:val="double" w:sz="6" w:space="0" w:color="auto"/>
              <w:right w:val="nil"/>
            </w:tcBorders>
            <w:shd w:val="clear" w:color="auto" w:fill="auto"/>
            <w:noWrap/>
            <w:vAlign w:val="bottom"/>
            <w:hideMark/>
          </w:tcPr>
          <w:p w:rsidR="0054099D" w:rsidRPr="00FF4C79" w:rsidRDefault="0054099D" w:rsidP="0054099D">
            <w:pPr>
              <w:overflowPunct/>
              <w:autoSpaceDE/>
              <w:autoSpaceDN/>
              <w:adjustRightInd/>
              <w:jc w:val="center"/>
              <w:textAlignment w:val="auto"/>
              <w:rPr>
                <w:rFonts w:ascii="Calibri" w:hAnsi="Calibri" w:cs="Calibri"/>
                <w:color w:val="000000"/>
                <w:sz w:val="22"/>
                <w:szCs w:val="22"/>
              </w:rPr>
            </w:pPr>
            <w:r w:rsidRPr="00FF4C79">
              <w:rPr>
                <w:rFonts w:ascii="Calibri" w:hAnsi="Calibri" w:cs="Calibri"/>
                <w:color w:val="000000"/>
                <w:sz w:val="22"/>
                <w:szCs w:val="22"/>
              </w:rPr>
              <w:t>FY 201</w:t>
            </w:r>
            <w:r w:rsidR="00983EFA" w:rsidRPr="00FF4C79">
              <w:rPr>
                <w:rFonts w:ascii="Calibri" w:hAnsi="Calibri" w:cs="Calibri"/>
                <w:color w:val="000000"/>
                <w:sz w:val="22"/>
                <w:szCs w:val="22"/>
              </w:rPr>
              <w:t>6</w:t>
            </w:r>
          </w:p>
        </w:tc>
        <w:tc>
          <w:tcPr>
            <w:tcW w:w="1540" w:type="dxa"/>
            <w:tcBorders>
              <w:top w:val="nil"/>
              <w:left w:val="nil"/>
              <w:bottom w:val="double" w:sz="6" w:space="0" w:color="auto"/>
              <w:right w:val="single" w:sz="8" w:space="0" w:color="auto"/>
            </w:tcBorders>
            <w:shd w:val="clear" w:color="auto" w:fill="auto"/>
            <w:noWrap/>
            <w:vAlign w:val="bottom"/>
            <w:hideMark/>
          </w:tcPr>
          <w:p w:rsidR="0054099D" w:rsidRPr="00FF4C79" w:rsidRDefault="0054099D" w:rsidP="0054099D">
            <w:pPr>
              <w:overflowPunct/>
              <w:autoSpaceDE/>
              <w:autoSpaceDN/>
              <w:adjustRightInd/>
              <w:jc w:val="center"/>
              <w:textAlignment w:val="auto"/>
              <w:rPr>
                <w:rFonts w:ascii="Calibri" w:hAnsi="Calibri" w:cs="Calibri"/>
                <w:color w:val="000000"/>
                <w:sz w:val="22"/>
                <w:szCs w:val="22"/>
              </w:rPr>
            </w:pPr>
            <w:r w:rsidRPr="00FF4C79">
              <w:rPr>
                <w:rFonts w:ascii="Calibri" w:hAnsi="Calibri" w:cs="Calibri"/>
                <w:color w:val="000000"/>
                <w:sz w:val="22"/>
                <w:szCs w:val="22"/>
              </w:rPr>
              <w:t>FY 201</w:t>
            </w:r>
            <w:r w:rsidR="00983EFA" w:rsidRPr="00FF4C79">
              <w:rPr>
                <w:rFonts w:ascii="Calibri" w:hAnsi="Calibri" w:cs="Calibri"/>
                <w:color w:val="000000"/>
                <w:sz w:val="22"/>
                <w:szCs w:val="22"/>
              </w:rPr>
              <w:t>7</w:t>
            </w:r>
          </w:p>
        </w:tc>
      </w:tr>
      <w:tr w:rsidR="0054099D" w:rsidRPr="0054099D" w:rsidTr="0054099D">
        <w:trPr>
          <w:trHeight w:val="330"/>
        </w:trPr>
        <w:tc>
          <w:tcPr>
            <w:tcW w:w="1540" w:type="dxa"/>
            <w:tcBorders>
              <w:top w:val="nil"/>
              <w:left w:val="single" w:sz="8" w:space="0" w:color="auto"/>
              <w:bottom w:val="single" w:sz="8" w:space="0" w:color="auto"/>
              <w:right w:val="nil"/>
            </w:tcBorders>
            <w:shd w:val="clear" w:color="auto" w:fill="auto"/>
            <w:noWrap/>
            <w:vAlign w:val="bottom"/>
            <w:hideMark/>
          </w:tcPr>
          <w:p w:rsidR="0054099D" w:rsidRPr="0054099D" w:rsidRDefault="004B3997" w:rsidP="0054099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57.4</w:t>
            </w:r>
            <w:r w:rsidR="0054099D" w:rsidRPr="0054099D">
              <w:rPr>
                <w:rFonts w:ascii="Calibri" w:hAnsi="Calibri" w:cs="Calibri"/>
                <w:color w:val="000000"/>
                <w:sz w:val="22"/>
                <w:szCs w:val="22"/>
              </w:rPr>
              <w:t>%</w:t>
            </w:r>
          </w:p>
        </w:tc>
        <w:tc>
          <w:tcPr>
            <w:tcW w:w="1540" w:type="dxa"/>
            <w:tcBorders>
              <w:top w:val="nil"/>
              <w:left w:val="nil"/>
              <w:bottom w:val="single" w:sz="8" w:space="0" w:color="auto"/>
              <w:right w:val="nil"/>
            </w:tcBorders>
            <w:shd w:val="clear" w:color="auto" w:fill="auto"/>
            <w:noWrap/>
            <w:vAlign w:val="bottom"/>
            <w:hideMark/>
          </w:tcPr>
          <w:p w:rsidR="0054099D" w:rsidRPr="0054099D" w:rsidRDefault="004B3997" w:rsidP="0054099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57.0</w:t>
            </w:r>
            <w:r w:rsidR="0054099D" w:rsidRPr="0054099D">
              <w:rPr>
                <w:rFonts w:ascii="Calibri" w:hAnsi="Calibri" w:cs="Calibri"/>
                <w:color w:val="000000"/>
                <w:sz w:val="22"/>
                <w:szCs w:val="22"/>
              </w:rPr>
              <w:t>%</w:t>
            </w:r>
          </w:p>
        </w:tc>
        <w:tc>
          <w:tcPr>
            <w:tcW w:w="1540" w:type="dxa"/>
            <w:tcBorders>
              <w:top w:val="nil"/>
              <w:left w:val="nil"/>
              <w:bottom w:val="single" w:sz="8" w:space="0" w:color="auto"/>
              <w:right w:val="nil"/>
            </w:tcBorders>
            <w:shd w:val="clear" w:color="auto" w:fill="auto"/>
            <w:noWrap/>
            <w:vAlign w:val="bottom"/>
            <w:hideMark/>
          </w:tcPr>
          <w:p w:rsidR="0054099D" w:rsidRPr="0054099D" w:rsidRDefault="004B3997" w:rsidP="0054099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57.3</w:t>
            </w:r>
            <w:r w:rsidR="0054099D" w:rsidRPr="0054099D">
              <w:rPr>
                <w:rFonts w:ascii="Calibri" w:hAnsi="Calibri" w:cs="Calibri"/>
                <w:color w:val="000000"/>
                <w:sz w:val="22"/>
                <w:szCs w:val="22"/>
              </w:rPr>
              <w:t>%</w:t>
            </w:r>
          </w:p>
        </w:tc>
        <w:tc>
          <w:tcPr>
            <w:tcW w:w="1540" w:type="dxa"/>
            <w:tcBorders>
              <w:top w:val="nil"/>
              <w:left w:val="nil"/>
              <w:bottom w:val="single" w:sz="8" w:space="0" w:color="auto"/>
              <w:right w:val="single" w:sz="8" w:space="0" w:color="auto"/>
            </w:tcBorders>
            <w:shd w:val="clear" w:color="auto" w:fill="auto"/>
            <w:noWrap/>
            <w:vAlign w:val="bottom"/>
            <w:hideMark/>
          </w:tcPr>
          <w:p w:rsidR="0054099D" w:rsidRPr="0054099D" w:rsidRDefault="00995DC7" w:rsidP="0054099D">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58.1</w:t>
            </w:r>
            <w:r w:rsidR="0054099D" w:rsidRPr="0054099D">
              <w:rPr>
                <w:rFonts w:ascii="Calibri" w:hAnsi="Calibri" w:cs="Calibri"/>
                <w:color w:val="000000"/>
                <w:sz w:val="22"/>
                <w:szCs w:val="22"/>
              </w:rPr>
              <w:t>%</w:t>
            </w:r>
          </w:p>
        </w:tc>
      </w:tr>
    </w:tbl>
    <w:p w:rsidR="002667FA" w:rsidRPr="00651551" w:rsidRDefault="002667FA" w:rsidP="0054099D">
      <w:pPr>
        <w:rPr>
          <w:rFonts w:ascii="Times New Roman" w:hAnsi="Times New Roman"/>
          <w:sz w:val="24"/>
          <w:szCs w:val="24"/>
        </w:rPr>
      </w:pPr>
    </w:p>
    <w:p w:rsidR="002667FA" w:rsidRPr="00651551" w:rsidRDefault="002667FA" w:rsidP="002667FA">
      <w:pPr>
        <w:pStyle w:val="Default"/>
      </w:pPr>
    </w:p>
    <w:p w:rsidR="002667FA" w:rsidRPr="00651551" w:rsidRDefault="002667FA" w:rsidP="002667FA">
      <w:pPr>
        <w:pStyle w:val="Default"/>
      </w:pPr>
      <w:r w:rsidRPr="00651551">
        <w:t xml:space="preserve"> Student Instructional Expenditures are defined as the sum of two categories: </w:t>
      </w:r>
      <w:r w:rsidRPr="00651551">
        <w:rPr>
          <w:i/>
          <w:iCs/>
        </w:rPr>
        <w:t xml:space="preserve">1-Student Academic Achievement </w:t>
      </w:r>
      <w:r w:rsidRPr="00651551">
        <w:t xml:space="preserve">and </w:t>
      </w:r>
      <w:r w:rsidRPr="00651551">
        <w:rPr>
          <w:i/>
          <w:iCs/>
        </w:rPr>
        <w:t>2-Student Instructional Support</w:t>
      </w:r>
      <w:r w:rsidRPr="00651551">
        <w:t xml:space="preserve">. Non-Instructional Expenditures consist of the remaining two categories: </w:t>
      </w:r>
      <w:r w:rsidRPr="00651551">
        <w:rPr>
          <w:i/>
          <w:iCs/>
        </w:rPr>
        <w:t xml:space="preserve">3-Overhead and Operational </w:t>
      </w:r>
      <w:r w:rsidRPr="00651551">
        <w:t xml:space="preserve">and </w:t>
      </w:r>
      <w:r w:rsidRPr="00651551">
        <w:rPr>
          <w:i/>
          <w:iCs/>
        </w:rPr>
        <w:t>4-Non-Operational</w:t>
      </w:r>
      <w:r w:rsidRPr="00651551">
        <w:t xml:space="preserve">. The definitions of the four categories of expenditures are as follows: </w:t>
      </w:r>
    </w:p>
    <w:p w:rsidR="002667FA" w:rsidRPr="00651551" w:rsidRDefault="002667FA" w:rsidP="002667FA">
      <w:pPr>
        <w:pStyle w:val="Default"/>
      </w:pPr>
    </w:p>
    <w:p w:rsidR="002667FA" w:rsidRPr="00651551" w:rsidRDefault="002667FA" w:rsidP="002667FA">
      <w:pPr>
        <w:pStyle w:val="Default"/>
        <w:numPr>
          <w:ilvl w:val="0"/>
          <w:numId w:val="1"/>
        </w:numPr>
      </w:pPr>
      <w:r w:rsidRPr="00651551">
        <w:rPr>
          <w:u w:val="single"/>
        </w:rPr>
        <w:t>Student Academic Achievement:</w:t>
      </w:r>
      <w:r w:rsidRPr="00651551">
        <w:t xml:space="preserve"> Defined as the activity between teachers and students. This category includes those direct expenditures related to instruction, providing instruction, instructional materials, and instructional supervision. Activities dealing directly with the teaching of pupils, including teachers (salaries and related fringe benefits), teacher aides, educational media services, textbooks, and instructional technology are included. </w:t>
      </w:r>
    </w:p>
    <w:p w:rsidR="002667FA" w:rsidRPr="00651551" w:rsidRDefault="002667FA" w:rsidP="002667FA">
      <w:pPr>
        <w:pStyle w:val="Default"/>
      </w:pPr>
    </w:p>
    <w:p w:rsidR="002667FA" w:rsidRPr="00651551" w:rsidRDefault="002667FA" w:rsidP="002667FA">
      <w:pPr>
        <w:pStyle w:val="Default"/>
        <w:numPr>
          <w:ilvl w:val="0"/>
          <w:numId w:val="1"/>
        </w:numPr>
      </w:pPr>
      <w:r w:rsidRPr="00651551">
        <w:rPr>
          <w:u w:val="single"/>
        </w:rPr>
        <w:t>Student Instructional Support:</w:t>
      </w:r>
      <w:r w:rsidRPr="00651551">
        <w:t xml:space="preserve"> This category includes other expenditures for those services that support student academic achievement within the school building. Pupil support services included in these expenditures are attendance, social work, guidance, health, psychology, speech pathology, audiology, and school administration. </w:t>
      </w:r>
    </w:p>
    <w:p w:rsidR="002667FA" w:rsidRPr="00651551" w:rsidRDefault="002667FA" w:rsidP="002667FA">
      <w:pPr>
        <w:pStyle w:val="Default"/>
      </w:pPr>
    </w:p>
    <w:p w:rsidR="002667FA" w:rsidRPr="00651551" w:rsidRDefault="002667FA" w:rsidP="002667FA">
      <w:pPr>
        <w:pStyle w:val="Default"/>
        <w:numPr>
          <w:ilvl w:val="0"/>
          <w:numId w:val="1"/>
        </w:numPr>
      </w:pPr>
      <w:r w:rsidRPr="00651551">
        <w:rPr>
          <w:u w:val="single"/>
        </w:rPr>
        <w:lastRenderedPageBreak/>
        <w:t>Overhead and Operational:</w:t>
      </w:r>
      <w:r w:rsidRPr="00651551">
        <w:t xml:space="preserve"> This category includes expenditures for non-instructional operating costs. Areas included are corporation administration, fiscal services (budgeting, payroll, and accounting), operation and maintenance of facilities, security, pupil transportation, food services, purchasing, and administrative technology. </w:t>
      </w:r>
    </w:p>
    <w:p w:rsidR="002667FA" w:rsidRPr="00651551" w:rsidRDefault="002667FA" w:rsidP="002667FA">
      <w:pPr>
        <w:pStyle w:val="Default"/>
      </w:pPr>
    </w:p>
    <w:p w:rsidR="002667FA" w:rsidRPr="00651551" w:rsidRDefault="002667FA" w:rsidP="002667FA">
      <w:pPr>
        <w:pStyle w:val="Default"/>
        <w:numPr>
          <w:ilvl w:val="0"/>
          <w:numId w:val="1"/>
        </w:numPr>
      </w:pPr>
      <w:r w:rsidRPr="00651551">
        <w:rPr>
          <w:u w:val="single"/>
        </w:rPr>
        <w:t>Non-Operational:</w:t>
      </w:r>
      <w:r w:rsidRPr="00651551">
        <w:t xml:space="preserve"> This category includes expenditures that are not related to the day-to-day operation of public elementary and secondary education. Expenditures included in this category are facilities acquisition and construction, purchase of non-instructional equipment, and debt service obligations. </w:t>
      </w:r>
    </w:p>
    <w:p w:rsidR="002667FA" w:rsidRPr="00651551" w:rsidRDefault="002667FA" w:rsidP="002667FA">
      <w:pPr>
        <w:pStyle w:val="Default"/>
      </w:pPr>
    </w:p>
    <w:p w:rsidR="0099033B" w:rsidRPr="00D8019E" w:rsidRDefault="002667FA" w:rsidP="002667FA">
      <w:pPr>
        <w:rPr>
          <w:rFonts w:ascii="Times New Roman" w:hAnsi="Times New Roman"/>
          <w:sz w:val="24"/>
          <w:szCs w:val="24"/>
        </w:rPr>
      </w:pPr>
      <w:r w:rsidRPr="00D95908">
        <w:rPr>
          <w:rFonts w:ascii="Times New Roman" w:hAnsi="Times New Roman"/>
          <w:sz w:val="24"/>
          <w:szCs w:val="24"/>
        </w:rPr>
        <w:t>Expenditures for both instructional support (“dollars to the classroom”) and non-instructional support increased statewide in FY1</w:t>
      </w:r>
      <w:r w:rsidR="004B3997">
        <w:rPr>
          <w:rFonts w:ascii="Times New Roman" w:hAnsi="Times New Roman"/>
          <w:sz w:val="24"/>
          <w:szCs w:val="24"/>
        </w:rPr>
        <w:t>7</w:t>
      </w:r>
      <w:r w:rsidRPr="00D95908">
        <w:rPr>
          <w:rFonts w:ascii="Times New Roman" w:hAnsi="Times New Roman"/>
          <w:sz w:val="24"/>
          <w:szCs w:val="24"/>
        </w:rPr>
        <w:t xml:space="preserve"> compared to FY1</w:t>
      </w:r>
      <w:r w:rsidR="004B3997">
        <w:rPr>
          <w:rFonts w:ascii="Times New Roman" w:hAnsi="Times New Roman"/>
          <w:sz w:val="24"/>
          <w:szCs w:val="24"/>
        </w:rPr>
        <w:t>6</w:t>
      </w:r>
      <w:r w:rsidRPr="003F6F87">
        <w:rPr>
          <w:rFonts w:ascii="Times New Roman" w:hAnsi="Times New Roman"/>
          <w:sz w:val="24"/>
          <w:szCs w:val="24"/>
        </w:rPr>
        <w:t>. Instructional</w:t>
      </w:r>
      <w:r w:rsidRPr="00D95908">
        <w:rPr>
          <w:rFonts w:ascii="Times New Roman" w:hAnsi="Times New Roman"/>
          <w:sz w:val="24"/>
          <w:szCs w:val="24"/>
        </w:rPr>
        <w:t xml:space="preserve"> support dollars increased statewide $</w:t>
      </w:r>
      <w:r w:rsidR="003F6F87">
        <w:rPr>
          <w:rFonts w:ascii="Times New Roman" w:hAnsi="Times New Roman"/>
          <w:sz w:val="24"/>
          <w:szCs w:val="24"/>
        </w:rPr>
        <w:t>262.8</w:t>
      </w:r>
      <w:r w:rsidRPr="00D95908">
        <w:rPr>
          <w:rFonts w:ascii="Times New Roman" w:hAnsi="Times New Roman"/>
          <w:sz w:val="24"/>
          <w:szCs w:val="24"/>
        </w:rPr>
        <w:t xml:space="preserve"> million, while non-instructional support increased $</w:t>
      </w:r>
      <w:r w:rsidR="003F6F87">
        <w:rPr>
          <w:rFonts w:ascii="Times New Roman" w:hAnsi="Times New Roman"/>
          <w:sz w:val="24"/>
          <w:szCs w:val="24"/>
        </w:rPr>
        <w:t>23.9</w:t>
      </w:r>
      <w:r w:rsidRPr="00D95908">
        <w:rPr>
          <w:rFonts w:ascii="Times New Roman" w:hAnsi="Times New Roman"/>
          <w:sz w:val="24"/>
          <w:szCs w:val="24"/>
        </w:rPr>
        <w:t xml:space="preserve"> million. In short, more money was spent overall, </w:t>
      </w:r>
      <w:r w:rsidR="0054099D">
        <w:rPr>
          <w:rFonts w:ascii="Times New Roman" w:hAnsi="Times New Roman"/>
          <w:sz w:val="24"/>
          <w:szCs w:val="24"/>
        </w:rPr>
        <w:t>and more</w:t>
      </w:r>
      <w:r w:rsidRPr="00D95908">
        <w:rPr>
          <w:rFonts w:ascii="Times New Roman" w:hAnsi="Times New Roman"/>
          <w:sz w:val="24"/>
          <w:szCs w:val="24"/>
        </w:rPr>
        <w:t xml:space="preserve"> of that increase went to the classroom. </w:t>
      </w:r>
      <w:r w:rsidR="00546E30">
        <w:rPr>
          <w:rFonts w:ascii="Times New Roman" w:hAnsi="Times New Roman"/>
          <w:sz w:val="24"/>
          <w:szCs w:val="24"/>
        </w:rPr>
        <w:t>Out of 381</w:t>
      </w:r>
      <w:r w:rsidRPr="00A05370">
        <w:rPr>
          <w:rFonts w:ascii="Times New Roman" w:hAnsi="Times New Roman"/>
          <w:sz w:val="24"/>
          <w:szCs w:val="24"/>
        </w:rPr>
        <w:t xml:space="preserve"> school corporations and charter schools</w:t>
      </w:r>
      <w:r w:rsidRPr="00FF4C79">
        <w:rPr>
          <w:rFonts w:ascii="Times New Roman" w:hAnsi="Times New Roman"/>
          <w:sz w:val="24"/>
          <w:szCs w:val="24"/>
        </w:rPr>
        <w:t xml:space="preserve">, </w:t>
      </w:r>
      <w:r w:rsidR="00AE6221" w:rsidRPr="00FF4C79">
        <w:rPr>
          <w:rFonts w:ascii="Times New Roman" w:hAnsi="Times New Roman"/>
          <w:sz w:val="24"/>
          <w:szCs w:val="24"/>
        </w:rPr>
        <w:t>2</w:t>
      </w:r>
      <w:r w:rsidR="00FC4C19" w:rsidRPr="00FF4C79">
        <w:rPr>
          <w:rFonts w:ascii="Times New Roman" w:hAnsi="Times New Roman"/>
          <w:sz w:val="24"/>
          <w:szCs w:val="24"/>
        </w:rPr>
        <w:t>33</w:t>
      </w:r>
      <w:r w:rsidRPr="00AD315C">
        <w:rPr>
          <w:rFonts w:ascii="Times New Roman" w:hAnsi="Times New Roman"/>
          <w:sz w:val="24"/>
          <w:szCs w:val="24"/>
        </w:rPr>
        <w:t xml:space="preserve"> (or </w:t>
      </w:r>
      <w:r w:rsidR="007A6D23" w:rsidRPr="00AD315C">
        <w:rPr>
          <w:rFonts w:ascii="Times New Roman" w:hAnsi="Times New Roman"/>
          <w:sz w:val="24"/>
          <w:szCs w:val="24"/>
        </w:rPr>
        <w:t>61.2</w:t>
      </w:r>
      <w:r w:rsidRPr="00AD315C">
        <w:rPr>
          <w:rFonts w:ascii="Times New Roman" w:hAnsi="Times New Roman"/>
          <w:sz w:val="24"/>
          <w:szCs w:val="24"/>
        </w:rPr>
        <w:t>%)</w:t>
      </w:r>
      <w:r w:rsidRPr="004B009E">
        <w:rPr>
          <w:rFonts w:ascii="Times New Roman" w:hAnsi="Times New Roman"/>
          <w:sz w:val="24"/>
          <w:szCs w:val="24"/>
        </w:rPr>
        <w:t xml:space="preserve"> increased their percentage of dollars to the classroom from the previous year. </w:t>
      </w:r>
      <w:r w:rsidR="00AE6221" w:rsidRPr="004B009E">
        <w:rPr>
          <w:rFonts w:ascii="Times New Roman" w:hAnsi="Times New Roman"/>
          <w:sz w:val="24"/>
          <w:szCs w:val="24"/>
        </w:rPr>
        <w:t>I</w:t>
      </w:r>
      <w:r w:rsidRPr="004B009E">
        <w:rPr>
          <w:rFonts w:ascii="Times New Roman" w:hAnsi="Times New Roman"/>
          <w:sz w:val="24"/>
          <w:szCs w:val="24"/>
        </w:rPr>
        <w:t xml:space="preserve">nstructional </w:t>
      </w:r>
      <w:r w:rsidRPr="00D8019E">
        <w:rPr>
          <w:rFonts w:ascii="Times New Roman" w:hAnsi="Times New Roman"/>
          <w:sz w:val="24"/>
          <w:szCs w:val="24"/>
        </w:rPr>
        <w:t>support expenditures increased</w:t>
      </w:r>
      <w:r w:rsidR="00AE6221" w:rsidRPr="00D8019E">
        <w:rPr>
          <w:rFonts w:ascii="Times New Roman" w:hAnsi="Times New Roman"/>
          <w:sz w:val="24"/>
          <w:szCs w:val="24"/>
        </w:rPr>
        <w:t xml:space="preserve"> </w:t>
      </w:r>
      <w:r w:rsidRPr="00D8019E">
        <w:rPr>
          <w:rFonts w:ascii="Times New Roman" w:hAnsi="Times New Roman"/>
          <w:sz w:val="24"/>
          <w:szCs w:val="24"/>
        </w:rPr>
        <w:t xml:space="preserve">at a proportionally </w:t>
      </w:r>
      <w:r w:rsidR="00AE6221" w:rsidRPr="00D8019E">
        <w:rPr>
          <w:rFonts w:ascii="Times New Roman" w:hAnsi="Times New Roman"/>
          <w:sz w:val="24"/>
          <w:szCs w:val="24"/>
        </w:rPr>
        <w:t>higher</w:t>
      </w:r>
      <w:r w:rsidRPr="00D8019E">
        <w:rPr>
          <w:rFonts w:ascii="Times New Roman" w:hAnsi="Times New Roman"/>
          <w:sz w:val="24"/>
          <w:szCs w:val="24"/>
        </w:rPr>
        <w:t xml:space="preserve"> rate than non-instructional support expenditures. Within instructional support, the primary drivers of the increases were </w:t>
      </w:r>
      <w:r w:rsidR="00036380" w:rsidRPr="00D8019E">
        <w:rPr>
          <w:rFonts w:ascii="Times New Roman" w:hAnsi="Times New Roman"/>
          <w:sz w:val="24"/>
          <w:szCs w:val="24"/>
        </w:rPr>
        <w:t>certified salaries</w:t>
      </w:r>
      <w:r w:rsidRPr="00D8019E">
        <w:rPr>
          <w:rFonts w:ascii="Times New Roman" w:hAnsi="Times New Roman"/>
          <w:sz w:val="24"/>
          <w:szCs w:val="24"/>
        </w:rPr>
        <w:t xml:space="preserve"> ($</w:t>
      </w:r>
      <w:r w:rsidR="006B07A0" w:rsidRPr="00D8019E">
        <w:rPr>
          <w:rFonts w:ascii="Times New Roman" w:hAnsi="Times New Roman"/>
          <w:sz w:val="24"/>
          <w:szCs w:val="24"/>
        </w:rPr>
        <w:t>117.0 million increase) and</w:t>
      </w:r>
      <w:r w:rsidRPr="00D8019E">
        <w:rPr>
          <w:rFonts w:ascii="Times New Roman" w:hAnsi="Times New Roman"/>
          <w:sz w:val="24"/>
          <w:szCs w:val="24"/>
        </w:rPr>
        <w:t xml:space="preserve"> </w:t>
      </w:r>
      <w:r w:rsidR="00036380" w:rsidRPr="00D8019E">
        <w:rPr>
          <w:rFonts w:ascii="Times New Roman" w:hAnsi="Times New Roman"/>
          <w:sz w:val="24"/>
          <w:szCs w:val="24"/>
        </w:rPr>
        <w:t>non-certified salaries</w:t>
      </w:r>
      <w:r w:rsidRPr="00D8019E">
        <w:rPr>
          <w:rFonts w:ascii="Times New Roman" w:hAnsi="Times New Roman"/>
          <w:sz w:val="24"/>
          <w:szCs w:val="24"/>
        </w:rPr>
        <w:t xml:space="preserve"> ($</w:t>
      </w:r>
      <w:r w:rsidR="006B07A0" w:rsidRPr="00D8019E">
        <w:rPr>
          <w:rFonts w:ascii="Times New Roman" w:hAnsi="Times New Roman"/>
          <w:sz w:val="24"/>
          <w:szCs w:val="24"/>
        </w:rPr>
        <w:t xml:space="preserve">49.7 million increase).  </w:t>
      </w:r>
      <w:r w:rsidRPr="00D8019E">
        <w:rPr>
          <w:rFonts w:ascii="Times New Roman" w:hAnsi="Times New Roman"/>
          <w:sz w:val="24"/>
          <w:szCs w:val="24"/>
        </w:rPr>
        <w:t xml:space="preserve">Examples of </w:t>
      </w:r>
      <w:r w:rsidRPr="00095FF6">
        <w:rPr>
          <w:rFonts w:ascii="Times New Roman" w:hAnsi="Times New Roman"/>
          <w:color w:val="000000" w:themeColor="text1"/>
          <w:sz w:val="24"/>
          <w:szCs w:val="24"/>
        </w:rPr>
        <w:t xml:space="preserve">non-certified salaries are </w:t>
      </w:r>
      <w:r w:rsidR="00AD3FBB" w:rsidRPr="00095FF6">
        <w:rPr>
          <w:rFonts w:ascii="Times New Roman" w:hAnsi="Times New Roman"/>
          <w:color w:val="000000" w:themeColor="text1"/>
          <w:sz w:val="24"/>
          <w:szCs w:val="24"/>
        </w:rPr>
        <w:t>teacher aides, aides to librarian, etc</w:t>
      </w:r>
      <w:r w:rsidRPr="00095FF6">
        <w:rPr>
          <w:rFonts w:ascii="Times New Roman" w:hAnsi="Times New Roman"/>
          <w:color w:val="000000" w:themeColor="text1"/>
          <w:sz w:val="24"/>
          <w:szCs w:val="24"/>
        </w:rPr>
        <w:t>. </w:t>
      </w:r>
      <w:r w:rsidR="0050165C" w:rsidRPr="00095FF6">
        <w:rPr>
          <w:rFonts w:ascii="Times New Roman" w:hAnsi="Times New Roman"/>
          <w:color w:val="000000" w:themeColor="text1"/>
          <w:sz w:val="24"/>
          <w:szCs w:val="24"/>
        </w:rPr>
        <w:t xml:space="preserve">As noted earlier, </w:t>
      </w:r>
      <w:r w:rsidR="0099033B" w:rsidRPr="00095FF6">
        <w:rPr>
          <w:rFonts w:ascii="Times New Roman" w:hAnsi="Times New Roman"/>
          <w:color w:val="000000" w:themeColor="text1"/>
          <w:sz w:val="24"/>
          <w:szCs w:val="24"/>
        </w:rPr>
        <w:t xml:space="preserve">athletic coaches expenditures were moved from Non-Operational to Student </w:t>
      </w:r>
      <w:r w:rsidR="0099033B" w:rsidRPr="00D8019E">
        <w:rPr>
          <w:rFonts w:ascii="Times New Roman" w:hAnsi="Times New Roman"/>
          <w:sz w:val="24"/>
          <w:szCs w:val="24"/>
        </w:rPr>
        <w:t>Instructional Support as most coaches are also teachers and the contractual agreement for the coaching position can also be part of the teacher contract for the same. Athletic coaches expenditures were $84.1M in FY17.</w:t>
      </w:r>
      <w:r w:rsidR="006B07A0" w:rsidRPr="00D8019E">
        <w:rPr>
          <w:rFonts w:ascii="Times New Roman" w:hAnsi="Times New Roman"/>
          <w:sz w:val="24"/>
          <w:szCs w:val="24"/>
        </w:rPr>
        <w:t xml:space="preserve"> </w:t>
      </w:r>
    </w:p>
    <w:p w:rsidR="0099033B" w:rsidRPr="004B009E" w:rsidRDefault="0099033B" w:rsidP="002667FA">
      <w:pPr>
        <w:rPr>
          <w:rFonts w:ascii="Times New Roman" w:hAnsi="Times New Roman"/>
          <w:sz w:val="24"/>
          <w:szCs w:val="24"/>
        </w:rPr>
      </w:pPr>
    </w:p>
    <w:p w:rsidR="002667FA" w:rsidRPr="00D95908" w:rsidRDefault="002667FA" w:rsidP="002667FA">
      <w:pPr>
        <w:rPr>
          <w:rFonts w:ascii="Times New Roman" w:hAnsi="Times New Roman"/>
          <w:sz w:val="24"/>
          <w:szCs w:val="24"/>
        </w:rPr>
      </w:pPr>
      <w:r w:rsidRPr="004B009E">
        <w:rPr>
          <w:rFonts w:ascii="Times New Roman" w:hAnsi="Times New Roman"/>
          <w:sz w:val="24"/>
          <w:szCs w:val="24"/>
        </w:rPr>
        <w:t>As suggested in previous reports, school corporations currently not taking advantage of shared purchasing options and state health insurance options may be able to redirect more money toward the classroom through these tools. Academic performance will be driven by the resources, both material and personnel, channeled to the classroom.</w:t>
      </w:r>
    </w:p>
    <w:p w:rsidR="002667FA" w:rsidRDefault="002667FA" w:rsidP="002667FA">
      <w:pPr>
        <w:jc w:val="both"/>
        <w:rPr>
          <w:rFonts w:ascii="Times New Roman" w:hAnsi="Times New Roman"/>
          <w:sz w:val="24"/>
        </w:rPr>
      </w:pPr>
    </w:p>
    <w:p w:rsidR="00BC04CE" w:rsidRDefault="00BC04CE">
      <w:pPr>
        <w:tabs>
          <w:tab w:val="left" w:pos="720"/>
          <w:tab w:val="left" w:pos="1440"/>
          <w:tab w:val="left" w:pos="2160"/>
          <w:tab w:val="left" w:pos="4680"/>
        </w:tabs>
        <w:rPr>
          <w:rFonts w:ascii="Times New Roman" w:hAnsi="Times New Roman"/>
          <w:sz w:val="24"/>
        </w:rPr>
      </w:pPr>
    </w:p>
    <w:p w:rsidR="00BC04CE" w:rsidRDefault="00BC04CE">
      <w:pPr>
        <w:tabs>
          <w:tab w:val="left" w:pos="720"/>
          <w:tab w:val="left" w:pos="1440"/>
          <w:tab w:val="left" w:pos="2160"/>
          <w:tab w:val="left" w:pos="4680"/>
        </w:tabs>
        <w:rPr>
          <w:rFonts w:ascii="Times New Roman" w:hAnsi="Times New Roman"/>
          <w:sz w:val="24"/>
        </w:rPr>
      </w:pPr>
    </w:p>
    <w:p w:rsidR="00BC04CE" w:rsidRDefault="00BC04CE">
      <w:pPr>
        <w:tabs>
          <w:tab w:val="left" w:pos="720"/>
          <w:tab w:val="left" w:pos="1440"/>
          <w:tab w:val="left" w:pos="2160"/>
          <w:tab w:val="left" w:pos="4680"/>
        </w:tabs>
        <w:rPr>
          <w:rFonts w:ascii="Times New Roman" w:hAnsi="Times New Roman"/>
          <w:sz w:val="24"/>
        </w:rPr>
      </w:pPr>
    </w:p>
    <w:p w:rsidR="00BC04CE" w:rsidRDefault="00BC04CE">
      <w:pPr>
        <w:tabs>
          <w:tab w:val="left" w:pos="720"/>
          <w:tab w:val="left" w:pos="1440"/>
          <w:tab w:val="left" w:pos="2160"/>
          <w:tab w:val="left" w:pos="4680"/>
        </w:tabs>
        <w:rPr>
          <w:rFonts w:ascii="Times New Roman" w:hAnsi="Times New Roman"/>
          <w:sz w:val="24"/>
        </w:rPr>
      </w:pPr>
    </w:p>
    <w:p w:rsidR="00BC04CE" w:rsidRDefault="00BC04CE">
      <w:pPr>
        <w:rPr>
          <w:rFonts w:ascii="Times New Roman" w:hAnsi="Times New Roman"/>
          <w:sz w:val="24"/>
        </w:rPr>
      </w:pPr>
    </w:p>
    <w:p w:rsidR="00BC04CE" w:rsidRDefault="00BC04CE"/>
    <w:p w:rsidR="00BC04CE" w:rsidRDefault="00BC04CE"/>
    <w:p w:rsidR="00BC04CE" w:rsidRDefault="00BC04CE"/>
    <w:p w:rsidR="00BC04CE" w:rsidRDefault="00BC04CE">
      <w:r>
        <w:br w:type="textWrapping" w:clear="all"/>
      </w:r>
    </w:p>
    <w:p w:rsidR="00BC04CE" w:rsidRDefault="00BC04CE"/>
    <w:p w:rsidR="00BC04CE" w:rsidRDefault="00BC04CE"/>
    <w:p w:rsidR="00BC04CE" w:rsidRDefault="00BC04CE"/>
    <w:p w:rsidR="00BC04CE" w:rsidRDefault="00BC04CE">
      <w:pPr>
        <w:rPr>
          <w:rFonts w:ascii="Times New Roman" w:hAnsi="Times New Roman"/>
          <w:sz w:val="24"/>
        </w:rPr>
      </w:pPr>
    </w:p>
    <w:p w:rsidR="00BC04CE" w:rsidRDefault="00BC04CE">
      <w:pPr>
        <w:rPr>
          <w:rFonts w:ascii="Times New Roman" w:hAnsi="Times New Roman"/>
          <w:sz w:val="24"/>
        </w:rPr>
      </w:pPr>
    </w:p>
    <w:p w:rsidR="00BC04CE" w:rsidRDefault="00BC04CE">
      <w:pPr>
        <w:rPr>
          <w:rFonts w:ascii="Times New Roman" w:hAnsi="Times New Roman"/>
          <w:sz w:val="24"/>
        </w:rPr>
      </w:pPr>
    </w:p>
    <w:p w:rsidR="00BC04CE" w:rsidRDefault="00BC04CE">
      <w:pPr>
        <w:rPr>
          <w:rFonts w:ascii="Times New Roman" w:hAnsi="Times New Roman"/>
          <w:sz w:val="24"/>
        </w:rPr>
      </w:pPr>
    </w:p>
    <w:p w:rsidR="00BC04CE" w:rsidRDefault="00BC04CE">
      <w:pPr>
        <w:rPr>
          <w:rFonts w:ascii="Times New Roman" w:hAnsi="Times New Roman"/>
          <w:sz w:val="24"/>
        </w:rPr>
      </w:pPr>
    </w:p>
    <w:p w:rsidR="00BC04CE" w:rsidRDefault="00BC04CE">
      <w:pPr>
        <w:rPr>
          <w:rFonts w:ascii="Times New Roman" w:hAnsi="Times New Roman"/>
          <w:sz w:val="24"/>
        </w:rPr>
      </w:pPr>
    </w:p>
    <w:p w:rsidR="00BC04CE" w:rsidRDefault="00BC04CE">
      <w:pPr>
        <w:rPr>
          <w:rFonts w:ascii="Times New Roman" w:hAnsi="Times New Roman"/>
          <w:sz w:val="24"/>
        </w:rPr>
      </w:pPr>
    </w:p>
    <w:p w:rsidR="00BC04CE" w:rsidRDefault="00BC04CE">
      <w:pPr>
        <w:rPr>
          <w:rFonts w:ascii="Times New Roman" w:hAnsi="Times New Roman"/>
          <w:sz w:val="24"/>
        </w:rPr>
      </w:pPr>
    </w:p>
    <w:p w:rsidR="00BC04CE" w:rsidRDefault="00BC04CE">
      <w:pPr>
        <w:rPr>
          <w:rFonts w:ascii="Times New Roman" w:hAnsi="Times New Roman"/>
          <w:sz w:val="24"/>
        </w:rPr>
      </w:pPr>
    </w:p>
    <w:p w:rsidR="00BC04CE" w:rsidRDefault="00BC04CE">
      <w:pPr>
        <w:rPr>
          <w:rFonts w:ascii="Times New Roman" w:hAnsi="Times New Roman"/>
          <w:sz w:val="24"/>
        </w:rPr>
      </w:pPr>
    </w:p>
    <w:p w:rsidR="00BC04CE" w:rsidRDefault="00BC04CE">
      <w:pPr>
        <w:rPr>
          <w:rFonts w:ascii="Times New Roman" w:hAnsi="Times New Roman"/>
          <w:sz w:val="24"/>
        </w:rPr>
      </w:pPr>
    </w:p>
    <w:sectPr w:rsidR="00BC04CE" w:rsidSect="007F44D1">
      <w:headerReference w:type="default" r:id="rId7"/>
      <w:footerReference w:type="default" r:id="rId8"/>
      <w:headerReference w:type="first" r:id="rId9"/>
      <w:footerReference w:type="first" r:id="rId10"/>
      <w:type w:val="continuous"/>
      <w:pgSz w:w="12240" w:h="15840" w:code="1"/>
      <w:pgMar w:top="720" w:right="1440" w:bottom="360" w:left="1440" w:header="720" w:footer="360" w:gutter="0"/>
      <w:cols w:space="720" w:equalWidth="0">
        <w:col w:w="9360" w:space="27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8B4" w:rsidRDefault="00EB48B4">
      <w:r>
        <w:separator/>
      </w:r>
    </w:p>
  </w:endnote>
  <w:endnote w:type="continuationSeparator" w:id="0">
    <w:p w:rsidR="00EB48B4" w:rsidRDefault="00E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CE" w:rsidRDefault="00BC04CE">
    <w:pPr>
      <w:pStyle w:val="Footer"/>
      <w:pBdr>
        <w:bottom w:val="single" w:sz="12" w:space="1" w:color="auto"/>
      </w:pBdr>
      <w:rPr>
        <w:rFonts w:ascii="Times New Roman" w:hAnsi="Times New Roman"/>
        <w:sz w:val="24"/>
      </w:rPr>
    </w:pPr>
  </w:p>
  <w:p w:rsidR="00BC04CE" w:rsidRDefault="001C1FFF">
    <w:pPr>
      <w:pStyle w:val="Footer"/>
      <w:rPr>
        <w:rFonts w:ascii="Times New Roman" w:hAnsi="Times New Roman"/>
        <w:sz w:val="24"/>
      </w:rPr>
    </w:pPr>
    <w:r>
      <w:rPr>
        <w:rFonts w:ascii="Times New Roman" w:hAnsi="Times New Roman"/>
        <w:sz w:val="24"/>
      </w:rPr>
      <w:fldChar w:fldCharType="begin"/>
    </w:r>
    <w:r w:rsidR="00BC04CE">
      <w:rPr>
        <w:rFonts w:ascii="Times New Roman" w:hAnsi="Times New Roman"/>
        <w:sz w:val="24"/>
      </w:rPr>
      <w:instrText xml:space="preserve"> TIME \@ "MMMM d, yyyy" </w:instrText>
    </w:r>
    <w:r>
      <w:rPr>
        <w:rFonts w:ascii="Times New Roman" w:hAnsi="Times New Roman"/>
        <w:sz w:val="24"/>
      </w:rPr>
      <w:fldChar w:fldCharType="separate"/>
    </w:r>
    <w:r w:rsidR="00F86EE8">
      <w:rPr>
        <w:rFonts w:ascii="Times New Roman" w:hAnsi="Times New Roman"/>
        <w:noProof/>
        <w:sz w:val="24"/>
      </w:rPr>
      <w:t>January 24, 2019</w:t>
    </w:r>
    <w:r>
      <w:rPr>
        <w:rFonts w:ascii="Times New Roman" w:hAnsi="Times New Roman"/>
        <w:sz w:val="24"/>
      </w:rPr>
      <w:fldChar w:fldCharType="end"/>
    </w:r>
  </w:p>
  <w:p w:rsidR="00BC04CE" w:rsidRDefault="00BC04CE">
    <w:pPr>
      <w:pStyle w:val="Foo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CE" w:rsidRDefault="00BC04CE">
    <w:pPr>
      <w:pStyle w:val="Footer"/>
      <w:pBdr>
        <w:bottom w:val="single" w:sz="12" w:space="1" w:color="auto"/>
      </w:pBdr>
      <w:rPr>
        <w:rFonts w:ascii="Times New Roman" w:hAnsi="Times New Roman"/>
        <w:sz w:val="24"/>
      </w:rPr>
    </w:pPr>
  </w:p>
  <w:p w:rsidR="00BC04CE" w:rsidRDefault="001C1FFF">
    <w:pPr>
      <w:pStyle w:val="Footer"/>
      <w:rPr>
        <w:rFonts w:ascii="Times New Roman" w:hAnsi="Times New Roman"/>
        <w:sz w:val="24"/>
      </w:rPr>
    </w:pPr>
    <w:r>
      <w:rPr>
        <w:rFonts w:ascii="Times New Roman" w:hAnsi="Times New Roman"/>
        <w:sz w:val="24"/>
      </w:rPr>
      <w:fldChar w:fldCharType="begin"/>
    </w:r>
    <w:r w:rsidR="00BC04CE">
      <w:rPr>
        <w:rFonts w:ascii="Times New Roman" w:hAnsi="Times New Roman"/>
        <w:sz w:val="24"/>
      </w:rPr>
      <w:instrText xml:space="preserve"> TIME \@ "MMMM d, yyyy" </w:instrText>
    </w:r>
    <w:r>
      <w:rPr>
        <w:rFonts w:ascii="Times New Roman" w:hAnsi="Times New Roman"/>
        <w:sz w:val="24"/>
      </w:rPr>
      <w:fldChar w:fldCharType="separate"/>
    </w:r>
    <w:r w:rsidR="00F86EE8">
      <w:rPr>
        <w:rFonts w:ascii="Times New Roman" w:hAnsi="Times New Roman"/>
        <w:noProof/>
        <w:sz w:val="24"/>
      </w:rPr>
      <w:t>January 24, 2019</w:t>
    </w:r>
    <w:r>
      <w:rPr>
        <w:rFonts w:ascii="Times New Roman" w:hAnsi="Times New Roman"/>
        <w:sz w:val="24"/>
      </w:rPr>
      <w:fldChar w:fldCharType="end"/>
    </w:r>
  </w:p>
  <w:p w:rsidR="00BC04CE" w:rsidRDefault="00BC04CE">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8B4" w:rsidRDefault="00EB48B4">
      <w:r>
        <w:separator/>
      </w:r>
    </w:p>
  </w:footnote>
  <w:footnote w:type="continuationSeparator" w:id="0">
    <w:p w:rsidR="00EB48B4" w:rsidRDefault="00EB4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CE" w:rsidRDefault="00BC04CE">
    <w:pPr>
      <w:pStyle w:val="Header"/>
      <w:tabs>
        <w:tab w:val="clear" w:pos="8640"/>
        <w:tab w:val="right" w:pos="9360"/>
      </w:tabs>
      <w:rPr>
        <w:rFonts w:ascii="Times New Roman" w:hAnsi="Times New Roman"/>
        <w:b/>
        <w:sz w:val="24"/>
      </w:rPr>
    </w:pPr>
  </w:p>
  <w:p w:rsidR="00BC04CE" w:rsidRDefault="00BC04CE">
    <w:pPr>
      <w:pStyle w:val="Header"/>
      <w:tabs>
        <w:tab w:val="clear" w:pos="8640"/>
        <w:tab w:val="right" w:pos="9360"/>
      </w:tabs>
      <w:rPr>
        <w:rFonts w:ascii="Times New Roman" w:hAnsi="Times New Roman"/>
        <w:sz w:val="24"/>
      </w:rPr>
    </w:pPr>
    <w:r>
      <w:rPr>
        <w:rFonts w:ascii="Times New Roman" w:hAnsi="Times New Roman"/>
        <w:b/>
        <w:sz w:val="24"/>
      </w:rPr>
      <w:t>State Budget Agency</w:t>
    </w:r>
    <w:r>
      <w:rPr>
        <w:rFonts w:ascii="Times New Roman" w:hAnsi="Times New Roman"/>
        <w:sz w:val="24"/>
      </w:rPr>
      <w:tab/>
    </w:r>
    <w:r>
      <w:rPr>
        <w:rFonts w:ascii="Times New Roman" w:hAnsi="Times New Roman"/>
        <w:sz w:val="24"/>
      </w:rPr>
      <w:tab/>
      <w:t xml:space="preserve">Page </w:t>
    </w:r>
    <w:r w:rsidR="001C1FFF">
      <w:rPr>
        <w:rFonts w:ascii="Times New Roman" w:hAnsi="Times New Roman"/>
        <w:sz w:val="24"/>
      </w:rPr>
      <w:fldChar w:fldCharType="begin"/>
    </w:r>
    <w:r>
      <w:rPr>
        <w:rFonts w:ascii="Times New Roman" w:hAnsi="Times New Roman"/>
        <w:sz w:val="24"/>
      </w:rPr>
      <w:instrText xml:space="preserve"> PAGE  \* MERGEFORMAT </w:instrText>
    </w:r>
    <w:r w:rsidR="001C1FFF">
      <w:rPr>
        <w:rFonts w:ascii="Times New Roman" w:hAnsi="Times New Roman"/>
        <w:sz w:val="24"/>
      </w:rPr>
      <w:fldChar w:fldCharType="separate"/>
    </w:r>
    <w:r w:rsidR="00F86EE8">
      <w:rPr>
        <w:rFonts w:ascii="Times New Roman" w:hAnsi="Times New Roman"/>
        <w:noProof/>
        <w:sz w:val="24"/>
      </w:rPr>
      <w:t>2</w:t>
    </w:r>
    <w:r w:rsidR="001C1FFF">
      <w:rPr>
        <w:rFonts w:ascii="Times New Roman" w:hAnsi="Times New Roman"/>
        <w:sz w:val="24"/>
      </w:rPr>
      <w:fldChar w:fldCharType="end"/>
    </w:r>
  </w:p>
  <w:p w:rsidR="00BC04CE" w:rsidRDefault="00BC04CE">
    <w:pPr>
      <w:pStyle w:val="Header"/>
      <w:pBdr>
        <w:bottom w:val="single" w:sz="12" w:space="1" w:color="auto"/>
      </w:pBdr>
      <w:tabs>
        <w:tab w:val="clear" w:pos="8640"/>
        <w:tab w:val="right" w:pos="9360"/>
      </w:tabs>
      <w:rPr>
        <w:rFonts w:ascii="Times New Roman" w:hAnsi="Times New Roman"/>
        <w:sz w:val="24"/>
      </w:rPr>
    </w:pPr>
  </w:p>
  <w:p w:rsidR="00BC04CE" w:rsidRDefault="00BC04CE">
    <w:pPr>
      <w:pStyle w:val="Header"/>
      <w:tabs>
        <w:tab w:val="clear" w:pos="8640"/>
        <w:tab w:val="right" w:pos="9360"/>
      </w:tabs>
      <w:rPr>
        <w:rFonts w:ascii="Times New Roman" w:hAnsi="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CE" w:rsidRDefault="00BC04CE" w:rsidP="00332C0B">
    <w:pPr>
      <w:framePr w:w="3793" w:h="577" w:hSpace="180" w:wrap="around" w:vAnchor="text" w:hAnchor="page" w:x="3386" w:y="68"/>
      <w:jc w:val="center"/>
      <w:rPr>
        <w:sz w:val="36"/>
      </w:rPr>
    </w:pPr>
    <w:r>
      <w:rPr>
        <w:rFonts w:ascii="Times New Roman" w:hAnsi="Times New Roman"/>
        <w:b/>
        <w:sz w:val="36"/>
      </w:rPr>
      <w:t xml:space="preserve">STATE OF </w:t>
    </w:r>
    <w:smartTag w:uri="urn:schemas-microsoft-com:office:smarttags" w:element="place">
      <w:smartTag w:uri="urn:schemas-microsoft-com:office:smarttags" w:element="State">
        <w:r>
          <w:rPr>
            <w:rFonts w:ascii="Times New Roman" w:hAnsi="Times New Roman"/>
            <w:b/>
            <w:sz w:val="36"/>
          </w:rPr>
          <w:t>INDIANA</w:t>
        </w:r>
      </w:smartTag>
    </w:smartTag>
  </w:p>
  <w:p w:rsidR="007B61E0" w:rsidRDefault="000B7964" w:rsidP="007B61E0">
    <w:pPr>
      <w:framePr w:w="2344" w:h="577" w:hSpace="180" w:wrap="around" w:vAnchor="text" w:hAnchor="page" w:x="8413" w:y="1"/>
      <w:jc w:val="center"/>
      <w:rPr>
        <w:rFonts w:ascii="Times New Roman" w:hAnsi="Times New Roman"/>
        <w:b/>
        <w:sz w:val="22"/>
      </w:rPr>
    </w:pPr>
    <w:r>
      <w:rPr>
        <w:rFonts w:ascii="Times New Roman" w:hAnsi="Times New Roman"/>
        <w:b/>
        <w:sz w:val="22"/>
      </w:rPr>
      <w:t>Eric J. Holcomb</w:t>
    </w:r>
  </w:p>
  <w:p w:rsidR="00BC04CE" w:rsidRDefault="00BC04CE">
    <w:pPr>
      <w:framePr w:w="2344" w:h="577" w:hSpace="180" w:wrap="around" w:vAnchor="text" w:hAnchor="page" w:x="8413" w:y="1"/>
      <w:jc w:val="center"/>
      <w:rPr>
        <w:sz w:val="22"/>
      </w:rPr>
    </w:pPr>
    <w:r>
      <w:rPr>
        <w:rFonts w:ascii="Times New Roman" w:hAnsi="Times New Roman"/>
        <w:b/>
        <w:sz w:val="22"/>
      </w:rPr>
      <w:t>Governor</w:t>
    </w:r>
  </w:p>
  <w:p w:rsidR="00BC04CE" w:rsidRDefault="00BC04CE">
    <w:pPr>
      <w:framePr w:w="7990" w:h="106" w:hSpace="180" w:wrap="around" w:vAnchor="text" w:hAnchor="page" w:x="2737" w:y="436"/>
      <w:pBdr>
        <w:bottom w:val="single" w:sz="12" w:space="1" w:color="auto"/>
      </w:pBdr>
    </w:pPr>
  </w:p>
  <w:p w:rsidR="00BC04CE" w:rsidRDefault="002667FA">
    <w:r>
      <w:rPr>
        <w:noProof/>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-35560</wp:posOffset>
              </wp:positionV>
              <wp:extent cx="914400" cy="1232535"/>
              <wp:effectExtent l="3810" t="2540" r="0" b="31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32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4CE" w:rsidRDefault="007C77AA">
                          <w:r>
                            <w:rPr>
                              <w:noProof/>
                            </w:rPr>
                            <w:drawing>
                              <wp:inline distT="0" distB="0" distL="0" distR="0">
                                <wp:extent cx="797560" cy="112712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97560" cy="1127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95pt;margin-top:-2.8pt;width:1in;height:9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mWLgQ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" stroked="f">
              <v:textbox>
                <w:txbxContent>
                  <w:p w:rsidR="00BC04CE" w:rsidRDefault="007C77AA">
                    <w:r>
                      <w:rPr>
                        <w:noProof/>
                      </w:rPr>
                      <w:drawing>
                        <wp:inline distT="0" distB="0" distL="0" distR="0">
                          <wp:extent cx="797560" cy="112712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97560" cy="1127125"/>
                                  </a:xfrm>
                                  <a:prstGeom prst="rect">
                                    <a:avLst/>
                                  </a:prstGeom>
                                  <a:noFill/>
                                  <a:ln w="9525">
                                    <a:noFill/>
                                    <a:miter lim="800000"/>
                                    <a:headEnd/>
                                    <a:tailEnd/>
                                  </a:ln>
                                </pic:spPr>
                              </pic:pic>
                            </a:graphicData>
                          </a:graphic>
                        </wp:inline>
                      </w:drawing>
                    </w:r>
                  </w:p>
                </w:txbxContent>
              </v:textbox>
            </v:shape>
          </w:pict>
        </mc:Fallback>
      </mc:AlternateContent>
    </w:r>
  </w:p>
  <w:p w:rsidR="00BC04CE" w:rsidRDefault="00BC04CE"/>
  <w:p w:rsidR="00BC04CE" w:rsidRPr="00332C0B" w:rsidRDefault="00332C0B" w:rsidP="00332C0B">
    <w:pPr>
      <w:framePr w:w="5085" w:h="1291" w:hSpace="180" w:wrap="around" w:vAnchor="text" w:hAnchor="page" w:x="2737" w:y="318"/>
      <w:jc w:val="center"/>
      <w:rPr>
        <w:rFonts w:ascii="Times New Roman" w:hAnsi="Times New Roman"/>
        <w:b/>
        <w:sz w:val="26"/>
      </w:rPr>
    </w:pPr>
    <w:r>
      <w:rPr>
        <w:rFonts w:ascii="Times New Roman" w:hAnsi="Times New Roman"/>
        <w:b/>
        <w:sz w:val="26"/>
      </w:rPr>
      <w:t xml:space="preserve">OFFICE OF MANAGEMENT </w:t>
    </w:r>
    <w:r w:rsidR="00551775">
      <w:rPr>
        <w:rFonts w:ascii="Times New Roman" w:hAnsi="Times New Roman"/>
        <w:b/>
        <w:sz w:val="26"/>
      </w:rPr>
      <w:t>&amp; BUDGET</w:t>
    </w:r>
  </w:p>
  <w:p w:rsidR="00BC04CE" w:rsidRDefault="00BC04CE" w:rsidP="00332C0B">
    <w:pPr>
      <w:framePr w:w="5085" w:h="1291" w:hSpace="180" w:wrap="around" w:vAnchor="text" w:hAnchor="page" w:x="2737" w:y="318"/>
      <w:jc w:val="center"/>
      <w:rPr>
        <w:rFonts w:ascii="Times New Roman" w:hAnsi="Times New Roman"/>
        <w:sz w:val="22"/>
      </w:rPr>
    </w:pPr>
    <w:r>
      <w:rPr>
        <w:rFonts w:ascii="Times New Roman" w:hAnsi="Times New Roman"/>
        <w:sz w:val="22"/>
      </w:rPr>
      <w:t>212 State House</w:t>
    </w:r>
  </w:p>
  <w:p w:rsidR="00BC04CE" w:rsidRDefault="00BC04CE" w:rsidP="00332C0B">
    <w:pPr>
      <w:framePr w:w="5085" w:h="1291" w:hSpace="180" w:wrap="around" w:vAnchor="text" w:hAnchor="page" w:x="2737" w:y="318"/>
      <w:jc w:val="center"/>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Indianapolis</w:t>
        </w:r>
      </w:smartTag>
      <w:r>
        <w:rPr>
          <w:rFonts w:ascii="Times New Roman" w:hAnsi="Times New Roman"/>
          <w:sz w:val="22"/>
        </w:rPr>
        <w:t xml:space="preserve">, </w:t>
      </w:r>
      <w:smartTag w:uri="urn:schemas-microsoft-com:office:smarttags" w:element="State">
        <w:r>
          <w:rPr>
            <w:rFonts w:ascii="Times New Roman" w:hAnsi="Times New Roman"/>
            <w:sz w:val="22"/>
          </w:rPr>
          <w:t>Indiana</w:t>
        </w:r>
      </w:smartTag>
      <w:r>
        <w:rPr>
          <w:rFonts w:ascii="Times New Roman" w:hAnsi="Times New Roman"/>
          <w:sz w:val="22"/>
        </w:rPr>
        <w:t xml:space="preserve">  </w:t>
      </w:r>
      <w:smartTag w:uri="urn:schemas-microsoft-com:office:smarttags" w:element="PostalCode">
        <w:r>
          <w:rPr>
            <w:rFonts w:ascii="Times New Roman" w:hAnsi="Times New Roman"/>
            <w:sz w:val="22"/>
          </w:rPr>
          <w:t>46204-2796</w:t>
        </w:r>
      </w:smartTag>
    </w:smartTag>
  </w:p>
  <w:p w:rsidR="00BC04CE" w:rsidRDefault="00BC04CE" w:rsidP="00332C0B">
    <w:pPr>
      <w:framePr w:w="5085" w:h="1291" w:hSpace="180" w:wrap="around" w:vAnchor="text" w:hAnchor="page" w:x="2737" w:y="318"/>
      <w:jc w:val="center"/>
      <w:rPr>
        <w:sz w:val="22"/>
      </w:rPr>
    </w:pPr>
    <w:smartTag w:uri="urn:schemas-microsoft-com:office:smarttags" w:element="phone">
      <w:smartTagPr>
        <w:attr w:name="phonenumber" w:val="3172325610"/>
      </w:smartTagPr>
      <w:r>
        <w:rPr>
          <w:rFonts w:ascii="Times New Roman" w:hAnsi="Times New Roman"/>
          <w:sz w:val="22"/>
        </w:rPr>
        <w:t>317-232-5610</w:t>
      </w:r>
    </w:smartTag>
  </w:p>
  <w:p w:rsidR="00BC04CE" w:rsidRDefault="00BC04CE"/>
  <w:p w:rsidR="00BC04CE" w:rsidRDefault="00BC04CE"/>
  <w:p w:rsidR="008C4143" w:rsidRDefault="008C4143" w:rsidP="008C4143">
    <w:pPr>
      <w:framePr w:w="2344" w:h="495" w:hSpace="180" w:wrap="around" w:vAnchor="text" w:hAnchor="page" w:x="8426" w:y="1"/>
      <w:jc w:val="center"/>
      <w:rPr>
        <w:rFonts w:ascii="Times New Roman" w:hAnsi="Times New Roman"/>
        <w:b/>
        <w:sz w:val="22"/>
      </w:rPr>
    </w:pPr>
    <w:r>
      <w:rPr>
        <w:rFonts w:ascii="Times New Roman" w:hAnsi="Times New Roman"/>
        <w:b/>
        <w:sz w:val="22"/>
      </w:rPr>
      <w:t>Micah Vincent</w:t>
    </w:r>
  </w:p>
  <w:p w:rsidR="005D2A2E" w:rsidRDefault="005D2A2E" w:rsidP="00F85819">
    <w:pPr>
      <w:framePr w:w="2344" w:h="495" w:hSpace="180" w:wrap="around" w:vAnchor="text" w:hAnchor="page" w:x="8426" w:y="-1"/>
      <w:jc w:val="center"/>
      <w:rPr>
        <w:rFonts w:ascii="Times New Roman" w:hAnsi="Times New Roman"/>
        <w:b/>
        <w:sz w:val="22"/>
      </w:rPr>
    </w:pPr>
  </w:p>
  <w:p w:rsidR="00F85819" w:rsidRDefault="00F85819" w:rsidP="00F85819">
    <w:pPr>
      <w:framePr w:w="2344" w:h="495" w:hSpace="180" w:wrap="around" w:vAnchor="text" w:hAnchor="page" w:x="8426" w:y="-1"/>
      <w:jc w:val="center"/>
    </w:pPr>
    <w:r>
      <w:rPr>
        <w:rFonts w:ascii="Times New Roman" w:hAnsi="Times New Roman"/>
        <w:b/>
        <w:sz w:val="22"/>
      </w:rPr>
      <w:t>Director</w:t>
    </w:r>
  </w:p>
  <w:p w:rsidR="00BC04CE" w:rsidRDefault="00BC04CE"/>
  <w:p w:rsidR="00BC04CE" w:rsidRDefault="00BC04CE"/>
  <w:p w:rsidR="00BC04CE" w:rsidRDefault="00BC04CE"/>
  <w:p w:rsidR="00BC04CE" w:rsidRDefault="00BC04CE"/>
  <w:p w:rsidR="00BC04CE" w:rsidRDefault="00BC0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F49D3"/>
    <w:multiLevelType w:val="hybridMultilevel"/>
    <w:tmpl w:val="0110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AA"/>
    <w:rsid w:val="00010E12"/>
    <w:rsid w:val="00036380"/>
    <w:rsid w:val="00084C52"/>
    <w:rsid w:val="00095FF6"/>
    <w:rsid w:val="000B7964"/>
    <w:rsid w:val="001C1FFF"/>
    <w:rsid w:val="00222E77"/>
    <w:rsid w:val="0024486A"/>
    <w:rsid w:val="00250F94"/>
    <w:rsid w:val="002667FA"/>
    <w:rsid w:val="00297DF2"/>
    <w:rsid w:val="002F4DFF"/>
    <w:rsid w:val="002F51E2"/>
    <w:rsid w:val="00332C0B"/>
    <w:rsid w:val="0034119C"/>
    <w:rsid w:val="003F6F87"/>
    <w:rsid w:val="004435D4"/>
    <w:rsid w:val="00494B65"/>
    <w:rsid w:val="004B009E"/>
    <w:rsid w:val="004B3997"/>
    <w:rsid w:val="004B4F13"/>
    <w:rsid w:val="004E750E"/>
    <w:rsid w:val="004F5543"/>
    <w:rsid w:val="0050165C"/>
    <w:rsid w:val="0054099D"/>
    <w:rsid w:val="00546E30"/>
    <w:rsid w:val="00551775"/>
    <w:rsid w:val="00573414"/>
    <w:rsid w:val="00585AEB"/>
    <w:rsid w:val="005D2A2E"/>
    <w:rsid w:val="006B07A0"/>
    <w:rsid w:val="006C4750"/>
    <w:rsid w:val="00753519"/>
    <w:rsid w:val="00795C7F"/>
    <w:rsid w:val="007A6D23"/>
    <w:rsid w:val="007B61E0"/>
    <w:rsid w:val="007C77AA"/>
    <w:rsid w:val="007F1255"/>
    <w:rsid w:val="007F44D1"/>
    <w:rsid w:val="008C4143"/>
    <w:rsid w:val="0094620A"/>
    <w:rsid w:val="00983EFA"/>
    <w:rsid w:val="0099033B"/>
    <w:rsid w:val="00995DC7"/>
    <w:rsid w:val="00A05370"/>
    <w:rsid w:val="00AA35AF"/>
    <w:rsid w:val="00AD315C"/>
    <w:rsid w:val="00AD3FBB"/>
    <w:rsid w:val="00AE6221"/>
    <w:rsid w:val="00BB0200"/>
    <w:rsid w:val="00BC04CE"/>
    <w:rsid w:val="00BC28B3"/>
    <w:rsid w:val="00BF7BFC"/>
    <w:rsid w:val="00CA02AC"/>
    <w:rsid w:val="00D15BE4"/>
    <w:rsid w:val="00D8019E"/>
    <w:rsid w:val="00DA7C9C"/>
    <w:rsid w:val="00EA30F1"/>
    <w:rsid w:val="00EB48B4"/>
    <w:rsid w:val="00EF0ECA"/>
    <w:rsid w:val="00F20046"/>
    <w:rsid w:val="00F64713"/>
    <w:rsid w:val="00F85819"/>
    <w:rsid w:val="00F86EE8"/>
    <w:rsid w:val="00F93D97"/>
    <w:rsid w:val="00FC4C19"/>
    <w:rsid w:val="00FF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87B47E98-8D9C-4A78-991B-33B9215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10cpi" w:eastAsia="Times New Roman" w:hAnsi="Roman 10cp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4D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44D1"/>
    <w:pPr>
      <w:tabs>
        <w:tab w:val="center" w:pos="4320"/>
        <w:tab w:val="right" w:pos="8640"/>
      </w:tabs>
    </w:pPr>
  </w:style>
  <w:style w:type="paragraph" w:styleId="Footer">
    <w:name w:val="footer"/>
    <w:basedOn w:val="Normal"/>
    <w:rsid w:val="007F44D1"/>
    <w:pPr>
      <w:tabs>
        <w:tab w:val="center" w:pos="4320"/>
        <w:tab w:val="right" w:pos="8640"/>
      </w:tabs>
    </w:pPr>
  </w:style>
  <w:style w:type="paragraph" w:styleId="BalloonText">
    <w:name w:val="Balloon Text"/>
    <w:basedOn w:val="Normal"/>
    <w:link w:val="BalloonTextChar"/>
    <w:rsid w:val="00494B65"/>
    <w:rPr>
      <w:rFonts w:ascii="Tahoma" w:hAnsi="Tahoma" w:cs="Tahoma"/>
      <w:sz w:val="16"/>
      <w:szCs w:val="16"/>
    </w:rPr>
  </w:style>
  <w:style w:type="character" w:customStyle="1" w:styleId="BalloonTextChar">
    <w:name w:val="Balloon Text Char"/>
    <w:basedOn w:val="DefaultParagraphFont"/>
    <w:link w:val="BalloonText"/>
    <w:rsid w:val="00494B65"/>
    <w:rPr>
      <w:rFonts w:ascii="Tahoma" w:hAnsi="Tahoma" w:cs="Tahoma"/>
      <w:sz w:val="16"/>
      <w:szCs w:val="16"/>
    </w:rPr>
  </w:style>
  <w:style w:type="paragraph" w:customStyle="1" w:styleId="Default">
    <w:name w:val="Default"/>
    <w:rsid w:val="002667FA"/>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254">
      <w:bodyDiv w:val="1"/>
      <w:marLeft w:val="0"/>
      <w:marRight w:val="0"/>
      <w:marTop w:val="0"/>
      <w:marBottom w:val="0"/>
      <w:divBdr>
        <w:top w:val="none" w:sz="0" w:space="0" w:color="auto"/>
        <w:left w:val="none" w:sz="0" w:space="0" w:color="auto"/>
        <w:bottom w:val="none" w:sz="0" w:space="0" w:color="auto"/>
        <w:right w:val="none" w:sz="0" w:space="0" w:color="auto"/>
      </w:divBdr>
    </w:div>
    <w:div w:id="1326780651">
      <w:bodyDiv w:val="1"/>
      <w:marLeft w:val="0"/>
      <w:marRight w:val="0"/>
      <w:marTop w:val="0"/>
      <w:marBottom w:val="0"/>
      <w:divBdr>
        <w:top w:val="none" w:sz="0" w:space="0" w:color="auto"/>
        <w:left w:val="none" w:sz="0" w:space="0" w:color="auto"/>
        <w:bottom w:val="none" w:sz="0" w:space="0" w:color="auto"/>
        <w:right w:val="none" w:sz="0" w:space="0" w:color="auto"/>
      </w:divBdr>
    </w:div>
    <w:div w:id="1542747186">
      <w:bodyDiv w:val="1"/>
      <w:marLeft w:val="0"/>
      <w:marRight w:val="0"/>
      <w:marTop w:val="0"/>
      <w:marBottom w:val="0"/>
      <w:divBdr>
        <w:top w:val="none" w:sz="0" w:space="0" w:color="auto"/>
        <w:left w:val="none" w:sz="0" w:space="0" w:color="auto"/>
        <w:bottom w:val="none" w:sz="0" w:space="0" w:color="auto"/>
        <w:right w:val="none" w:sz="0" w:space="0" w:color="auto"/>
      </w:divBdr>
    </w:div>
    <w:div w:id="1701011643">
      <w:bodyDiv w:val="1"/>
      <w:marLeft w:val="0"/>
      <w:marRight w:val="0"/>
      <w:marTop w:val="0"/>
      <w:marBottom w:val="0"/>
      <w:divBdr>
        <w:top w:val="none" w:sz="0" w:space="0" w:color="auto"/>
        <w:left w:val="none" w:sz="0" w:space="0" w:color="auto"/>
        <w:bottom w:val="none" w:sz="0" w:space="0" w:color="auto"/>
        <w:right w:val="none" w:sz="0" w:space="0" w:color="auto"/>
      </w:divBdr>
    </w:div>
    <w:div w:id="20164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SBA_Letter-color</vt:lpstr>
    </vt:vector>
  </TitlesOfParts>
  <Company>Indiana State Budget Agency</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SBA_Letter-color</dc:title>
  <dc:creator>mcaraher</dc:creator>
  <cp:lastModifiedBy>Massey, Rachel</cp:lastModifiedBy>
  <cp:revision>2</cp:revision>
  <cp:lastPrinted>2005-01-11T15:17:00Z</cp:lastPrinted>
  <dcterms:created xsi:type="dcterms:W3CDTF">2019-01-24T16:13:00Z</dcterms:created>
  <dcterms:modified xsi:type="dcterms:W3CDTF">2019-01-24T16:13:00Z</dcterms:modified>
</cp:coreProperties>
</file>