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9C5C7" w14:textId="129F547D" w:rsidR="00002543" w:rsidRPr="005F538E" w:rsidRDefault="00023071" w:rsidP="00002543">
      <w:pPr>
        <w:jc w:val="center"/>
        <w:rPr>
          <w:rFonts w:ascii="Times New Roman" w:hAnsi="Times New Roman" w:cs="Times New Roman"/>
          <w:b/>
          <w:bCs/>
          <w:u w:val="single"/>
        </w:rPr>
      </w:pPr>
      <w:r>
        <w:rPr>
          <w:rFonts w:ascii="Times New Roman" w:hAnsi="Times New Roman" w:cs="Times New Roman"/>
          <w:b/>
          <w:bCs/>
          <w:u w:val="single"/>
        </w:rPr>
        <w:t xml:space="preserve">Agency Fees – </w:t>
      </w:r>
      <w:r w:rsidR="00DE6779">
        <w:rPr>
          <w:rFonts w:ascii="Times New Roman" w:hAnsi="Times New Roman" w:cs="Times New Roman"/>
          <w:b/>
          <w:bCs/>
          <w:u w:val="single"/>
        </w:rPr>
        <w:t>Regulator</w:t>
      </w:r>
      <w:r>
        <w:rPr>
          <w:rFonts w:ascii="Times New Roman" w:hAnsi="Times New Roman" w:cs="Times New Roman"/>
          <w:b/>
          <w:bCs/>
          <w:u w:val="single"/>
        </w:rPr>
        <w:t xml:space="preserve"> or Market Participant</w:t>
      </w:r>
    </w:p>
    <w:p w14:paraId="37EBC963" w14:textId="77777777" w:rsidR="00002543" w:rsidRDefault="00002543" w:rsidP="0045067F">
      <w:pPr>
        <w:rPr>
          <w:rFonts w:ascii="Times New Roman" w:hAnsi="Times New Roman" w:cs="Times New Roman"/>
        </w:rPr>
      </w:pPr>
    </w:p>
    <w:p w14:paraId="1BEA3732" w14:textId="036CFB90" w:rsidR="0045067F" w:rsidRDefault="0045067F" w:rsidP="0045067F">
      <w:pPr>
        <w:rPr>
          <w:rFonts w:ascii="Times New Roman" w:hAnsi="Times New Roman" w:cs="Times New Roman"/>
        </w:rPr>
      </w:pPr>
      <w:r w:rsidRPr="005D5DC0">
        <w:rPr>
          <w:rFonts w:ascii="Times New Roman" w:hAnsi="Times New Roman" w:cs="Times New Roman"/>
        </w:rPr>
        <w:t xml:space="preserve">A frequent question that has come up is whether an amount an agency charges qualifies as a rule that needs to be spelled out in regulation or whether it falls outside the definition of a rule because the agency is acting in another capacity, such as a market </w:t>
      </w:r>
      <w:r w:rsidR="0039047B" w:rsidRPr="005D5DC0">
        <w:rPr>
          <w:rFonts w:ascii="Times New Roman" w:hAnsi="Times New Roman" w:cs="Times New Roman"/>
        </w:rPr>
        <w:t>participant</w:t>
      </w:r>
      <w:r w:rsidRPr="005D5DC0">
        <w:rPr>
          <w:rFonts w:ascii="Times New Roman" w:hAnsi="Times New Roman" w:cs="Times New Roman"/>
        </w:rPr>
        <w:t>.  This question, unfortunately, has not</w:t>
      </w:r>
      <w:r w:rsidR="0039047B" w:rsidRPr="005D5DC0">
        <w:rPr>
          <w:rFonts w:ascii="Times New Roman" w:hAnsi="Times New Roman" w:cs="Times New Roman"/>
        </w:rPr>
        <w:t xml:space="preserve"> yet</w:t>
      </w:r>
      <w:r w:rsidRPr="005D5DC0">
        <w:rPr>
          <w:rFonts w:ascii="Times New Roman" w:hAnsi="Times New Roman" w:cs="Times New Roman"/>
        </w:rPr>
        <w:t xml:space="preserve"> been addressed by Indiana courts.  </w:t>
      </w:r>
      <w:r w:rsidR="0039047B" w:rsidRPr="005D5DC0">
        <w:rPr>
          <w:rFonts w:ascii="Times New Roman" w:hAnsi="Times New Roman" w:cs="Times New Roman"/>
        </w:rPr>
        <w:t>Below</w:t>
      </w:r>
      <w:r w:rsidRPr="005D5DC0">
        <w:rPr>
          <w:rFonts w:ascii="Times New Roman" w:hAnsi="Times New Roman" w:cs="Times New Roman"/>
        </w:rPr>
        <w:t xml:space="preserve">, we </w:t>
      </w:r>
      <w:r w:rsidR="0039047B" w:rsidRPr="005D5DC0">
        <w:rPr>
          <w:rFonts w:ascii="Times New Roman" w:hAnsi="Times New Roman" w:cs="Times New Roman"/>
        </w:rPr>
        <w:t>attempt to</w:t>
      </w:r>
      <w:r w:rsidRPr="005D5DC0">
        <w:rPr>
          <w:rFonts w:ascii="Times New Roman" w:hAnsi="Times New Roman" w:cs="Times New Roman"/>
        </w:rPr>
        <w:t xml:space="preserve"> provide guidance based on what other courts have found in various circumstances that hopefully will provide insight into how Indiana courts might approach the question.  Agencies are advised to review this summary, the referenced case law, and other research to make their best determination based on the </w:t>
      </w:r>
      <w:proofErr w:type="gramStart"/>
      <w:r w:rsidRPr="005D5DC0">
        <w:rPr>
          <w:rFonts w:ascii="Times New Roman" w:hAnsi="Times New Roman" w:cs="Times New Roman"/>
        </w:rPr>
        <w:t>particular circumstances</w:t>
      </w:r>
      <w:proofErr w:type="gramEnd"/>
      <w:r w:rsidRPr="005D5DC0">
        <w:rPr>
          <w:rFonts w:ascii="Times New Roman" w:hAnsi="Times New Roman" w:cs="Times New Roman"/>
        </w:rPr>
        <w:t xml:space="preserve"> </w:t>
      </w:r>
      <w:r w:rsidRPr="005D5DC0">
        <w:rPr>
          <w:rFonts w:ascii="Times New Roman" w:hAnsi="Times New Roman" w:cs="Times New Roman"/>
          <w14:ligatures w14:val="none"/>
        </w:rPr>
        <w:t xml:space="preserve">of the </w:t>
      </w:r>
      <w:r w:rsidR="00E861EB">
        <w:rPr>
          <w:rFonts w:ascii="Times New Roman" w:hAnsi="Times New Roman" w:cs="Times New Roman"/>
          <w14:ligatures w14:val="none"/>
        </w:rPr>
        <w:t>fee</w:t>
      </w:r>
      <w:r w:rsidR="00E861EB" w:rsidRPr="005D5DC0">
        <w:rPr>
          <w:rFonts w:ascii="Times New Roman" w:hAnsi="Times New Roman" w:cs="Times New Roman"/>
          <w14:ligatures w14:val="none"/>
        </w:rPr>
        <w:t xml:space="preserve"> </w:t>
      </w:r>
      <w:r w:rsidRPr="005D5DC0">
        <w:rPr>
          <w:rFonts w:ascii="Times New Roman" w:hAnsi="Times New Roman" w:cs="Times New Roman"/>
          <w14:ligatures w14:val="none"/>
        </w:rPr>
        <w:t>at issue</w:t>
      </w:r>
      <w:r w:rsidRPr="005D5DC0">
        <w:rPr>
          <w:rFonts w:ascii="Times New Roman" w:hAnsi="Times New Roman" w:cs="Times New Roman"/>
        </w:rPr>
        <w:t xml:space="preserve">.    </w:t>
      </w:r>
    </w:p>
    <w:p w14:paraId="1FFC9D67" w14:textId="77777777" w:rsidR="00773152" w:rsidRDefault="00773152" w:rsidP="0045067F">
      <w:pPr>
        <w:rPr>
          <w:rFonts w:ascii="Times New Roman" w:hAnsi="Times New Roman" w:cs="Times New Roman"/>
        </w:rPr>
      </w:pPr>
    </w:p>
    <w:p w14:paraId="282943AF" w14:textId="7952CAFA" w:rsidR="00974FC9" w:rsidRPr="000B5ED6" w:rsidRDefault="00974FC9" w:rsidP="00974FC9">
      <w:pPr>
        <w:ind w:firstLine="720"/>
        <w:rPr>
          <w:rFonts w:ascii="Times New Roman" w:hAnsi="Times New Roman" w:cs="Times New Roman"/>
          <w:i/>
          <w:iCs/>
          <w:u w:val="single"/>
        </w:rPr>
      </w:pPr>
      <w:r>
        <w:rPr>
          <w:rFonts w:ascii="Times New Roman" w:hAnsi="Times New Roman" w:cs="Times New Roman"/>
        </w:rPr>
        <w:t>I</w:t>
      </w:r>
      <w:r>
        <w:rPr>
          <w:rFonts w:ascii="Times New Roman" w:hAnsi="Times New Roman" w:cs="Times New Roman"/>
          <w:i/>
          <w:iCs/>
        </w:rPr>
        <w:t xml:space="preserve">. </w:t>
      </w:r>
      <w:r w:rsidRPr="000B5ED6">
        <w:rPr>
          <w:rFonts w:ascii="Times New Roman" w:hAnsi="Times New Roman" w:cs="Times New Roman"/>
          <w:i/>
          <w:iCs/>
          <w:u w:val="single"/>
        </w:rPr>
        <w:t>R</w:t>
      </w:r>
      <w:r>
        <w:rPr>
          <w:rFonts w:ascii="Times New Roman" w:hAnsi="Times New Roman" w:cs="Times New Roman"/>
          <w:i/>
          <w:iCs/>
          <w:u w:val="single"/>
        </w:rPr>
        <w:t>egulator vs. Market Participant</w:t>
      </w:r>
    </w:p>
    <w:p w14:paraId="5BB77CD7" w14:textId="457CD021" w:rsidR="00773152" w:rsidRPr="00FB79A0" w:rsidRDefault="00773152" w:rsidP="00FB79A0">
      <w:pPr>
        <w:pStyle w:val="ListParagraph"/>
        <w:ind w:left="1440"/>
        <w:rPr>
          <w:rFonts w:ascii="Times New Roman" w:hAnsi="Times New Roman" w:cs="Times New Roman"/>
        </w:rPr>
      </w:pPr>
    </w:p>
    <w:p w14:paraId="1D3680A5" w14:textId="468FB6AE" w:rsidR="00FC6ADF" w:rsidRPr="005D5DC0" w:rsidRDefault="0045067F" w:rsidP="00FC6ADF">
      <w:pPr>
        <w:rPr>
          <w:rFonts w:ascii="Times New Roman" w:hAnsi="Times New Roman" w:cs="Times New Roman"/>
        </w:rPr>
      </w:pPr>
      <w:r w:rsidRPr="005D5DC0">
        <w:rPr>
          <w:rFonts w:ascii="Times New Roman" w:hAnsi="Times New Roman" w:cs="Times New Roman"/>
        </w:rPr>
        <w:t xml:space="preserve">At a high-level, </w:t>
      </w:r>
      <w:r w:rsidR="00764FD2">
        <w:rPr>
          <w:rFonts w:ascii="Times New Roman" w:hAnsi="Times New Roman" w:cs="Times New Roman"/>
        </w:rPr>
        <w:t>the</w:t>
      </w:r>
      <w:r w:rsidRPr="005D5DC0">
        <w:rPr>
          <w:rFonts w:ascii="Times New Roman" w:hAnsi="Times New Roman" w:cs="Times New Roman"/>
        </w:rPr>
        <w:t xml:space="preserve"> analysis </w:t>
      </w:r>
      <w:r w:rsidR="00764FD2">
        <w:rPr>
          <w:rFonts w:ascii="Times New Roman" w:hAnsi="Times New Roman" w:cs="Times New Roman"/>
        </w:rPr>
        <w:t xml:space="preserve">by courts </w:t>
      </w:r>
      <w:r w:rsidRPr="005D5DC0">
        <w:rPr>
          <w:rFonts w:ascii="Times New Roman" w:hAnsi="Times New Roman" w:cs="Times New Roman"/>
        </w:rPr>
        <w:t>for fees and charges is essentially the same test of whether an agency standard carries the effect of law</w:t>
      </w:r>
      <w:r w:rsidR="0090526B" w:rsidRPr="005D5DC0">
        <w:rPr>
          <w:rFonts w:ascii="Times New Roman" w:hAnsi="Times New Roman" w:cs="Times New Roman"/>
        </w:rPr>
        <w:t xml:space="preserve"> – in </w:t>
      </w:r>
      <w:r w:rsidRPr="005D5DC0">
        <w:rPr>
          <w:rFonts w:ascii="Times New Roman" w:hAnsi="Times New Roman" w:cs="Times New Roman"/>
        </w:rPr>
        <w:t xml:space="preserve">other words, “when it prescribes binding standards of conduct for persons subject to agency authority.”  </w:t>
      </w:r>
      <w:r w:rsidRPr="005D5DC0">
        <w:rPr>
          <w:rFonts w:ascii="Times New Roman" w:hAnsi="Times New Roman" w:cs="Times New Roman"/>
          <w:i/>
          <w:iCs/>
        </w:rPr>
        <w:t>Ward v. Carter</w:t>
      </w:r>
      <w:r w:rsidRPr="005D5DC0">
        <w:rPr>
          <w:rFonts w:ascii="Times New Roman" w:hAnsi="Times New Roman" w:cs="Times New Roman"/>
        </w:rPr>
        <w:t xml:space="preserve">, 90 N.E.3d 660, 665 (Ind.), </w:t>
      </w:r>
      <w:r w:rsidRPr="005D5DC0">
        <w:rPr>
          <w:rFonts w:ascii="Times New Roman" w:hAnsi="Times New Roman" w:cs="Times New Roman"/>
          <w:i/>
          <w:iCs/>
        </w:rPr>
        <w:t>cert. denied</w:t>
      </w:r>
      <w:r w:rsidRPr="005D5DC0">
        <w:rPr>
          <w:rFonts w:ascii="Times New Roman" w:hAnsi="Times New Roman" w:cs="Times New Roman"/>
        </w:rPr>
        <w:t xml:space="preserve">, 139 S. Ct. 240, 202 L. Ed. 2d 161 (2018).  </w:t>
      </w:r>
      <w:r w:rsidR="007B1C86">
        <w:rPr>
          <w:rFonts w:ascii="Times New Roman" w:hAnsi="Times New Roman" w:cs="Times New Roman"/>
        </w:rPr>
        <w:t xml:space="preserve">Courts </w:t>
      </w:r>
      <w:r w:rsidR="008A792D">
        <w:rPr>
          <w:rFonts w:ascii="Times New Roman" w:hAnsi="Times New Roman" w:cs="Times New Roman"/>
        </w:rPr>
        <w:t>have used</w:t>
      </w:r>
      <w:r w:rsidR="001D77E8">
        <w:rPr>
          <w:rFonts w:ascii="Times New Roman" w:hAnsi="Times New Roman" w:cs="Times New Roman"/>
        </w:rPr>
        <w:t xml:space="preserve"> a variety of methods to d</w:t>
      </w:r>
      <w:r w:rsidR="00FC6ADF" w:rsidRPr="005D5DC0">
        <w:rPr>
          <w:rFonts w:ascii="Times New Roman" w:hAnsi="Times New Roman" w:cs="Times New Roman"/>
        </w:rPr>
        <w:t xml:space="preserve">istinguish </w:t>
      </w:r>
      <w:r w:rsidR="00FC6ADF">
        <w:rPr>
          <w:rFonts w:ascii="Times New Roman" w:hAnsi="Times New Roman" w:cs="Times New Roman"/>
        </w:rPr>
        <w:t xml:space="preserve">between </w:t>
      </w:r>
      <w:r w:rsidR="008A792D">
        <w:rPr>
          <w:rFonts w:ascii="Times New Roman" w:hAnsi="Times New Roman" w:cs="Times New Roman"/>
        </w:rPr>
        <w:t>agencies</w:t>
      </w:r>
      <w:r w:rsidR="00FC6ADF">
        <w:rPr>
          <w:rFonts w:ascii="Times New Roman" w:hAnsi="Times New Roman" w:cs="Times New Roman"/>
        </w:rPr>
        <w:t xml:space="preserve"> setting standards that carry the effect of law or </w:t>
      </w:r>
      <w:r w:rsidR="00D775B7">
        <w:rPr>
          <w:rFonts w:ascii="Times New Roman" w:hAnsi="Times New Roman" w:cs="Times New Roman"/>
        </w:rPr>
        <w:t>merely</w:t>
      </w:r>
      <w:r w:rsidR="00FC6ADF" w:rsidRPr="005D5DC0">
        <w:rPr>
          <w:rFonts w:ascii="Times New Roman" w:hAnsi="Times New Roman" w:cs="Times New Roman"/>
        </w:rPr>
        <w:t xml:space="preserve"> </w:t>
      </w:r>
      <w:r w:rsidR="00FC6ADF">
        <w:rPr>
          <w:rFonts w:ascii="Times New Roman" w:hAnsi="Times New Roman" w:cs="Times New Roman"/>
        </w:rPr>
        <w:t xml:space="preserve">acting as a </w:t>
      </w:r>
      <w:r w:rsidR="00FC6ADF" w:rsidRPr="005D5DC0">
        <w:rPr>
          <w:rFonts w:ascii="Times New Roman" w:hAnsi="Times New Roman" w:cs="Times New Roman"/>
        </w:rPr>
        <w:t>market participa</w:t>
      </w:r>
      <w:r w:rsidR="00FC6ADF">
        <w:rPr>
          <w:rFonts w:ascii="Times New Roman" w:hAnsi="Times New Roman" w:cs="Times New Roman"/>
        </w:rPr>
        <w:t>nt</w:t>
      </w:r>
      <w:r w:rsidR="001D77E8">
        <w:rPr>
          <w:rFonts w:ascii="Times New Roman" w:hAnsi="Times New Roman" w:cs="Times New Roman"/>
        </w:rPr>
        <w:t>,</w:t>
      </w:r>
      <w:r w:rsidR="00FC6ADF" w:rsidRPr="005D5DC0">
        <w:rPr>
          <w:rFonts w:ascii="Times New Roman" w:hAnsi="Times New Roman" w:cs="Times New Roman"/>
        </w:rPr>
        <w:t xml:space="preserve"> </w:t>
      </w:r>
      <w:r w:rsidR="00545B9A">
        <w:rPr>
          <w:rFonts w:ascii="Times New Roman" w:hAnsi="Times New Roman" w:cs="Times New Roman"/>
        </w:rPr>
        <w:t xml:space="preserve">including </w:t>
      </w:r>
      <w:r w:rsidR="008D1341">
        <w:rPr>
          <w:rFonts w:ascii="Times New Roman" w:hAnsi="Times New Roman" w:cs="Times New Roman"/>
        </w:rPr>
        <w:t>evaluating</w:t>
      </w:r>
      <w:r w:rsidR="00511ADF">
        <w:rPr>
          <w:rFonts w:ascii="Times New Roman" w:hAnsi="Times New Roman" w:cs="Times New Roman"/>
        </w:rPr>
        <w:t xml:space="preserve"> </w:t>
      </w:r>
      <w:r w:rsidR="008D1341">
        <w:rPr>
          <w:rFonts w:ascii="Times New Roman" w:hAnsi="Times New Roman" w:cs="Times New Roman"/>
        </w:rPr>
        <w:t xml:space="preserve">a formulation of </w:t>
      </w:r>
      <w:r w:rsidR="00545B9A">
        <w:rPr>
          <w:rFonts w:ascii="Times New Roman" w:hAnsi="Times New Roman" w:cs="Times New Roman"/>
        </w:rPr>
        <w:t xml:space="preserve">one or more of the following </w:t>
      </w:r>
      <w:r w:rsidR="008D1341">
        <w:rPr>
          <w:rFonts w:ascii="Times New Roman" w:hAnsi="Times New Roman" w:cs="Times New Roman"/>
        </w:rPr>
        <w:t xml:space="preserve">factors:  </w:t>
      </w:r>
    </w:p>
    <w:p w14:paraId="4EF20B76" w14:textId="77777777" w:rsidR="00FC6ADF" w:rsidRPr="005D5DC0" w:rsidRDefault="00FC6ADF" w:rsidP="00FC6ADF">
      <w:pPr>
        <w:rPr>
          <w:rFonts w:ascii="Times New Roman" w:hAnsi="Times New Roman" w:cs="Times New Roman"/>
        </w:rPr>
      </w:pPr>
    </w:p>
    <w:p w14:paraId="36AE9FAF" w14:textId="63098D39" w:rsidR="00FC6ADF" w:rsidRPr="005D5DC0" w:rsidRDefault="001C45C2" w:rsidP="00FC6ADF">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T</w:t>
      </w:r>
      <w:r w:rsidR="00FC6ADF" w:rsidRPr="005D5DC0">
        <w:rPr>
          <w:rFonts w:ascii="Times New Roman" w:eastAsia="Times New Roman" w:hAnsi="Times New Roman" w:cs="Times New Roman"/>
        </w:rPr>
        <w:t>he State</w:t>
      </w:r>
      <w:r w:rsidR="00E36477">
        <w:rPr>
          <w:rFonts w:ascii="Times New Roman" w:eastAsia="Times New Roman" w:hAnsi="Times New Roman" w:cs="Times New Roman"/>
        </w:rPr>
        <w:t xml:space="preserve"> is</w:t>
      </w:r>
      <w:r w:rsidR="00FC6ADF" w:rsidRPr="005D5DC0">
        <w:rPr>
          <w:rFonts w:ascii="Times New Roman" w:eastAsia="Times New Roman" w:hAnsi="Times New Roman" w:cs="Times New Roman"/>
        </w:rPr>
        <w:t xml:space="preserve"> acting as </w:t>
      </w:r>
      <w:r w:rsidR="001177B9">
        <w:rPr>
          <w:rFonts w:ascii="Times New Roman" w:eastAsia="Times New Roman" w:hAnsi="Times New Roman" w:cs="Times New Roman"/>
        </w:rPr>
        <w:t>the</w:t>
      </w:r>
      <w:r w:rsidR="001177B9" w:rsidRPr="005D5DC0">
        <w:rPr>
          <w:rFonts w:ascii="Times New Roman" w:eastAsia="Times New Roman" w:hAnsi="Times New Roman" w:cs="Times New Roman"/>
        </w:rPr>
        <w:t xml:space="preserve"> </w:t>
      </w:r>
      <w:r w:rsidR="00FC6ADF" w:rsidRPr="005D5DC0">
        <w:rPr>
          <w:rFonts w:ascii="Times New Roman" w:eastAsia="Times New Roman" w:hAnsi="Times New Roman" w:cs="Times New Roman"/>
        </w:rPr>
        <w:t xml:space="preserve">State, not as any market </w:t>
      </w:r>
      <w:proofErr w:type="gramStart"/>
      <w:r w:rsidR="00FC6ADF" w:rsidRPr="005D5DC0">
        <w:rPr>
          <w:rFonts w:ascii="Times New Roman" w:eastAsia="Times New Roman" w:hAnsi="Times New Roman" w:cs="Times New Roman"/>
        </w:rPr>
        <w:t>actor</w:t>
      </w:r>
      <w:proofErr w:type="gramEnd"/>
    </w:p>
    <w:p w14:paraId="6430D30A" w14:textId="007BB155" w:rsidR="00FC6ADF" w:rsidRPr="005D5DC0" w:rsidRDefault="001C45C2" w:rsidP="00FC6ADF">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T</w:t>
      </w:r>
      <w:r w:rsidR="00FC6ADF" w:rsidRPr="005D5DC0">
        <w:rPr>
          <w:rFonts w:ascii="Times New Roman" w:eastAsia="Times New Roman" w:hAnsi="Times New Roman" w:cs="Times New Roman"/>
        </w:rPr>
        <w:t xml:space="preserve">he State is acting in a regulatory rather than proprietary </w:t>
      </w:r>
      <w:proofErr w:type="gramStart"/>
      <w:r w:rsidR="00FC6ADF" w:rsidRPr="005D5DC0">
        <w:rPr>
          <w:rFonts w:ascii="Times New Roman" w:eastAsia="Times New Roman" w:hAnsi="Times New Roman" w:cs="Times New Roman"/>
        </w:rPr>
        <w:t>mode</w:t>
      </w:r>
      <w:proofErr w:type="gramEnd"/>
    </w:p>
    <w:p w14:paraId="401D1800" w14:textId="244EB364" w:rsidR="00FC6ADF" w:rsidRPr="005D5DC0" w:rsidRDefault="001C45C2" w:rsidP="00FC6ADF">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T</w:t>
      </w:r>
      <w:r w:rsidR="00FC6ADF" w:rsidRPr="005D5DC0">
        <w:rPr>
          <w:rFonts w:ascii="Times New Roman" w:eastAsia="Times New Roman" w:hAnsi="Times New Roman" w:cs="Times New Roman"/>
        </w:rPr>
        <w:t xml:space="preserve">here is a contractual relationship between the State and the non-State </w:t>
      </w:r>
      <w:proofErr w:type="gramStart"/>
      <w:r w:rsidR="00FC6ADF" w:rsidRPr="005D5DC0">
        <w:rPr>
          <w:rFonts w:ascii="Times New Roman" w:eastAsia="Times New Roman" w:hAnsi="Times New Roman" w:cs="Times New Roman"/>
        </w:rPr>
        <w:t>party</w:t>
      </w:r>
      <w:proofErr w:type="gramEnd"/>
    </w:p>
    <w:p w14:paraId="372E8B05" w14:textId="7A44CEEE" w:rsidR="00FC6ADF" w:rsidRPr="005D5DC0" w:rsidRDefault="001C45C2" w:rsidP="00FC6ADF">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T</w:t>
      </w:r>
      <w:r w:rsidR="00FC6ADF" w:rsidRPr="005D5DC0">
        <w:rPr>
          <w:rFonts w:ascii="Times New Roman" w:eastAsia="Times New Roman" w:hAnsi="Times New Roman" w:cs="Times New Roman"/>
        </w:rPr>
        <w:t xml:space="preserve">he State has acted as a private party in a way that the owner of an ordinary commercial enterprise could </w:t>
      </w:r>
      <w:proofErr w:type="gramStart"/>
      <w:r w:rsidR="00FC6ADF" w:rsidRPr="005D5DC0">
        <w:rPr>
          <w:rFonts w:ascii="Times New Roman" w:eastAsia="Times New Roman" w:hAnsi="Times New Roman" w:cs="Times New Roman"/>
        </w:rPr>
        <w:t>mimic</w:t>
      </w:r>
      <w:proofErr w:type="gramEnd"/>
    </w:p>
    <w:p w14:paraId="0F98228D" w14:textId="3CC3705E" w:rsidR="00FC6ADF" w:rsidRPr="005D5DC0" w:rsidRDefault="001C45C2" w:rsidP="00FC6ADF">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T</w:t>
      </w:r>
      <w:r w:rsidR="00FC6ADF" w:rsidRPr="005D5DC0">
        <w:rPr>
          <w:rFonts w:ascii="Times New Roman" w:eastAsia="Times New Roman" w:hAnsi="Times New Roman" w:cs="Times New Roman"/>
        </w:rPr>
        <w:t xml:space="preserve">he transaction represents contractual commitment[s] voluntarily undertaken or part and parcel of a governmental program wielding coercive power over private </w:t>
      </w:r>
      <w:proofErr w:type="gramStart"/>
      <w:r w:rsidR="00FC6ADF" w:rsidRPr="005D5DC0">
        <w:rPr>
          <w:rFonts w:ascii="Times New Roman" w:eastAsia="Times New Roman" w:hAnsi="Times New Roman" w:cs="Times New Roman"/>
        </w:rPr>
        <w:t>parties</w:t>
      </w:r>
      <w:proofErr w:type="gramEnd"/>
    </w:p>
    <w:p w14:paraId="5A7225A1" w14:textId="30BA9799" w:rsidR="00FC6ADF" w:rsidRPr="005D5DC0" w:rsidRDefault="001C45C2" w:rsidP="00FC6ADF">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T</w:t>
      </w:r>
      <w:r w:rsidR="00FC6ADF" w:rsidRPr="005D5DC0">
        <w:rPr>
          <w:rFonts w:ascii="Times New Roman" w:eastAsia="Times New Roman" w:hAnsi="Times New Roman" w:cs="Times New Roman"/>
        </w:rPr>
        <w:t xml:space="preserve">he agreement results not from ordinary bargaining, but instead from the threat of criminal sanctions or other State </w:t>
      </w:r>
      <w:proofErr w:type="gramStart"/>
      <w:r w:rsidR="00FC6ADF" w:rsidRPr="005D5DC0">
        <w:rPr>
          <w:rFonts w:ascii="Times New Roman" w:eastAsia="Times New Roman" w:hAnsi="Times New Roman" w:cs="Times New Roman"/>
        </w:rPr>
        <w:t>power</w:t>
      </w:r>
      <w:proofErr w:type="gramEnd"/>
    </w:p>
    <w:p w14:paraId="681A8A58" w14:textId="01568D12" w:rsidR="00FC6ADF" w:rsidRPr="005D5DC0" w:rsidRDefault="001C45C2" w:rsidP="00FC6ADF">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T</w:t>
      </w:r>
      <w:r w:rsidR="00FC6ADF" w:rsidRPr="005D5DC0">
        <w:rPr>
          <w:rFonts w:ascii="Times New Roman" w:eastAsia="Times New Roman" w:hAnsi="Times New Roman" w:cs="Times New Roman"/>
        </w:rPr>
        <w:t xml:space="preserve">he non-State party has an option to opt </w:t>
      </w:r>
      <w:proofErr w:type="gramStart"/>
      <w:r w:rsidR="00FC6ADF" w:rsidRPr="005D5DC0">
        <w:rPr>
          <w:rFonts w:ascii="Times New Roman" w:eastAsia="Times New Roman" w:hAnsi="Times New Roman" w:cs="Times New Roman"/>
        </w:rPr>
        <w:t>out</w:t>
      </w:r>
      <w:proofErr w:type="gramEnd"/>
    </w:p>
    <w:p w14:paraId="5D3A51A5" w14:textId="706E9FC3" w:rsidR="00FC6ADF" w:rsidRPr="005D5DC0" w:rsidRDefault="001C45C2" w:rsidP="00FC6ADF">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T</w:t>
      </w:r>
      <w:r w:rsidR="00FC6ADF" w:rsidRPr="005D5DC0">
        <w:rPr>
          <w:rFonts w:ascii="Times New Roman" w:eastAsia="Times New Roman" w:hAnsi="Times New Roman" w:cs="Times New Roman"/>
        </w:rPr>
        <w:t xml:space="preserve">he State has exercised classic regulatory authority—complete with the use of criminal </w:t>
      </w:r>
      <w:proofErr w:type="gramStart"/>
      <w:r w:rsidR="00FC6ADF" w:rsidRPr="005D5DC0">
        <w:rPr>
          <w:rFonts w:ascii="Times New Roman" w:eastAsia="Times New Roman" w:hAnsi="Times New Roman" w:cs="Times New Roman"/>
        </w:rPr>
        <w:t>penalties</w:t>
      </w:r>
      <w:proofErr w:type="gramEnd"/>
    </w:p>
    <w:p w14:paraId="215B1490" w14:textId="5EF3ECD5" w:rsidR="00FC6ADF" w:rsidRDefault="001C45C2" w:rsidP="00FC6ADF">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T</w:t>
      </w:r>
      <w:r w:rsidR="00FC6ADF" w:rsidRPr="005D5DC0">
        <w:rPr>
          <w:rFonts w:ascii="Times New Roman" w:eastAsia="Times New Roman" w:hAnsi="Times New Roman" w:cs="Times New Roman"/>
        </w:rPr>
        <w:t xml:space="preserve">he State is modifying or adding to the legal norm rather than serving as a normal market </w:t>
      </w:r>
      <w:proofErr w:type="gramStart"/>
      <w:r w:rsidR="00FC6ADF" w:rsidRPr="005D5DC0">
        <w:rPr>
          <w:rFonts w:ascii="Times New Roman" w:eastAsia="Times New Roman" w:hAnsi="Times New Roman" w:cs="Times New Roman"/>
        </w:rPr>
        <w:t>participant</w:t>
      </w:r>
      <w:proofErr w:type="gramEnd"/>
    </w:p>
    <w:p w14:paraId="76E73FD2" w14:textId="77777777" w:rsidR="00D775B7" w:rsidRPr="005D5DC0" w:rsidRDefault="00D775B7" w:rsidP="00D775B7">
      <w:pPr>
        <w:pStyle w:val="ListParagraph"/>
        <w:rPr>
          <w:rFonts w:ascii="Times New Roman" w:eastAsia="Times New Roman" w:hAnsi="Times New Roman" w:cs="Times New Roman"/>
        </w:rPr>
      </w:pPr>
    </w:p>
    <w:p w14:paraId="627A8037" w14:textId="535D2F7B" w:rsidR="005E3BD2" w:rsidRPr="005D5DC0" w:rsidRDefault="008262AA" w:rsidP="005E3BD2">
      <w:pPr>
        <w:rPr>
          <w:rFonts w:ascii="Times New Roman" w:eastAsia="Times New Roman" w:hAnsi="Times New Roman" w:cs="Times New Roman"/>
        </w:rPr>
      </w:pPr>
      <w:r>
        <w:rPr>
          <w:rFonts w:ascii="Times New Roman" w:hAnsi="Times New Roman" w:cs="Times New Roman"/>
        </w:rPr>
        <w:t>Distilled down, the more a transaction mirrors the conduct of normal private parties, the less likely the courts are to find it carrie</w:t>
      </w:r>
      <w:r w:rsidR="007D7563">
        <w:rPr>
          <w:rFonts w:ascii="Times New Roman" w:hAnsi="Times New Roman" w:cs="Times New Roman"/>
        </w:rPr>
        <w:t>s</w:t>
      </w:r>
      <w:r>
        <w:rPr>
          <w:rFonts w:ascii="Times New Roman" w:hAnsi="Times New Roman" w:cs="Times New Roman"/>
        </w:rPr>
        <w:t xml:space="preserve"> the effect of law.  </w:t>
      </w:r>
      <w:r w:rsidR="00F25ED3">
        <w:rPr>
          <w:rFonts w:ascii="Times New Roman" w:hAnsi="Times New Roman" w:cs="Times New Roman"/>
        </w:rPr>
        <w:t>For example, i</w:t>
      </w:r>
      <w:r w:rsidR="00D3628E">
        <w:rPr>
          <w:rFonts w:ascii="Times New Roman" w:hAnsi="Times New Roman" w:cs="Times New Roman"/>
        </w:rPr>
        <w:t>n</w:t>
      </w:r>
      <w:r w:rsidR="005E3BD2" w:rsidRPr="005D5DC0">
        <w:rPr>
          <w:rFonts w:ascii="Times New Roman" w:hAnsi="Times New Roman" w:cs="Times New Roman"/>
        </w:rPr>
        <w:t xml:space="preserve"> the context of contracts, the U.S. Supreme Court has held that something is a rule:</w:t>
      </w:r>
    </w:p>
    <w:p w14:paraId="1095B4F8" w14:textId="77777777" w:rsidR="005E3BD2" w:rsidRPr="005D5DC0" w:rsidRDefault="005E3BD2" w:rsidP="005E3BD2">
      <w:pPr>
        <w:rPr>
          <w:rFonts w:ascii="Times New Roman" w:hAnsi="Times New Roman" w:cs="Times New Roman"/>
        </w:rPr>
      </w:pPr>
    </w:p>
    <w:p w14:paraId="5A4C52A7" w14:textId="77777777" w:rsidR="005E3BD2" w:rsidRPr="005D5DC0" w:rsidRDefault="005E3BD2" w:rsidP="005E3BD2">
      <w:pPr>
        <w:ind w:left="720" w:right="720"/>
        <w:rPr>
          <w:rFonts w:ascii="Times New Roman" w:hAnsi="Times New Roman" w:cs="Times New Roman"/>
        </w:rPr>
      </w:pPr>
      <w:r w:rsidRPr="005D5DC0">
        <w:rPr>
          <w:rFonts w:ascii="Times New Roman" w:hAnsi="Times New Roman" w:cs="Times New Roman"/>
        </w:rPr>
        <w:t xml:space="preserve">… when the government employs such a coercive mechanism, available to no private party, it acts with the force and effect of law, </w:t>
      </w:r>
      <w:proofErr w:type="gramStart"/>
      <w:r w:rsidRPr="005D5DC0">
        <w:rPr>
          <w:rFonts w:ascii="Times New Roman" w:hAnsi="Times New Roman" w:cs="Times New Roman"/>
        </w:rPr>
        <w:t>whether or not</w:t>
      </w:r>
      <w:proofErr w:type="gramEnd"/>
      <w:r w:rsidRPr="005D5DC0">
        <w:rPr>
          <w:rFonts w:ascii="Times New Roman" w:hAnsi="Times New Roman" w:cs="Times New Roman"/>
        </w:rPr>
        <w:t xml:space="preserve"> it does so to turn a profit. Only if it forgoes the (distinctively governmental) exercise of legal authority may it escape [being deemed a rule].</w:t>
      </w:r>
    </w:p>
    <w:p w14:paraId="3D0BB23A" w14:textId="77777777" w:rsidR="005E3BD2" w:rsidRPr="005D5DC0" w:rsidRDefault="005E3BD2" w:rsidP="005E3BD2">
      <w:pPr>
        <w:rPr>
          <w:rFonts w:ascii="Times New Roman" w:hAnsi="Times New Roman" w:cs="Times New Roman"/>
        </w:rPr>
      </w:pPr>
    </w:p>
    <w:p w14:paraId="04C12195" w14:textId="614A1E49" w:rsidR="005E3BD2" w:rsidRPr="005D5DC0" w:rsidRDefault="00E24F73" w:rsidP="005E3BD2">
      <w:pPr>
        <w:rPr>
          <w:rFonts w:ascii="Times New Roman" w:hAnsi="Times New Roman" w:cs="Times New Roman"/>
        </w:rPr>
      </w:pPr>
      <w:r w:rsidRPr="00E24F73">
        <w:rPr>
          <w:rFonts w:ascii="Times New Roman" w:hAnsi="Times New Roman" w:cs="Times New Roman"/>
          <w:i/>
          <w:iCs/>
        </w:rPr>
        <w:t xml:space="preserve">Am. Trucking Associations, Inc. v. City of Los Angeles, Cal., </w:t>
      </w:r>
      <w:r w:rsidRPr="00131E56">
        <w:rPr>
          <w:rFonts w:ascii="Times New Roman" w:hAnsi="Times New Roman" w:cs="Times New Roman"/>
        </w:rPr>
        <w:t>569 U.S. 641</w:t>
      </w:r>
      <w:r w:rsidR="00A653AC">
        <w:rPr>
          <w:rFonts w:ascii="Times New Roman" w:hAnsi="Times New Roman" w:cs="Times New Roman"/>
        </w:rPr>
        <w:t>, 651-52</w:t>
      </w:r>
      <w:r w:rsidRPr="00131E56">
        <w:rPr>
          <w:rFonts w:ascii="Times New Roman" w:hAnsi="Times New Roman" w:cs="Times New Roman"/>
        </w:rPr>
        <w:t xml:space="preserve"> (2013)</w:t>
      </w:r>
      <w:r w:rsidR="005E3BD2" w:rsidRPr="005D5DC0">
        <w:rPr>
          <w:rFonts w:ascii="Times New Roman" w:hAnsi="Times New Roman" w:cs="Times New Roman"/>
        </w:rPr>
        <w:t>. </w:t>
      </w:r>
      <w:r w:rsidR="006C0A5E">
        <w:rPr>
          <w:rFonts w:ascii="Times New Roman" w:hAnsi="Times New Roman" w:cs="Times New Roman"/>
        </w:rPr>
        <w:t>Similarly</w:t>
      </w:r>
      <w:r w:rsidR="00ED4F9F">
        <w:rPr>
          <w:rFonts w:ascii="Times New Roman" w:hAnsi="Times New Roman" w:cs="Times New Roman"/>
        </w:rPr>
        <w:t>,</w:t>
      </w:r>
      <w:r w:rsidR="006C0A5E">
        <w:rPr>
          <w:rFonts w:ascii="Times New Roman" w:hAnsi="Times New Roman" w:cs="Times New Roman"/>
        </w:rPr>
        <w:t xml:space="preserve"> the Fifth Circuit established a two-factor test to ev</w:t>
      </w:r>
      <w:r w:rsidR="005E3BD2" w:rsidRPr="005D5DC0">
        <w:rPr>
          <w:rFonts w:ascii="Times New Roman" w:hAnsi="Times New Roman" w:cs="Times New Roman"/>
        </w:rPr>
        <w:t>aluat</w:t>
      </w:r>
      <w:r w:rsidR="006C0A5E">
        <w:rPr>
          <w:rFonts w:ascii="Times New Roman" w:hAnsi="Times New Roman" w:cs="Times New Roman"/>
        </w:rPr>
        <w:t>e</w:t>
      </w:r>
      <w:r w:rsidR="005E3BD2" w:rsidRPr="005D5DC0">
        <w:rPr>
          <w:rFonts w:ascii="Times New Roman" w:hAnsi="Times New Roman" w:cs="Times New Roman"/>
        </w:rPr>
        <w:t xml:space="preserve"> whether the government is acting as a market participant:</w:t>
      </w:r>
    </w:p>
    <w:p w14:paraId="003201B0" w14:textId="77777777" w:rsidR="005E3BD2" w:rsidRPr="005D5DC0" w:rsidRDefault="005E3BD2" w:rsidP="005E3BD2">
      <w:pPr>
        <w:rPr>
          <w:rFonts w:ascii="Times New Roman" w:hAnsi="Times New Roman" w:cs="Times New Roman"/>
        </w:rPr>
      </w:pPr>
    </w:p>
    <w:p w14:paraId="19776507" w14:textId="77777777" w:rsidR="005E3BD2" w:rsidRPr="005D5DC0" w:rsidRDefault="005E3BD2" w:rsidP="005E3BD2">
      <w:pPr>
        <w:ind w:left="720" w:right="720"/>
        <w:rPr>
          <w:rFonts w:ascii="Times New Roman" w:hAnsi="Times New Roman" w:cs="Times New Roman"/>
        </w:rPr>
      </w:pPr>
      <w:r w:rsidRPr="005D5DC0">
        <w:rPr>
          <w:rFonts w:ascii="Times New Roman" w:hAnsi="Times New Roman" w:cs="Times New Roman"/>
        </w:rPr>
        <w:t xml:space="preserve">First, does the challenged action essentially reflect the entity's own interest in its efficient procurement of needed goods and services, as measured by comparison with the typical behavior of private parties in similar circumstances? Second, does the narrow scope of </w:t>
      </w:r>
      <w:r w:rsidRPr="005D5DC0">
        <w:rPr>
          <w:rFonts w:ascii="Times New Roman" w:hAnsi="Times New Roman" w:cs="Times New Roman"/>
        </w:rPr>
        <w:lastRenderedPageBreak/>
        <w:t>the challenged action defeat an inference that its primary goal was to encourage a general policy rather than address a specific proprietary problem?</w:t>
      </w:r>
    </w:p>
    <w:p w14:paraId="146B77D7" w14:textId="77777777" w:rsidR="005E3BD2" w:rsidRPr="005D5DC0" w:rsidRDefault="005E3BD2" w:rsidP="005E3BD2">
      <w:pPr>
        <w:rPr>
          <w:rFonts w:ascii="Times New Roman" w:hAnsi="Times New Roman" w:cs="Times New Roman"/>
        </w:rPr>
      </w:pPr>
    </w:p>
    <w:p w14:paraId="79E14115" w14:textId="77777777" w:rsidR="005E3BD2" w:rsidRPr="005D5DC0" w:rsidRDefault="005E3BD2" w:rsidP="005E3BD2">
      <w:pPr>
        <w:rPr>
          <w:rFonts w:ascii="Times New Roman" w:hAnsi="Times New Roman" w:cs="Times New Roman"/>
        </w:rPr>
      </w:pPr>
      <w:r w:rsidRPr="005D5DC0">
        <w:rPr>
          <w:rFonts w:ascii="Times New Roman" w:hAnsi="Times New Roman" w:cs="Times New Roman"/>
          <w:i/>
          <w:iCs/>
        </w:rPr>
        <w:t>Cardinal Towing &amp; Auto Repaid, Inc. v. City of Beford Tex.</w:t>
      </w:r>
      <w:r w:rsidRPr="005D5DC0">
        <w:rPr>
          <w:rFonts w:ascii="Times New Roman" w:hAnsi="Times New Roman" w:cs="Times New Roman"/>
        </w:rPr>
        <w:t>, 180 F.3d 686, 693 (5</w:t>
      </w:r>
      <w:r w:rsidRPr="005D5DC0">
        <w:rPr>
          <w:rFonts w:ascii="Times New Roman" w:hAnsi="Times New Roman" w:cs="Times New Roman"/>
          <w:vertAlign w:val="superscript"/>
        </w:rPr>
        <w:t>th</w:t>
      </w:r>
      <w:r w:rsidRPr="005D5DC0">
        <w:rPr>
          <w:rFonts w:ascii="Times New Roman" w:hAnsi="Times New Roman" w:cs="Times New Roman"/>
        </w:rPr>
        <w:t xml:space="preserve"> Cir. 1999).    </w:t>
      </w:r>
    </w:p>
    <w:p w14:paraId="0E35A6FE" w14:textId="77777777" w:rsidR="002244DA" w:rsidRDefault="002244DA" w:rsidP="005D5DC0">
      <w:pPr>
        <w:rPr>
          <w:rFonts w:ascii="Times New Roman" w:hAnsi="Times New Roman" w:cs="Times New Roman"/>
        </w:rPr>
      </w:pPr>
    </w:p>
    <w:p w14:paraId="07120A74" w14:textId="2B5CD5E0" w:rsidR="00ED28A6" w:rsidRPr="00FB79A0" w:rsidRDefault="00ED28A6" w:rsidP="00FB79A0">
      <w:pPr>
        <w:ind w:firstLine="720"/>
        <w:rPr>
          <w:rFonts w:ascii="Times New Roman" w:hAnsi="Times New Roman" w:cs="Times New Roman"/>
          <w:b/>
          <w:bCs/>
          <w:u w:val="single"/>
        </w:rPr>
      </w:pPr>
      <w:r>
        <w:rPr>
          <w:rFonts w:ascii="Times New Roman" w:hAnsi="Times New Roman" w:cs="Times New Roman"/>
        </w:rPr>
        <w:t>II</w:t>
      </w:r>
      <w:r>
        <w:rPr>
          <w:rFonts w:ascii="Times New Roman" w:hAnsi="Times New Roman" w:cs="Times New Roman"/>
          <w:i/>
          <w:iCs/>
        </w:rPr>
        <w:t xml:space="preserve">. </w:t>
      </w:r>
      <w:r>
        <w:rPr>
          <w:rFonts w:ascii="Times New Roman" w:hAnsi="Times New Roman" w:cs="Times New Roman"/>
          <w:i/>
          <w:iCs/>
          <w:u w:val="single"/>
        </w:rPr>
        <w:t>Example Analysis – Credit Card Fee</w:t>
      </w:r>
      <w:r w:rsidRPr="00ED28A6" w:rsidDel="00ED28A6">
        <w:rPr>
          <w:rFonts w:ascii="Times New Roman" w:hAnsi="Times New Roman" w:cs="Times New Roman"/>
          <w:b/>
          <w:bCs/>
          <w:u w:val="single"/>
        </w:rPr>
        <w:t xml:space="preserve"> </w:t>
      </w:r>
    </w:p>
    <w:p w14:paraId="1E880D16" w14:textId="77777777" w:rsidR="00240461" w:rsidRPr="005D5DC0" w:rsidRDefault="00240461" w:rsidP="00240461">
      <w:pPr>
        <w:rPr>
          <w:rFonts w:ascii="Times New Roman" w:hAnsi="Times New Roman" w:cs="Times New Roman"/>
        </w:rPr>
      </w:pPr>
    </w:p>
    <w:p w14:paraId="646AC32E" w14:textId="4EF7017B" w:rsidR="00240461" w:rsidRPr="005D5DC0" w:rsidRDefault="00240461" w:rsidP="00240461">
      <w:pPr>
        <w:rPr>
          <w:rFonts w:ascii="Times New Roman" w:hAnsi="Times New Roman" w:cs="Times New Roman"/>
        </w:rPr>
      </w:pPr>
      <w:r w:rsidRPr="005D5DC0">
        <w:rPr>
          <w:rFonts w:ascii="Times New Roman" w:hAnsi="Times New Roman" w:cs="Times New Roman"/>
        </w:rPr>
        <w:t xml:space="preserve">A common question </w:t>
      </w:r>
      <w:r w:rsidR="00AC7DBB">
        <w:rPr>
          <w:rFonts w:ascii="Times New Roman" w:hAnsi="Times New Roman" w:cs="Times New Roman"/>
        </w:rPr>
        <w:t xml:space="preserve">we have received </w:t>
      </w:r>
      <w:r w:rsidRPr="005D5DC0">
        <w:rPr>
          <w:rFonts w:ascii="Times New Roman" w:hAnsi="Times New Roman" w:cs="Times New Roman"/>
        </w:rPr>
        <w:t xml:space="preserve">involves when </w:t>
      </w:r>
      <w:r w:rsidR="00123729">
        <w:rPr>
          <w:rFonts w:ascii="Times New Roman" w:hAnsi="Times New Roman" w:cs="Times New Roman"/>
        </w:rPr>
        <w:t xml:space="preserve">there is a required charge (e.g., for a license or permit) </w:t>
      </w:r>
      <w:r w:rsidR="00920A47">
        <w:rPr>
          <w:rFonts w:ascii="Times New Roman" w:hAnsi="Times New Roman" w:cs="Times New Roman"/>
        </w:rPr>
        <w:t xml:space="preserve">and </w:t>
      </w:r>
      <w:r w:rsidR="00AC7DBB">
        <w:rPr>
          <w:rFonts w:ascii="Times New Roman" w:hAnsi="Times New Roman" w:cs="Times New Roman"/>
        </w:rPr>
        <w:t xml:space="preserve">an </w:t>
      </w:r>
      <w:r w:rsidRPr="005D5DC0">
        <w:rPr>
          <w:rFonts w:ascii="Times New Roman" w:hAnsi="Times New Roman" w:cs="Times New Roman"/>
        </w:rPr>
        <w:t>agency assesses a convenience charge for paying by credit card.  Looking at the factors discussed above, there are a variety of ways an agency’s analysis could come out</w:t>
      </w:r>
      <w:r w:rsidR="001E5CC1">
        <w:rPr>
          <w:rFonts w:ascii="Times New Roman" w:hAnsi="Times New Roman" w:cs="Times New Roman"/>
        </w:rPr>
        <w:t xml:space="preserve"> depending on the specific facts</w:t>
      </w:r>
      <w:r w:rsidRPr="005D5DC0">
        <w:rPr>
          <w:rFonts w:ascii="Times New Roman" w:hAnsi="Times New Roman" w:cs="Times New Roman"/>
        </w:rPr>
        <w:t xml:space="preserve">.  </w:t>
      </w:r>
    </w:p>
    <w:p w14:paraId="6ECEB2C5" w14:textId="77777777" w:rsidR="00240461" w:rsidRPr="005D5DC0" w:rsidRDefault="00240461" w:rsidP="00240461">
      <w:pPr>
        <w:rPr>
          <w:rFonts w:ascii="Times New Roman" w:hAnsi="Times New Roman" w:cs="Times New Roman"/>
        </w:rPr>
      </w:pPr>
    </w:p>
    <w:p w14:paraId="0AAD2176" w14:textId="48AD1ED5" w:rsidR="00240461" w:rsidRPr="005D5DC0" w:rsidRDefault="00240461" w:rsidP="00240461">
      <w:pPr>
        <w:rPr>
          <w:rFonts w:ascii="Times New Roman" w:hAnsi="Times New Roman" w:cs="Times New Roman"/>
        </w:rPr>
      </w:pPr>
      <w:r w:rsidRPr="005D5DC0">
        <w:rPr>
          <w:rFonts w:ascii="Times New Roman" w:hAnsi="Times New Roman" w:cs="Times New Roman"/>
        </w:rPr>
        <w:t xml:space="preserve">If an agency offers the option to pay by cash, check, money order, ACH, or credit card and only the credit card carries a convenience charge, the agency should have a very strong argument this is not a rule.  There are multiple options to pay, so no one is required pay the convenience charge </w:t>
      </w:r>
      <w:r w:rsidR="00C8442F" w:rsidRPr="005D5DC0">
        <w:rPr>
          <w:rFonts w:ascii="Times New Roman" w:hAnsi="Times New Roman" w:cs="Times New Roman"/>
        </w:rPr>
        <w:t>to</w:t>
      </w:r>
      <w:r w:rsidRPr="005D5DC0">
        <w:rPr>
          <w:rFonts w:ascii="Times New Roman" w:hAnsi="Times New Roman" w:cs="Times New Roman"/>
        </w:rPr>
        <w:t xml:space="preserve"> obtain the license.  The charge is being paid for the convenience of paying by credit card and not a requirement of the agency acting as a regulator.</w:t>
      </w:r>
      <w:r w:rsidR="00C8442F">
        <w:rPr>
          <w:rFonts w:ascii="Times New Roman" w:hAnsi="Times New Roman" w:cs="Times New Roman"/>
        </w:rPr>
        <w:t xml:space="preserve">  The charge is voluntarily undertaken and </w:t>
      </w:r>
      <w:proofErr w:type="gramStart"/>
      <w:r w:rsidR="00C8442F">
        <w:rPr>
          <w:rFonts w:ascii="Times New Roman" w:hAnsi="Times New Roman" w:cs="Times New Roman"/>
        </w:rPr>
        <w:t>similar to</w:t>
      </w:r>
      <w:proofErr w:type="gramEnd"/>
      <w:r w:rsidR="00C8442F">
        <w:rPr>
          <w:rFonts w:ascii="Times New Roman" w:hAnsi="Times New Roman" w:cs="Times New Roman"/>
        </w:rPr>
        <w:t xml:space="preserve"> what is assessed by private parties</w:t>
      </w:r>
      <w:r w:rsidR="00A320E4">
        <w:rPr>
          <w:rFonts w:ascii="Times New Roman" w:hAnsi="Times New Roman" w:cs="Times New Roman"/>
        </w:rPr>
        <w:t xml:space="preserve">.  </w:t>
      </w:r>
      <w:r w:rsidR="00C8442F">
        <w:rPr>
          <w:rFonts w:ascii="Times New Roman" w:hAnsi="Times New Roman" w:cs="Times New Roman"/>
        </w:rPr>
        <w:t xml:space="preserve"> </w:t>
      </w:r>
    </w:p>
    <w:p w14:paraId="2EE962F1" w14:textId="77777777" w:rsidR="00240461" w:rsidRPr="005D5DC0" w:rsidRDefault="00240461" w:rsidP="00240461">
      <w:pPr>
        <w:rPr>
          <w:rFonts w:ascii="Times New Roman" w:hAnsi="Times New Roman" w:cs="Times New Roman"/>
        </w:rPr>
      </w:pPr>
    </w:p>
    <w:p w14:paraId="4A857E6F" w14:textId="46546431" w:rsidR="00240461" w:rsidRDefault="00240461" w:rsidP="00240461">
      <w:pPr>
        <w:rPr>
          <w:rFonts w:ascii="Times New Roman" w:hAnsi="Times New Roman" w:cs="Times New Roman"/>
        </w:rPr>
      </w:pPr>
      <w:r w:rsidRPr="005D5DC0">
        <w:rPr>
          <w:rFonts w:ascii="Times New Roman" w:hAnsi="Times New Roman" w:cs="Times New Roman"/>
        </w:rPr>
        <w:t xml:space="preserve">On the other hand, if the only option to pay offered by the agency is credit card </w:t>
      </w:r>
      <w:r w:rsidR="00A320E4">
        <w:rPr>
          <w:rFonts w:ascii="Times New Roman" w:hAnsi="Times New Roman" w:cs="Times New Roman"/>
        </w:rPr>
        <w:t>so that</w:t>
      </w:r>
      <w:r w:rsidRPr="005D5DC0">
        <w:rPr>
          <w:rFonts w:ascii="Times New Roman" w:hAnsi="Times New Roman" w:cs="Times New Roman"/>
        </w:rPr>
        <w:t xml:space="preserve"> everyone </w:t>
      </w:r>
      <w:r w:rsidR="00A320E4">
        <w:rPr>
          <w:rFonts w:ascii="Times New Roman" w:hAnsi="Times New Roman" w:cs="Times New Roman"/>
        </w:rPr>
        <w:t xml:space="preserve">who wants a license </w:t>
      </w:r>
      <w:r w:rsidRPr="005D5DC0">
        <w:rPr>
          <w:rFonts w:ascii="Times New Roman" w:hAnsi="Times New Roman" w:cs="Times New Roman"/>
        </w:rPr>
        <w:t xml:space="preserve">is </w:t>
      </w:r>
      <w:r w:rsidR="00A320E4">
        <w:rPr>
          <w:rFonts w:ascii="Times New Roman" w:hAnsi="Times New Roman" w:cs="Times New Roman"/>
        </w:rPr>
        <w:t xml:space="preserve">also </w:t>
      </w:r>
      <w:r w:rsidRPr="005D5DC0">
        <w:rPr>
          <w:rFonts w:ascii="Times New Roman" w:hAnsi="Times New Roman" w:cs="Times New Roman"/>
        </w:rPr>
        <w:t xml:space="preserve">assessed the convenience charge, then it starts to feel more like a rule because the only way a regulated party can obtain the underlying license is by paying the fee.  </w:t>
      </w:r>
      <w:r w:rsidR="00E62E12">
        <w:rPr>
          <w:rFonts w:ascii="Times New Roman" w:hAnsi="Times New Roman" w:cs="Times New Roman"/>
        </w:rPr>
        <w:t xml:space="preserve">Although the amount of the charge may be </w:t>
      </w:r>
      <w:proofErr w:type="gramStart"/>
      <w:r w:rsidR="00E62E12">
        <w:rPr>
          <w:rFonts w:ascii="Times New Roman" w:hAnsi="Times New Roman" w:cs="Times New Roman"/>
        </w:rPr>
        <w:t>similar to</w:t>
      </w:r>
      <w:proofErr w:type="gramEnd"/>
      <w:r w:rsidR="00E62E12">
        <w:rPr>
          <w:rFonts w:ascii="Times New Roman" w:hAnsi="Times New Roman" w:cs="Times New Roman"/>
        </w:rPr>
        <w:t xml:space="preserve"> what private parties </w:t>
      </w:r>
      <w:r w:rsidR="009E576C">
        <w:rPr>
          <w:rFonts w:ascii="Times New Roman" w:hAnsi="Times New Roman" w:cs="Times New Roman"/>
        </w:rPr>
        <w:t>assess, i</w:t>
      </w:r>
      <w:r w:rsidRPr="005D5DC0">
        <w:rPr>
          <w:rFonts w:ascii="Times New Roman" w:hAnsi="Times New Roman" w:cs="Times New Roman"/>
        </w:rPr>
        <w:t xml:space="preserve">t no longer feels like a voluntary transaction by the regulated party but </w:t>
      </w:r>
      <w:r w:rsidR="00E81D31">
        <w:rPr>
          <w:rFonts w:ascii="Times New Roman" w:hAnsi="Times New Roman" w:cs="Times New Roman"/>
        </w:rPr>
        <w:t xml:space="preserve">rather more like </w:t>
      </w:r>
      <w:r w:rsidRPr="005D5DC0">
        <w:rPr>
          <w:rFonts w:ascii="Times New Roman" w:hAnsi="Times New Roman" w:cs="Times New Roman"/>
        </w:rPr>
        <w:t xml:space="preserve">something they are required to do. </w:t>
      </w:r>
    </w:p>
    <w:p w14:paraId="1C7BD56D" w14:textId="77777777" w:rsidR="00586E45" w:rsidRDefault="00586E45" w:rsidP="00240461">
      <w:pPr>
        <w:rPr>
          <w:rFonts w:ascii="Times New Roman" w:hAnsi="Times New Roman" w:cs="Times New Roman"/>
        </w:rPr>
      </w:pPr>
    </w:p>
    <w:p w14:paraId="2C452DF1" w14:textId="0B97004D" w:rsidR="0037224A" w:rsidRPr="00A704C1" w:rsidRDefault="00586E45" w:rsidP="00FB79A0">
      <w:pPr>
        <w:ind w:firstLine="720"/>
        <w:rPr>
          <w:rFonts w:ascii="Times New Roman" w:hAnsi="Times New Roman" w:cs="Times New Roman"/>
          <w:b/>
          <w:bCs/>
          <w:u w:val="single"/>
        </w:rPr>
      </w:pPr>
      <w:r>
        <w:rPr>
          <w:rFonts w:ascii="Times New Roman" w:hAnsi="Times New Roman" w:cs="Times New Roman"/>
        </w:rPr>
        <w:t>III</w:t>
      </w:r>
      <w:r>
        <w:rPr>
          <w:rFonts w:ascii="Times New Roman" w:hAnsi="Times New Roman" w:cs="Times New Roman"/>
          <w:i/>
          <w:iCs/>
        </w:rPr>
        <w:t xml:space="preserve">. </w:t>
      </w:r>
      <w:r>
        <w:rPr>
          <w:rFonts w:ascii="Times New Roman" w:hAnsi="Times New Roman" w:cs="Times New Roman"/>
          <w:i/>
          <w:iCs/>
          <w:u w:val="single"/>
        </w:rPr>
        <w:t>Additional Reading</w:t>
      </w:r>
    </w:p>
    <w:p w14:paraId="503A3F7A" w14:textId="77777777" w:rsidR="0037224A" w:rsidRDefault="0037224A" w:rsidP="005D5DC0">
      <w:pPr>
        <w:rPr>
          <w:rFonts w:ascii="Times New Roman" w:hAnsi="Times New Roman" w:cs="Times New Roman"/>
        </w:rPr>
      </w:pPr>
    </w:p>
    <w:p w14:paraId="156EE40D" w14:textId="4B147060" w:rsidR="00BF661C" w:rsidRPr="005D5DC0" w:rsidRDefault="00D3628E" w:rsidP="0045067F">
      <w:pPr>
        <w:rPr>
          <w:rFonts w:ascii="Times New Roman" w:hAnsi="Times New Roman" w:cs="Times New Roman"/>
        </w:rPr>
      </w:pPr>
      <w:r>
        <w:rPr>
          <w:rFonts w:ascii="Times New Roman" w:hAnsi="Times New Roman" w:cs="Times New Roman"/>
        </w:rPr>
        <w:t xml:space="preserve">For additional reading, agencies </w:t>
      </w:r>
      <w:r w:rsidR="009E576C">
        <w:rPr>
          <w:rFonts w:ascii="Times New Roman" w:hAnsi="Times New Roman" w:cs="Times New Roman"/>
        </w:rPr>
        <w:t>can review the following cases:</w:t>
      </w:r>
    </w:p>
    <w:p w14:paraId="2555F255" w14:textId="77777777" w:rsidR="00C75620" w:rsidRDefault="00C75620" w:rsidP="0045067F">
      <w:pPr>
        <w:rPr>
          <w:rFonts w:ascii="Times New Roman" w:hAnsi="Times New Roman" w:cs="Times New Roman"/>
        </w:rPr>
      </w:pPr>
    </w:p>
    <w:p w14:paraId="633002E9" w14:textId="1DF2B0DE" w:rsidR="006004E4" w:rsidRPr="00C33EC5" w:rsidRDefault="008568E3" w:rsidP="0045067F">
      <w:pPr>
        <w:rPr>
          <w:rFonts w:ascii="Times New Roman" w:hAnsi="Times New Roman" w:cs="Times New Roman"/>
        </w:rPr>
      </w:pPr>
      <w:r>
        <w:rPr>
          <w:rFonts w:ascii="Times New Roman" w:hAnsi="Times New Roman" w:cs="Times New Roman"/>
        </w:rPr>
        <w:t xml:space="preserve">California: </w:t>
      </w:r>
      <w:r w:rsidR="006004E4" w:rsidRPr="00C33EC5">
        <w:rPr>
          <w:rFonts w:ascii="Times New Roman" w:hAnsi="Times New Roman" w:cs="Times New Roman"/>
          <w:i/>
          <w:iCs/>
        </w:rPr>
        <w:t xml:space="preserve">Am. Trucking Associations, Inc. v. City of Los Angeles, Cal., </w:t>
      </w:r>
      <w:r w:rsidR="006004E4" w:rsidRPr="00C33EC5">
        <w:rPr>
          <w:rFonts w:ascii="Times New Roman" w:hAnsi="Times New Roman" w:cs="Times New Roman"/>
        </w:rPr>
        <w:t>569 U.S. 641, 651-52 (2013). </w:t>
      </w:r>
    </w:p>
    <w:p w14:paraId="60BC7CB8" w14:textId="70DD2095" w:rsidR="00717800" w:rsidRPr="00C33EC5" w:rsidRDefault="00350793" w:rsidP="0045067F">
      <w:pPr>
        <w:rPr>
          <w:rFonts w:ascii="Times New Roman" w:hAnsi="Times New Roman" w:cs="Times New Roman"/>
        </w:rPr>
      </w:pPr>
      <w:r w:rsidRPr="00C33EC5">
        <w:rPr>
          <w:rFonts w:ascii="Times New Roman" w:hAnsi="Times New Roman" w:cs="Times New Roman"/>
        </w:rPr>
        <w:t xml:space="preserve">The Trucking Association </w:t>
      </w:r>
      <w:r>
        <w:rPr>
          <w:rFonts w:ascii="Times New Roman" w:hAnsi="Times New Roman" w:cs="Times New Roman"/>
        </w:rPr>
        <w:t>sued</w:t>
      </w:r>
      <w:r w:rsidRPr="00C33EC5">
        <w:rPr>
          <w:rFonts w:ascii="Times New Roman" w:hAnsi="Times New Roman" w:cs="Times New Roman"/>
        </w:rPr>
        <w:t xml:space="preserve"> the city of Los Angeles seeking an injunction against five provisions of the concession agreements with the Port and City. Section 14501(c)(1) </w:t>
      </w:r>
      <w:r>
        <w:rPr>
          <w:rFonts w:ascii="Times New Roman" w:hAnsi="Times New Roman" w:cs="Times New Roman"/>
        </w:rPr>
        <w:t xml:space="preserve">of the </w:t>
      </w:r>
      <w:r w:rsidRPr="00C33EC5">
        <w:rPr>
          <w:rFonts w:ascii="Times New Roman" w:hAnsi="Times New Roman" w:cs="Times New Roman"/>
        </w:rPr>
        <w:t>FAAA preempts a state law regulation or other provision having the force or effect of law related to a price, route, or service of any motor carrier, with respect to the transportation of property</w:t>
      </w:r>
      <w:r>
        <w:rPr>
          <w:rFonts w:ascii="Times New Roman" w:hAnsi="Times New Roman" w:cs="Times New Roman"/>
        </w:rPr>
        <w:t xml:space="preserve">. </w:t>
      </w:r>
      <w:r w:rsidRPr="00C33EC5">
        <w:rPr>
          <w:rFonts w:ascii="Times New Roman" w:hAnsi="Times New Roman" w:cs="Times New Roman"/>
        </w:rPr>
        <w:t xml:space="preserve">The force and effect of law language targets the State acting as a State, not as any market actor </w:t>
      </w:r>
      <w:r>
        <w:rPr>
          <w:rFonts w:ascii="Times New Roman" w:hAnsi="Times New Roman" w:cs="Times New Roman"/>
        </w:rPr>
        <w:t xml:space="preserve">so it </w:t>
      </w:r>
      <w:r w:rsidRPr="00C33EC5">
        <w:rPr>
          <w:rFonts w:ascii="Times New Roman" w:hAnsi="Times New Roman" w:cs="Times New Roman"/>
        </w:rPr>
        <w:t>excludes everyday contractual arrangements. </w:t>
      </w:r>
      <w:r>
        <w:rPr>
          <w:rFonts w:ascii="Times New Roman" w:hAnsi="Times New Roman" w:cs="Times New Roman"/>
        </w:rPr>
        <w:t xml:space="preserve"> Here, the Port exercised its regulatory authority complete with use of criminal penalties in imposing the placard and parking requirements at issue here. The contract here functions as part and parcel of a government program wielding coercive power backed by the threat of criminal punishment. Therefore,</w:t>
      </w:r>
      <w:r w:rsidRPr="00C33EC5">
        <w:rPr>
          <w:rFonts w:ascii="Times New Roman" w:hAnsi="Times New Roman" w:cs="Times New Roman"/>
        </w:rPr>
        <w:t xml:space="preserve"> the concession agreements were expressly preempted by the FAAA as provisions having the force and effect of law</w:t>
      </w:r>
      <w:r w:rsidR="00717800" w:rsidRPr="00C33EC5">
        <w:rPr>
          <w:rFonts w:ascii="Times New Roman" w:hAnsi="Times New Roman" w:cs="Times New Roman"/>
        </w:rPr>
        <w:t xml:space="preserve">. </w:t>
      </w:r>
    </w:p>
    <w:p w14:paraId="6615C62D" w14:textId="77777777" w:rsidR="006004E4" w:rsidRPr="00C33EC5" w:rsidRDefault="006004E4" w:rsidP="0045067F">
      <w:pPr>
        <w:rPr>
          <w:rFonts w:ascii="Times New Roman" w:hAnsi="Times New Roman" w:cs="Times New Roman"/>
        </w:rPr>
      </w:pPr>
    </w:p>
    <w:p w14:paraId="1DD0A42B" w14:textId="271976E0" w:rsidR="006004E4" w:rsidRPr="00C33EC5" w:rsidRDefault="008568E3" w:rsidP="0045067F">
      <w:pPr>
        <w:rPr>
          <w:rFonts w:ascii="Times New Roman" w:hAnsi="Times New Roman" w:cs="Times New Roman"/>
        </w:rPr>
      </w:pPr>
      <w:r>
        <w:rPr>
          <w:rFonts w:ascii="Times New Roman" w:hAnsi="Times New Roman" w:cs="Times New Roman"/>
        </w:rPr>
        <w:t xml:space="preserve">Illinois: </w:t>
      </w:r>
      <w:r w:rsidR="0045067F" w:rsidRPr="00C33EC5">
        <w:rPr>
          <w:rFonts w:ascii="Times New Roman" w:hAnsi="Times New Roman" w:cs="Times New Roman"/>
          <w:i/>
          <w:iCs/>
        </w:rPr>
        <w:t>American Airlines, Inc. v. Wolens</w:t>
      </w:r>
      <w:r w:rsidR="0045067F" w:rsidRPr="00C33EC5">
        <w:rPr>
          <w:rFonts w:ascii="Times New Roman" w:hAnsi="Times New Roman" w:cs="Times New Roman"/>
        </w:rPr>
        <w:t>, 513 U.S. 219, 229 (1995)</w:t>
      </w:r>
      <w:r w:rsidR="006004E4" w:rsidRPr="00C33EC5">
        <w:rPr>
          <w:rFonts w:ascii="Times New Roman" w:hAnsi="Times New Roman" w:cs="Times New Roman"/>
        </w:rPr>
        <w:t>.</w:t>
      </w:r>
    </w:p>
    <w:p w14:paraId="33C25050" w14:textId="65006097" w:rsidR="00E041DC" w:rsidRDefault="004E26B8" w:rsidP="00E041DC">
      <w:pPr>
        <w:rPr>
          <w:rFonts w:ascii="Times New Roman" w:hAnsi="Times New Roman" w:cs="Times New Roman"/>
        </w:rPr>
      </w:pPr>
      <w:r w:rsidRPr="00C33EC5">
        <w:rPr>
          <w:rFonts w:ascii="Times New Roman" w:hAnsi="Times New Roman" w:cs="Times New Roman"/>
        </w:rPr>
        <w:t>Members of American Airlines</w:t>
      </w:r>
      <w:r w:rsidR="004663F2">
        <w:rPr>
          <w:rFonts w:ascii="Times New Roman" w:hAnsi="Times New Roman" w:cs="Times New Roman"/>
        </w:rPr>
        <w:t>’</w:t>
      </w:r>
      <w:r w:rsidRPr="00C33EC5">
        <w:rPr>
          <w:rFonts w:ascii="Times New Roman" w:hAnsi="Times New Roman" w:cs="Times New Roman"/>
        </w:rPr>
        <w:t xml:space="preserve"> frequent flyer program brought a class action suit for breach of contract</w:t>
      </w:r>
      <w:r w:rsidR="00386F05">
        <w:rPr>
          <w:rFonts w:ascii="Times New Roman" w:hAnsi="Times New Roman" w:cs="Times New Roman"/>
        </w:rPr>
        <w:t xml:space="preserve"> and consumer protection claims</w:t>
      </w:r>
      <w:r w:rsidR="00074262">
        <w:rPr>
          <w:rFonts w:ascii="Times New Roman" w:hAnsi="Times New Roman" w:cs="Times New Roman"/>
        </w:rPr>
        <w:t xml:space="preserve"> after American Airlines modified their AAdvantage program and devalued credits previously earned</w:t>
      </w:r>
      <w:r w:rsidRPr="00C33EC5">
        <w:rPr>
          <w:rFonts w:ascii="Times New Roman" w:hAnsi="Times New Roman" w:cs="Times New Roman"/>
        </w:rPr>
        <w:t xml:space="preserve">. The Airline Deregulation Act prohibits States from enacting or enforcing any law relating to rates, routes, or services. </w:t>
      </w:r>
      <w:r w:rsidR="00E041DC">
        <w:rPr>
          <w:rFonts w:ascii="Times New Roman" w:hAnsi="Times New Roman" w:cs="Times New Roman"/>
        </w:rPr>
        <w:t xml:space="preserve">The Supreme Court decided that the Consumer Fraud Act monetary relief could not be granted because the Act serves </w:t>
      </w:r>
      <w:proofErr w:type="gramStart"/>
      <w:r w:rsidR="00E041DC">
        <w:rPr>
          <w:rFonts w:ascii="Times New Roman" w:hAnsi="Times New Roman" w:cs="Times New Roman"/>
        </w:rPr>
        <w:t>as a means to</w:t>
      </w:r>
      <w:proofErr w:type="gramEnd"/>
      <w:r w:rsidR="00E041DC">
        <w:rPr>
          <w:rFonts w:ascii="Times New Roman" w:hAnsi="Times New Roman" w:cs="Times New Roman"/>
        </w:rPr>
        <w:t xml:space="preserve"> guide and police the marketing practices of the airlines</w:t>
      </w:r>
      <w:r w:rsidR="007F73F4">
        <w:rPr>
          <w:rFonts w:ascii="Times New Roman" w:hAnsi="Times New Roman" w:cs="Times New Roman"/>
        </w:rPr>
        <w:t>,</w:t>
      </w:r>
      <w:r w:rsidR="00E041DC">
        <w:rPr>
          <w:rFonts w:ascii="Times New Roman" w:hAnsi="Times New Roman" w:cs="Times New Roman"/>
        </w:rPr>
        <w:t xml:space="preserve"> which is preempted by the ADA. However, the breach-of-contract claim was permitted because terms and conditions airlines offer and passengers accept are privately ordered obligations and do not amount to a </w:t>
      </w:r>
      <w:r w:rsidR="007F73F4">
        <w:rPr>
          <w:rFonts w:ascii="Times New Roman" w:hAnsi="Times New Roman" w:cs="Times New Roman"/>
        </w:rPr>
        <w:t>s</w:t>
      </w:r>
      <w:r w:rsidR="00E041DC">
        <w:rPr>
          <w:rFonts w:ascii="Times New Roman" w:hAnsi="Times New Roman" w:cs="Times New Roman"/>
        </w:rPr>
        <w:t>tate’s enactment or enforcement of any law, rule, regulation, standard, or other provision having the force and effect of law within the meaning of the ADA.</w:t>
      </w:r>
    </w:p>
    <w:p w14:paraId="49EED230" w14:textId="408FD777" w:rsidR="00386F05" w:rsidRDefault="00386F05" w:rsidP="004E26B8">
      <w:pPr>
        <w:rPr>
          <w:rFonts w:ascii="Times New Roman" w:hAnsi="Times New Roman" w:cs="Times New Roman"/>
        </w:rPr>
      </w:pPr>
    </w:p>
    <w:p w14:paraId="50F92DC5" w14:textId="77777777" w:rsidR="00E041DC" w:rsidRDefault="00E041DC" w:rsidP="004E26B8">
      <w:pPr>
        <w:rPr>
          <w:rFonts w:ascii="Times New Roman" w:hAnsi="Times New Roman" w:cs="Times New Roman"/>
        </w:rPr>
      </w:pPr>
    </w:p>
    <w:p w14:paraId="4F1E9DC3" w14:textId="44CA8EE9" w:rsidR="006004E4" w:rsidRPr="00C33EC5" w:rsidRDefault="008568E3" w:rsidP="0045067F">
      <w:pPr>
        <w:rPr>
          <w:rFonts w:ascii="Times New Roman" w:hAnsi="Times New Roman" w:cs="Times New Roman"/>
        </w:rPr>
      </w:pPr>
      <w:r>
        <w:rPr>
          <w:rFonts w:ascii="Times New Roman" w:hAnsi="Times New Roman" w:cs="Times New Roman"/>
        </w:rPr>
        <w:t xml:space="preserve">Massachusetts: </w:t>
      </w:r>
      <w:r w:rsidR="0045067F" w:rsidRPr="00C33EC5">
        <w:rPr>
          <w:rFonts w:ascii="Times New Roman" w:hAnsi="Times New Roman" w:cs="Times New Roman"/>
          <w:i/>
          <w:iCs/>
        </w:rPr>
        <w:t>Building &amp; Constr. Trades Council v. Associated Builders &amp; Contractors of Mass./R. I., Inc.</w:t>
      </w:r>
      <w:r w:rsidR="0045067F" w:rsidRPr="00C33EC5">
        <w:rPr>
          <w:rFonts w:ascii="Times New Roman" w:hAnsi="Times New Roman" w:cs="Times New Roman"/>
        </w:rPr>
        <w:t>, 507 U.S. 218, 233 (1993)</w:t>
      </w:r>
      <w:r w:rsidR="006004E4" w:rsidRPr="00C33EC5">
        <w:rPr>
          <w:rFonts w:ascii="Times New Roman" w:hAnsi="Times New Roman" w:cs="Times New Roman"/>
        </w:rPr>
        <w:t>.</w:t>
      </w:r>
    </w:p>
    <w:p w14:paraId="67098FD3" w14:textId="1AFE1161" w:rsidR="00044A25" w:rsidRPr="00C33EC5" w:rsidRDefault="00CB2188" w:rsidP="00044A25">
      <w:pPr>
        <w:rPr>
          <w:rFonts w:ascii="Times New Roman" w:hAnsi="Times New Roman" w:cs="Times New Roman"/>
        </w:rPr>
      </w:pPr>
      <w:r>
        <w:rPr>
          <w:rFonts w:ascii="Times New Roman" w:hAnsi="Times New Roman" w:cs="Times New Roman"/>
        </w:rPr>
        <w:t xml:space="preserve">The </w:t>
      </w:r>
      <w:r w:rsidR="00004200" w:rsidRPr="00004200">
        <w:rPr>
          <w:rFonts w:ascii="Times New Roman" w:hAnsi="Times New Roman" w:cs="Times New Roman"/>
        </w:rPr>
        <w:t>Massachusetts Water Resources Authority</w:t>
      </w:r>
      <w:r w:rsidR="00004200">
        <w:rPr>
          <w:rFonts w:ascii="Times New Roman" w:hAnsi="Times New Roman" w:cs="Times New Roman"/>
        </w:rPr>
        <w:t xml:space="preserve"> (</w:t>
      </w:r>
      <w:r w:rsidR="00044A25" w:rsidRPr="00C33EC5">
        <w:rPr>
          <w:rFonts w:ascii="Times New Roman" w:hAnsi="Times New Roman" w:cs="Times New Roman"/>
        </w:rPr>
        <w:t>MWRA</w:t>
      </w:r>
      <w:r w:rsidR="00004200">
        <w:rPr>
          <w:rFonts w:ascii="Times New Roman" w:hAnsi="Times New Roman" w:cs="Times New Roman"/>
        </w:rPr>
        <w:t>)</w:t>
      </w:r>
      <w:r w:rsidR="00163655">
        <w:rPr>
          <w:rFonts w:ascii="Times New Roman" w:hAnsi="Times New Roman" w:cs="Times New Roman"/>
        </w:rPr>
        <w:t xml:space="preserve"> </w:t>
      </w:r>
      <w:r w:rsidR="00044A25" w:rsidRPr="00C33EC5">
        <w:rPr>
          <w:rFonts w:ascii="Times New Roman" w:hAnsi="Times New Roman" w:cs="Times New Roman"/>
        </w:rPr>
        <w:t xml:space="preserve">had the primary responsibility </w:t>
      </w:r>
      <w:r>
        <w:rPr>
          <w:rFonts w:ascii="Times New Roman" w:hAnsi="Times New Roman" w:cs="Times New Roman"/>
        </w:rPr>
        <w:t>for</w:t>
      </w:r>
      <w:r w:rsidR="00044A25" w:rsidRPr="00C33EC5">
        <w:rPr>
          <w:rFonts w:ascii="Times New Roman" w:hAnsi="Times New Roman" w:cs="Times New Roman"/>
        </w:rPr>
        <w:t xml:space="preserve"> a </w:t>
      </w:r>
      <w:r>
        <w:rPr>
          <w:rFonts w:ascii="Times New Roman" w:hAnsi="Times New Roman" w:cs="Times New Roman"/>
        </w:rPr>
        <w:t xml:space="preserve">harbor clean-up </w:t>
      </w:r>
      <w:r w:rsidR="00044A25" w:rsidRPr="00C33EC5">
        <w:rPr>
          <w:rFonts w:ascii="Times New Roman" w:hAnsi="Times New Roman" w:cs="Times New Roman"/>
        </w:rPr>
        <w:t>project</w:t>
      </w:r>
      <w:r>
        <w:rPr>
          <w:rFonts w:ascii="Times New Roman" w:hAnsi="Times New Roman" w:cs="Times New Roman"/>
        </w:rPr>
        <w:t>.</w:t>
      </w:r>
      <w:r w:rsidR="00044A25" w:rsidRPr="00C33EC5">
        <w:rPr>
          <w:rFonts w:ascii="Times New Roman" w:hAnsi="Times New Roman" w:cs="Times New Roman"/>
        </w:rPr>
        <w:t xml:space="preserve"> MWRA was to provide the funds for construction, own the sewage treatment facility to be built, establish all bid conditions, decide all contract awards, pay all contractors, and supervise the project. MWRA negotiated with the Building and Construction Trade Council to carry out the project. </w:t>
      </w:r>
      <w:r w:rsidR="001A6D35">
        <w:rPr>
          <w:rFonts w:ascii="Times New Roman" w:hAnsi="Times New Roman" w:cs="Times New Roman"/>
        </w:rPr>
        <w:t>The Associated Builders and Contractors challenged the bid specifications on the project as preempted by federal law.</w:t>
      </w:r>
      <w:r w:rsidR="00620BCB">
        <w:rPr>
          <w:rFonts w:ascii="Times New Roman" w:hAnsi="Times New Roman" w:cs="Times New Roman"/>
        </w:rPr>
        <w:t xml:space="preserve"> The court found that MWRA was attempting to ensure an efficient project that would be completed as quickly and effectively as possible. The bid specification constituted proprietary conduct on the part of Massachusetts. Further, the MWRA was acting as a purchaser of construction services,</w:t>
      </w:r>
      <w:r w:rsidR="00A85E30">
        <w:rPr>
          <w:rFonts w:ascii="Times New Roman" w:hAnsi="Times New Roman" w:cs="Times New Roman"/>
        </w:rPr>
        <w:t xml:space="preserve"> acting</w:t>
      </w:r>
      <w:r w:rsidR="00620BCB">
        <w:rPr>
          <w:rFonts w:ascii="Times New Roman" w:hAnsi="Times New Roman" w:cs="Times New Roman"/>
        </w:rPr>
        <w:t xml:space="preserve"> as a private contractor would act, and used conditions authorized by Congress</w:t>
      </w:r>
      <w:r w:rsidR="00A85E30">
        <w:rPr>
          <w:rFonts w:ascii="Times New Roman" w:hAnsi="Times New Roman" w:cs="Times New Roman"/>
        </w:rPr>
        <w:t xml:space="preserve">; thus, </w:t>
      </w:r>
      <w:r w:rsidR="00620BCB">
        <w:rPr>
          <w:rFonts w:ascii="Times New Roman" w:hAnsi="Times New Roman" w:cs="Times New Roman"/>
        </w:rPr>
        <w:t xml:space="preserve">it </w:t>
      </w:r>
      <w:r w:rsidR="00A85E30">
        <w:rPr>
          <w:rFonts w:ascii="Times New Roman" w:hAnsi="Times New Roman" w:cs="Times New Roman"/>
        </w:rPr>
        <w:t>wa</w:t>
      </w:r>
      <w:r w:rsidR="00620BCB">
        <w:rPr>
          <w:rFonts w:ascii="Times New Roman" w:hAnsi="Times New Roman" w:cs="Times New Roman"/>
        </w:rPr>
        <w:t xml:space="preserve">s not regulating the workings of the market forces. </w:t>
      </w:r>
      <w:r w:rsidR="001A6D35">
        <w:rPr>
          <w:rFonts w:ascii="Times New Roman" w:hAnsi="Times New Roman" w:cs="Times New Roman"/>
        </w:rPr>
        <w:t xml:space="preserve">  </w:t>
      </w:r>
      <w:r w:rsidR="00044A25" w:rsidRPr="00C33EC5">
        <w:rPr>
          <w:rFonts w:ascii="Times New Roman" w:hAnsi="Times New Roman" w:cs="Times New Roman"/>
        </w:rPr>
        <w:t xml:space="preserve">The court stated that MWRA’s bid specification should not be preempted unless it conflicts with federal law or would frustrate the federal scheme or unless Congress sought to occupy the field to the exclusion of the States. </w:t>
      </w:r>
    </w:p>
    <w:p w14:paraId="751D26C1" w14:textId="77777777" w:rsidR="00044A25" w:rsidRPr="00C33EC5" w:rsidRDefault="00044A25" w:rsidP="0045067F">
      <w:pPr>
        <w:rPr>
          <w:rFonts w:ascii="Times New Roman" w:hAnsi="Times New Roman" w:cs="Times New Roman"/>
        </w:rPr>
      </w:pPr>
    </w:p>
    <w:p w14:paraId="57208FE2" w14:textId="146E90B8" w:rsidR="006004E4" w:rsidRPr="00C33EC5" w:rsidRDefault="00D87EE9" w:rsidP="0045067F">
      <w:pPr>
        <w:rPr>
          <w:rFonts w:ascii="Times New Roman" w:hAnsi="Times New Roman" w:cs="Times New Roman"/>
          <w:i/>
          <w:iCs/>
        </w:rPr>
      </w:pPr>
      <w:r>
        <w:rPr>
          <w:rFonts w:ascii="Times New Roman" w:eastAsia="Times New Roman" w:hAnsi="Times New Roman" w:cs="Times New Roman"/>
        </w:rPr>
        <w:t>West Virginia</w:t>
      </w:r>
      <w:r w:rsidR="008568E3">
        <w:rPr>
          <w:rFonts w:ascii="Times New Roman" w:eastAsia="Times New Roman" w:hAnsi="Times New Roman" w:cs="Times New Roman"/>
        </w:rPr>
        <w:t xml:space="preserve">: </w:t>
      </w:r>
      <w:r w:rsidR="006277BC" w:rsidRPr="00C33EC5">
        <w:rPr>
          <w:rFonts w:ascii="Times New Roman" w:eastAsia="Times New Roman" w:hAnsi="Times New Roman" w:cs="Times New Roman"/>
          <w:i/>
          <w:iCs/>
        </w:rPr>
        <w:t>Air Evac EMS, Inc. v. Cheatham</w:t>
      </w:r>
      <w:r w:rsidR="006277BC" w:rsidRPr="00C33EC5">
        <w:rPr>
          <w:rFonts w:ascii="Times New Roman" w:eastAsia="Times New Roman" w:hAnsi="Times New Roman" w:cs="Times New Roman"/>
        </w:rPr>
        <w:t>, 910 F.3d, 751 769 (4</w:t>
      </w:r>
      <w:r w:rsidR="006277BC" w:rsidRPr="00C33EC5">
        <w:rPr>
          <w:rFonts w:ascii="Times New Roman" w:eastAsia="Times New Roman" w:hAnsi="Times New Roman" w:cs="Times New Roman"/>
          <w:vertAlign w:val="superscript"/>
        </w:rPr>
        <w:t>th</w:t>
      </w:r>
      <w:r w:rsidR="006277BC" w:rsidRPr="00C33EC5">
        <w:rPr>
          <w:rFonts w:ascii="Times New Roman" w:eastAsia="Times New Roman" w:hAnsi="Times New Roman" w:cs="Times New Roman"/>
        </w:rPr>
        <w:t xml:space="preserve"> Cir. 2018)</w:t>
      </w:r>
      <w:r w:rsidR="002B0522">
        <w:rPr>
          <w:rFonts w:ascii="Times New Roman" w:eastAsia="Times New Roman" w:hAnsi="Times New Roman" w:cs="Times New Roman"/>
        </w:rPr>
        <w:t>.</w:t>
      </w:r>
    </w:p>
    <w:p w14:paraId="3AFC320A" w14:textId="7FB52A91" w:rsidR="00044A25" w:rsidRPr="002B0522" w:rsidRDefault="00021002" w:rsidP="0045067F">
      <w:pPr>
        <w:rPr>
          <w:rFonts w:ascii="Times New Roman" w:hAnsi="Times New Roman" w:cs="Times New Roman"/>
        </w:rPr>
      </w:pPr>
      <w:r w:rsidRPr="00C33EC5">
        <w:rPr>
          <w:rFonts w:ascii="Times New Roman" w:hAnsi="Times New Roman" w:cs="Times New Roman"/>
        </w:rPr>
        <w:t xml:space="preserve">Air Evac </w:t>
      </w:r>
      <w:r w:rsidR="00FF1848">
        <w:rPr>
          <w:rFonts w:ascii="Times New Roman" w:hAnsi="Times New Roman" w:cs="Times New Roman"/>
        </w:rPr>
        <w:t xml:space="preserve">EMS </w:t>
      </w:r>
      <w:r>
        <w:rPr>
          <w:rFonts w:ascii="Times New Roman" w:hAnsi="Times New Roman" w:cs="Times New Roman"/>
        </w:rPr>
        <w:t>sued</w:t>
      </w:r>
      <w:r w:rsidRPr="00C33EC5">
        <w:rPr>
          <w:rFonts w:ascii="Times New Roman" w:hAnsi="Times New Roman" w:cs="Times New Roman"/>
        </w:rPr>
        <w:t xml:space="preserve"> arguing that West Virginia statutes setting reimbursement rates for air ambulance services regarding workers’ compensation claims, refusing to pay for certain services, and prohibiting direct billing to patients were preempted by federal law and violated </w:t>
      </w:r>
      <w:r>
        <w:rPr>
          <w:rFonts w:ascii="Times New Roman" w:hAnsi="Times New Roman" w:cs="Times New Roman"/>
        </w:rPr>
        <w:t>the C</w:t>
      </w:r>
      <w:r w:rsidRPr="00C33EC5">
        <w:rPr>
          <w:rFonts w:ascii="Times New Roman" w:hAnsi="Times New Roman" w:cs="Times New Roman"/>
        </w:rPr>
        <w:t xml:space="preserve">ontracts </w:t>
      </w:r>
      <w:r>
        <w:rPr>
          <w:rFonts w:ascii="Times New Roman" w:hAnsi="Times New Roman" w:cs="Times New Roman"/>
        </w:rPr>
        <w:t>C</w:t>
      </w:r>
      <w:r w:rsidRPr="00C33EC5">
        <w:rPr>
          <w:rFonts w:ascii="Times New Roman" w:hAnsi="Times New Roman" w:cs="Times New Roman"/>
        </w:rPr>
        <w:t xml:space="preserve">lause. The ADA’s preemption clause expressly </w:t>
      </w:r>
      <w:r>
        <w:rPr>
          <w:rFonts w:ascii="Times New Roman" w:hAnsi="Times New Roman" w:cs="Times New Roman"/>
        </w:rPr>
        <w:t>provides</w:t>
      </w:r>
      <w:r w:rsidRPr="00C33EC5">
        <w:rPr>
          <w:rFonts w:ascii="Times New Roman" w:hAnsi="Times New Roman" w:cs="Times New Roman"/>
        </w:rPr>
        <w:t xml:space="preserve"> a state may not enact, enforce a law, regulation or other provision having the force and effect of law related to the price, route, or service of an air carrier that may provide air transportation under this subpart.</w:t>
      </w:r>
      <w:r>
        <w:rPr>
          <w:rFonts w:ascii="Times New Roman" w:hAnsi="Times New Roman" w:cs="Times New Roman"/>
        </w:rPr>
        <w:t xml:space="preserve"> </w:t>
      </w:r>
      <w:r w:rsidR="00D70F9C">
        <w:rPr>
          <w:rFonts w:ascii="Times New Roman" w:hAnsi="Times New Roman" w:cs="Times New Roman"/>
        </w:rPr>
        <w:t>Here</w:t>
      </w:r>
      <w:r w:rsidR="00CD1C8D">
        <w:rPr>
          <w:rFonts w:ascii="Times New Roman" w:hAnsi="Times New Roman" w:cs="Times New Roman"/>
        </w:rPr>
        <w:t>, the court found that West Virginia did not act as a private insurer in its regulation of the air ambulance market; it used its coercive power that only sovereigns possess to achieve its goal. The court found that the statute did not establish a voluntary contractual relationship, if a company objected it faced the prospect of enforcement actions against them. If West Virginia does want to bargain for lower payments to air ambulance companies</w:t>
      </w:r>
      <w:r w:rsidR="00900806">
        <w:rPr>
          <w:rFonts w:ascii="Times New Roman" w:hAnsi="Times New Roman" w:cs="Times New Roman"/>
        </w:rPr>
        <w:t>,</w:t>
      </w:r>
      <w:r w:rsidR="00CD1C8D">
        <w:rPr>
          <w:rFonts w:ascii="Times New Roman" w:hAnsi="Times New Roman" w:cs="Times New Roman"/>
        </w:rPr>
        <w:t xml:space="preserve"> it would need to use </w:t>
      </w:r>
      <w:r w:rsidR="00AB0CC0">
        <w:rPr>
          <w:rFonts w:ascii="Times New Roman" w:hAnsi="Times New Roman" w:cs="Times New Roman"/>
        </w:rPr>
        <w:t>its</w:t>
      </w:r>
      <w:r w:rsidR="00CD1C8D">
        <w:rPr>
          <w:rFonts w:ascii="Times New Roman" w:hAnsi="Times New Roman" w:cs="Times New Roman"/>
        </w:rPr>
        <w:t xml:space="preserve"> market power and not its own unique coercive authority to drive the negotiation. </w:t>
      </w:r>
    </w:p>
    <w:p w14:paraId="490DD84E" w14:textId="77777777" w:rsidR="000C0484" w:rsidRDefault="000C0484" w:rsidP="000C0484">
      <w:pPr>
        <w:rPr>
          <w:rFonts w:ascii="Times New Roman" w:hAnsi="Times New Roman" w:cs="Times New Roman"/>
          <w:i/>
          <w:iCs/>
          <w:highlight w:val="yellow"/>
        </w:rPr>
      </w:pPr>
    </w:p>
    <w:p w14:paraId="13107ED6" w14:textId="0B5BC271" w:rsidR="000C0484" w:rsidRPr="00C33EC5" w:rsidRDefault="008568E3" w:rsidP="000C0484">
      <w:pPr>
        <w:rPr>
          <w:rFonts w:ascii="Times New Roman" w:hAnsi="Times New Roman" w:cs="Times New Roman"/>
        </w:rPr>
      </w:pPr>
      <w:r>
        <w:rPr>
          <w:rFonts w:ascii="Times New Roman" w:hAnsi="Times New Roman" w:cs="Times New Roman"/>
        </w:rPr>
        <w:t xml:space="preserve">Texas: </w:t>
      </w:r>
      <w:r w:rsidR="000C0484" w:rsidRPr="00C33EC5">
        <w:rPr>
          <w:rFonts w:ascii="Times New Roman" w:hAnsi="Times New Roman" w:cs="Times New Roman"/>
          <w:i/>
          <w:iCs/>
        </w:rPr>
        <w:t>Cardinal Towing &amp; Auto Repaid, Inc. v. City of Beford Tex.</w:t>
      </w:r>
      <w:r w:rsidR="000C0484" w:rsidRPr="00C33EC5">
        <w:rPr>
          <w:rFonts w:ascii="Times New Roman" w:hAnsi="Times New Roman" w:cs="Times New Roman"/>
        </w:rPr>
        <w:t>, 180 F.3d 686, 693 (5</w:t>
      </w:r>
      <w:r w:rsidR="000C0484" w:rsidRPr="00C33EC5">
        <w:rPr>
          <w:rFonts w:ascii="Times New Roman" w:hAnsi="Times New Roman" w:cs="Times New Roman"/>
          <w:vertAlign w:val="superscript"/>
        </w:rPr>
        <w:t>th</w:t>
      </w:r>
      <w:r w:rsidR="000C0484" w:rsidRPr="00C33EC5">
        <w:rPr>
          <w:rFonts w:ascii="Times New Roman" w:hAnsi="Times New Roman" w:cs="Times New Roman"/>
        </w:rPr>
        <w:t xml:space="preserve"> Cir. 1999)</w:t>
      </w:r>
    </w:p>
    <w:p w14:paraId="3972B4A0" w14:textId="483FE77B" w:rsidR="00E45872" w:rsidRPr="00AE2D42" w:rsidRDefault="00E45872" w:rsidP="000C0484">
      <w:pPr>
        <w:rPr>
          <w:rFonts w:ascii="Times New Roman" w:hAnsi="Times New Roman" w:cs="Times New Roman"/>
        </w:rPr>
      </w:pPr>
      <w:r w:rsidRPr="00C33EC5">
        <w:rPr>
          <w:rFonts w:ascii="Times New Roman" w:hAnsi="Times New Roman" w:cs="Times New Roman"/>
        </w:rPr>
        <w:t xml:space="preserve">A towing company that was an unsuccessful bidder on a contract to provide towing services brought an action against the City of Bedford </w:t>
      </w:r>
      <w:r w:rsidR="008B0AF5">
        <w:rPr>
          <w:rFonts w:ascii="Times New Roman" w:hAnsi="Times New Roman" w:cs="Times New Roman"/>
        </w:rPr>
        <w:t>claiming</w:t>
      </w:r>
      <w:r w:rsidRPr="00C33EC5">
        <w:rPr>
          <w:rFonts w:ascii="Times New Roman" w:hAnsi="Times New Roman" w:cs="Times New Roman"/>
        </w:rPr>
        <w:t xml:space="preserve"> that the </w:t>
      </w:r>
      <w:r w:rsidR="008B0AF5">
        <w:rPr>
          <w:rFonts w:ascii="Times New Roman" w:hAnsi="Times New Roman" w:cs="Times New Roman"/>
        </w:rPr>
        <w:t xml:space="preserve">city’s </w:t>
      </w:r>
      <w:r w:rsidRPr="00C33EC5">
        <w:rPr>
          <w:rFonts w:ascii="Times New Roman" w:hAnsi="Times New Roman" w:cs="Times New Roman"/>
        </w:rPr>
        <w:t xml:space="preserve">contracting ordinance was preempted. Cardinal </w:t>
      </w:r>
      <w:r w:rsidR="00EB4F21">
        <w:rPr>
          <w:rFonts w:ascii="Times New Roman" w:hAnsi="Times New Roman" w:cs="Times New Roman"/>
        </w:rPr>
        <w:t>T</w:t>
      </w:r>
      <w:r w:rsidRPr="00C33EC5">
        <w:rPr>
          <w:rFonts w:ascii="Times New Roman" w:hAnsi="Times New Roman" w:cs="Times New Roman"/>
        </w:rPr>
        <w:t xml:space="preserve">owing claimed that the ordinance and contract awarded constituted regulation or a provision having the force and effect of law governing ground transportation and is thus barred under the express preemption clause contained in 49 USC 14501(c). </w:t>
      </w:r>
      <w:r w:rsidR="001C2C93">
        <w:rPr>
          <w:rFonts w:ascii="Times New Roman" w:hAnsi="Times New Roman" w:cs="Times New Roman"/>
        </w:rPr>
        <w:t>T</w:t>
      </w:r>
      <w:r w:rsidR="00CD1C8D">
        <w:rPr>
          <w:rFonts w:ascii="Times New Roman" w:hAnsi="Times New Roman" w:cs="Times New Roman"/>
        </w:rPr>
        <w:t>he court found th</w:t>
      </w:r>
      <w:r w:rsidR="00620BCB">
        <w:rPr>
          <w:rFonts w:ascii="Times New Roman" w:hAnsi="Times New Roman" w:cs="Times New Roman"/>
        </w:rPr>
        <w:t>e ordinance and contract specifications were designed only to procure services the city needed</w:t>
      </w:r>
      <w:r w:rsidR="00960CCF">
        <w:rPr>
          <w:rFonts w:ascii="Times New Roman" w:hAnsi="Times New Roman" w:cs="Times New Roman"/>
        </w:rPr>
        <w:t>,</w:t>
      </w:r>
      <w:r w:rsidR="00620BCB">
        <w:rPr>
          <w:rFonts w:ascii="Times New Roman" w:hAnsi="Times New Roman" w:cs="Times New Roman"/>
        </w:rPr>
        <w:t xml:space="preserve"> not to regulate the conduct of others. The city acted as a private party that would normally </w:t>
      </w:r>
      <w:r w:rsidR="00960CCF">
        <w:rPr>
          <w:rFonts w:ascii="Times New Roman" w:hAnsi="Times New Roman" w:cs="Times New Roman"/>
        </w:rPr>
        <w:t xml:space="preserve">act when </w:t>
      </w:r>
      <w:r w:rsidR="00620BCB">
        <w:rPr>
          <w:rFonts w:ascii="Times New Roman" w:hAnsi="Times New Roman" w:cs="Times New Roman"/>
        </w:rPr>
        <w:t>seeking a towing service because the city’s ordinance and contract specifications had a connection to the city’s narrow proprietary interest in its own efficient procurement of services.</w:t>
      </w:r>
    </w:p>
    <w:p w14:paraId="549F40B5" w14:textId="77777777" w:rsidR="000C0484" w:rsidRPr="007B08D9" w:rsidRDefault="000C0484" w:rsidP="0045067F">
      <w:pPr>
        <w:rPr>
          <w:rFonts w:ascii="Times New Roman" w:hAnsi="Times New Roman" w:cs="Times New Roman"/>
          <w:i/>
          <w:iCs/>
        </w:rPr>
      </w:pPr>
    </w:p>
    <w:p w14:paraId="0BC567F5" w14:textId="530F7EBF" w:rsidR="007B08D9" w:rsidRPr="007B08D9" w:rsidRDefault="008568E3" w:rsidP="000C0484">
      <w:pPr>
        <w:rPr>
          <w:rFonts w:ascii="Times New Roman" w:hAnsi="Times New Roman" w:cs="Times New Roman"/>
        </w:rPr>
      </w:pPr>
      <w:r>
        <w:rPr>
          <w:rFonts w:ascii="Times New Roman" w:hAnsi="Times New Roman" w:cs="Times New Roman"/>
        </w:rPr>
        <w:t xml:space="preserve">Illinois: </w:t>
      </w:r>
      <w:r w:rsidR="000C0484" w:rsidRPr="007B08D9">
        <w:rPr>
          <w:rFonts w:ascii="Times New Roman" w:hAnsi="Times New Roman" w:cs="Times New Roman"/>
          <w:i/>
          <w:iCs/>
        </w:rPr>
        <w:t xml:space="preserve">Fed. </w:t>
      </w:r>
      <w:proofErr w:type="spellStart"/>
      <w:r w:rsidR="000C0484" w:rsidRPr="007B08D9">
        <w:rPr>
          <w:rFonts w:ascii="Times New Roman" w:hAnsi="Times New Roman" w:cs="Times New Roman"/>
          <w:i/>
          <w:iCs/>
        </w:rPr>
        <w:t>Hous</w:t>
      </w:r>
      <w:proofErr w:type="spellEnd"/>
      <w:r w:rsidR="000C0484" w:rsidRPr="007B08D9">
        <w:rPr>
          <w:rFonts w:ascii="Times New Roman" w:hAnsi="Times New Roman" w:cs="Times New Roman"/>
          <w:i/>
          <w:iCs/>
        </w:rPr>
        <w:t>. Fin. Agency v. City of Chicago</w:t>
      </w:r>
      <w:r w:rsidR="000C0484" w:rsidRPr="007B08D9">
        <w:rPr>
          <w:rFonts w:ascii="Times New Roman" w:hAnsi="Times New Roman" w:cs="Times New Roman"/>
        </w:rPr>
        <w:t>, 962 F. Supp. 2d 1044, 1052 (N.D. Ill. 2013)</w:t>
      </w:r>
      <w:r w:rsidR="007B08D9" w:rsidRPr="007B08D9">
        <w:rPr>
          <w:rFonts w:ascii="Times New Roman" w:hAnsi="Times New Roman" w:cs="Times New Roman"/>
        </w:rPr>
        <w:t>.</w:t>
      </w:r>
    </w:p>
    <w:p w14:paraId="38A5B16B" w14:textId="2F31D8B4" w:rsidR="000C0484" w:rsidRDefault="00FF62B8" w:rsidP="000C0484">
      <w:pPr>
        <w:rPr>
          <w:rFonts w:ascii="Times New Roman" w:hAnsi="Times New Roman" w:cs="Times New Roman"/>
          <w:highlight w:val="yellow"/>
        </w:rPr>
      </w:pPr>
      <w:r w:rsidRPr="007B08D9">
        <w:rPr>
          <w:rFonts w:ascii="Times New Roman" w:hAnsi="Times New Roman" w:cs="Times New Roman"/>
        </w:rPr>
        <w:t>Federal Housing Financing Agency (FHFA) brought suit, on its own behalf and on behalf of the Federal National Mortgage Association (Fannie Mae) and the Federal Home Loan Mortgage Corporation (Freddie Mac), challenging validity of city ordinance requiring the FHFA to file a registration statement with the city</w:t>
      </w:r>
      <w:r w:rsidRPr="00FF62B8">
        <w:rPr>
          <w:rFonts w:ascii="Times New Roman" w:hAnsi="Times New Roman" w:cs="Times New Roman"/>
        </w:rPr>
        <w:t xml:space="preserve"> for each “vacant” building for which FHFA was mortgagee, and requiring the FHFA to maintain the buildings in accordance with certain standards set forth in the ordinance. The Court </w:t>
      </w:r>
      <w:r w:rsidR="00AE2D42">
        <w:rPr>
          <w:rFonts w:ascii="Times New Roman" w:hAnsi="Times New Roman" w:cs="Times New Roman"/>
        </w:rPr>
        <w:t>found</w:t>
      </w:r>
      <w:r w:rsidRPr="00FF62B8">
        <w:rPr>
          <w:rFonts w:ascii="Times New Roman" w:hAnsi="Times New Roman" w:cs="Times New Roman"/>
        </w:rPr>
        <w:t xml:space="preserve"> that the registration fee required by the </w:t>
      </w:r>
      <w:r w:rsidR="00AC6349">
        <w:rPr>
          <w:rFonts w:ascii="Times New Roman" w:hAnsi="Times New Roman" w:cs="Times New Roman"/>
        </w:rPr>
        <w:t>o</w:t>
      </w:r>
      <w:r w:rsidRPr="00FF62B8">
        <w:rPr>
          <w:rFonts w:ascii="Times New Roman" w:hAnsi="Times New Roman" w:cs="Times New Roman"/>
        </w:rPr>
        <w:t xml:space="preserve">rdinance is an impermissible tax on the federal government, because the revenue from the registration fee “does not go to pay for some service that [the </w:t>
      </w:r>
      <w:proofErr w:type="gramStart"/>
      <w:r w:rsidRPr="00FF62B8">
        <w:rPr>
          <w:rFonts w:ascii="Times New Roman" w:hAnsi="Times New Roman" w:cs="Times New Roman"/>
        </w:rPr>
        <w:t>City</w:t>
      </w:r>
      <w:proofErr w:type="gramEnd"/>
      <w:r w:rsidRPr="00FF62B8">
        <w:rPr>
          <w:rFonts w:ascii="Times New Roman" w:hAnsi="Times New Roman" w:cs="Times New Roman"/>
        </w:rPr>
        <w:t>] renders to [FHFA], or ... to some service that is required by the existence of [FHFA].</w:t>
      </w:r>
      <w:r w:rsidR="00AC6349">
        <w:rPr>
          <w:rFonts w:ascii="Times New Roman" w:hAnsi="Times New Roman" w:cs="Times New Roman"/>
        </w:rPr>
        <w:t>”</w:t>
      </w:r>
    </w:p>
    <w:p w14:paraId="1B0E29C2" w14:textId="77777777" w:rsidR="000C0484" w:rsidRPr="000C0484" w:rsidRDefault="000C0484" w:rsidP="000C0484">
      <w:pPr>
        <w:rPr>
          <w:rFonts w:ascii="Times New Roman" w:hAnsi="Times New Roman" w:cs="Times New Roman"/>
          <w:highlight w:val="yellow"/>
        </w:rPr>
      </w:pPr>
    </w:p>
    <w:p w14:paraId="46CC41FC" w14:textId="789D69DD" w:rsidR="007B08D9" w:rsidRPr="00652D2B" w:rsidRDefault="00652D2B" w:rsidP="0045067F">
      <w:pPr>
        <w:rPr>
          <w:rFonts w:ascii="Times New Roman" w:hAnsi="Times New Roman" w:cs="Times New Roman"/>
        </w:rPr>
      </w:pPr>
      <w:r>
        <w:rPr>
          <w:rFonts w:ascii="Times New Roman" w:hAnsi="Times New Roman" w:cs="Times New Roman"/>
        </w:rPr>
        <w:lastRenderedPageBreak/>
        <w:t xml:space="preserve">California: </w:t>
      </w:r>
      <w:r w:rsidR="00221120" w:rsidRPr="00652D2B">
        <w:rPr>
          <w:rFonts w:ascii="Times New Roman" w:hAnsi="Times New Roman" w:cs="Times New Roman"/>
          <w:i/>
          <w:iCs/>
        </w:rPr>
        <w:t>Friends of the Eel River v. North Coast Railroad Authority</w:t>
      </w:r>
      <w:r w:rsidR="00221120" w:rsidRPr="00652D2B">
        <w:rPr>
          <w:rFonts w:ascii="Times New Roman" w:hAnsi="Times New Roman" w:cs="Times New Roman"/>
        </w:rPr>
        <w:t>, 399 P.3d 37, 73-74 (Cal. 2017)</w:t>
      </w:r>
      <w:r w:rsidR="007B08D9" w:rsidRPr="00652D2B">
        <w:rPr>
          <w:rFonts w:ascii="Times New Roman" w:hAnsi="Times New Roman" w:cs="Times New Roman"/>
        </w:rPr>
        <w:t>.</w:t>
      </w:r>
      <w:r w:rsidR="00221120" w:rsidRPr="00652D2B">
        <w:rPr>
          <w:rFonts w:ascii="Times New Roman" w:hAnsi="Times New Roman" w:cs="Times New Roman"/>
        </w:rPr>
        <w:t xml:space="preserve"> </w:t>
      </w:r>
    </w:p>
    <w:p w14:paraId="19CF4AFB" w14:textId="33693197" w:rsidR="00497BEC" w:rsidRPr="000C0484" w:rsidRDefault="00FF62B8" w:rsidP="0045067F">
      <w:pPr>
        <w:rPr>
          <w:rFonts w:ascii="Times New Roman" w:hAnsi="Times New Roman" w:cs="Times New Roman"/>
          <w:highlight w:val="yellow"/>
        </w:rPr>
      </w:pPr>
      <w:r w:rsidRPr="00652D2B">
        <w:rPr>
          <w:rFonts w:ascii="Times New Roman" w:hAnsi="Times New Roman" w:cs="Times New Roman"/>
        </w:rPr>
        <w:t>Two</w:t>
      </w:r>
      <w:r w:rsidRPr="00FF62B8">
        <w:rPr>
          <w:rFonts w:ascii="Times New Roman" w:hAnsi="Times New Roman" w:cs="Times New Roman"/>
        </w:rPr>
        <w:t xml:space="preserve"> environmental groups filed separate petitions for writs of mandate against a Railroad Authority, which was a state subdivision, alleging the Authority's certification of an environmental impact report (EIR) and approval of a private rail carrier's freight operations on interstate railroad tracks owned by the Authority, together with limited track repairs, violated the California Environmental Quality Act (CEQA). </w:t>
      </w:r>
      <w:r w:rsidR="00A95D09">
        <w:rPr>
          <w:rFonts w:ascii="Times New Roman" w:hAnsi="Times New Roman" w:cs="Times New Roman"/>
        </w:rPr>
        <w:t>The court noted that w</w:t>
      </w:r>
      <w:r w:rsidRPr="00FF62B8">
        <w:rPr>
          <w:rFonts w:ascii="Times New Roman" w:hAnsi="Times New Roman" w:cs="Times New Roman"/>
        </w:rPr>
        <w:t xml:space="preserve">hen CEQA conditions the issuance of a permit for private development on CEQA compliance, and thereby restricts the ability of private citizens and companies to develop their property, this seems plainly regulatory. But CEQA also operates as a form of self-government when the state or a subdivision of the state is itself the owner of the property and proposes to develop it. Application of CEQA to the public entity charged with developing state property is not classic regulatory behavior, especially when there is no encroachment on the regulatory domain of the </w:t>
      </w:r>
      <w:r w:rsidR="009F3FD0">
        <w:rPr>
          <w:rFonts w:ascii="Times New Roman" w:hAnsi="Times New Roman" w:cs="Times New Roman"/>
        </w:rPr>
        <w:t xml:space="preserve">federal </w:t>
      </w:r>
      <w:r w:rsidR="00FD468E" w:rsidRPr="00FD468E">
        <w:rPr>
          <w:rFonts w:ascii="Times New Roman" w:hAnsi="Times New Roman" w:cs="Times New Roman"/>
        </w:rPr>
        <w:t>Surface Transportation Board (STB) or inconsistency with the Interstate Commerce Commission Termination Act (ICCTA).</w:t>
      </w:r>
    </w:p>
    <w:p w14:paraId="7C778A4C" w14:textId="77777777" w:rsidR="00497BEC" w:rsidRPr="000C0484" w:rsidRDefault="00497BEC" w:rsidP="0045067F">
      <w:pPr>
        <w:rPr>
          <w:rFonts w:ascii="Times New Roman" w:hAnsi="Times New Roman" w:cs="Times New Roman"/>
          <w:i/>
          <w:iCs/>
          <w:highlight w:val="yellow"/>
        </w:rPr>
      </w:pPr>
    </w:p>
    <w:p w14:paraId="05F269FC" w14:textId="77777777" w:rsidR="00652D2B" w:rsidRDefault="002C191F" w:rsidP="002C191F">
      <w:pPr>
        <w:rPr>
          <w:rFonts w:ascii="Times New Roman" w:hAnsi="Times New Roman" w:cs="Times New Roman"/>
        </w:rPr>
      </w:pPr>
      <w:r w:rsidRPr="00C52771">
        <w:rPr>
          <w:rFonts w:ascii="Times New Roman" w:hAnsi="Times New Roman" w:cs="Times New Roman"/>
        </w:rPr>
        <w:t xml:space="preserve">Ohio: </w:t>
      </w:r>
      <w:r w:rsidRPr="00C52771">
        <w:rPr>
          <w:rFonts w:ascii="Times New Roman" w:hAnsi="Times New Roman" w:cs="Times New Roman"/>
          <w:i/>
          <w:iCs/>
        </w:rPr>
        <w:t>Sharper v. Tracy</w:t>
      </w:r>
      <w:r w:rsidRPr="00C52771">
        <w:rPr>
          <w:rFonts w:ascii="Times New Roman" w:hAnsi="Times New Roman" w:cs="Times New Roman"/>
        </w:rPr>
        <w:t>, 647 N.E.2d 550, 552 (Ohio Ct. App. 10</w:t>
      </w:r>
      <w:r w:rsidRPr="00C52771">
        <w:rPr>
          <w:rFonts w:ascii="Times New Roman" w:hAnsi="Times New Roman" w:cs="Times New Roman"/>
          <w:vertAlign w:val="superscript"/>
        </w:rPr>
        <w:t>th</w:t>
      </w:r>
      <w:r w:rsidRPr="00C52771">
        <w:rPr>
          <w:rFonts w:ascii="Times New Roman" w:hAnsi="Times New Roman" w:cs="Times New Roman"/>
        </w:rPr>
        <w:t xml:space="preserve"> District 1994)</w:t>
      </w:r>
      <w:r w:rsidR="00652D2B">
        <w:rPr>
          <w:rFonts w:ascii="Times New Roman" w:hAnsi="Times New Roman" w:cs="Times New Roman"/>
        </w:rPr>
        <w:t>.</w:t>
      </w:r>
    </w:p>
    <w:p w14:paraId="5D274C03" w14:textId="272E84B9" w:rsidR="002C191F" w:rsidRPr="00C52771" w:rsidRDefault="002C191F" w:rsidP="002C191F">
      <w:pPr>
        <w:rPr>
          <w:rFonts w:ascii="Times New Roman" w:hAnsi="Times New Roman" w:cs="Times New Roman"/>
        </w:rPr>
      </w:pPr>
      <w:r w:rsidRPr="00C52771">
        <w:rPr>
          <w:rFonts w:ascii="Times New Roman" w:hAnsi="Times New Roman" w:cs="Times New Roman"/>
        </w:rPr>
        <w:t xml:space="preserve">Taxpayer sought declaratory and injunctive relief on claim that income tax exemption for interest on obligations of only Ohio governmental entities violated commerce clause. The </w:t>
      </w:r>
      <w:r w:rsidR="008E26CD">
        <w:rPr>
          <w:rFonts w:ascii="Times New Roman" w:hAnsi="Times New Roman" w:cs="Times New Roman"/>
        </w:rPr>
        <w:t>court</w:t>
      </w:r>
      <w:r w:rsidRPr="00C52771">
        <w:rPr>
          <w:rFonts w:ascii="Times New Roman" w:hAnsi="Times New Roman" w:cs="Times New Roman"/>
        </w:rPr>
        <w:t xml:space="preserve"> held that income exemption for interest on obligations of Ohio governmental entities, but not non-Ohio governmental entities, did not violate commerce clause. “The market participant doctrine recognizes that when a sovereign acts as a consumer or vendor in commerce, its actions as a market participant are distinct from its actions as a market regulator.” “Clearly, when a state chooses to sell bonds and </w:t>
      </w:r>
      <w:proofErr w:type="gramStart"/>
      <w:r w:rsidRPr="00C52771">
        <w:rPr>
          <w:rFonts w:ascii="Times New Roman" w:hAnsi="Times New Roman" w:cs="Times New Roman"/>
        </w:rPr>
        <w:t>enter into</w:t>
      </w:r>
      <w:proofErr w:type="gramEnd"/>
      <w:r w:rsidRPr="00C52771">
        <w:rPr>
          <w:rFonts w:ascii="Times New Roman" w:hAnsi="Times New Roman" w:cs="Times New Roman"/>
        </w:rPr>
        <w:t xml:space="preserve"> the securities market, it is acting as a market participant. However, when a state chooses to tax its citizens, it is acting as a market regulator.”</w:t>
      </w:r>
    </w:p>
    <w:p w14:paraId="479BEF99" w14:textId="77777777" w:rsidR="002C191F" w:rsidRPr="00C52771" w:rsidRDefault="002C191F" w:rsidP="002C191F">
      <w:pPr>
        <w:rPr>
          <w:rFonts w:ascii="Times New Roman" w:hAnsi="Times New Roman" w:cs="Times New Roman"/>
        </w:rPr>
      </w:pPr>
    </w:p>
    <w:p w14:paraId="1D88BDC6" w14:textId="77777777" w:rsidR="00F362D1" w:rsidRDefault="002C191F" w:rsidP="002C191F">
      <w:pPr>
        <w:rPr>
          <w:rFonts w:ascii="Times New Roman" w:hAnsi="Times New Roman" w:cs="Times New Roman"/>
        </w:rPr>
      </w:pPr>
      <w:r w:rsidRPr="00C52771">
        <w:rPr>
          <w:rFonts w:ascii="Times New Roman" w:hAnsi="Times New Roman" w:cs="Times New Roman"/>
        </w:rPr>
        <w:t xml:space="preserve">Pennsylvania: </w:t>
      </w:r>
      <w:r w:rsidRPr="00C52771">
        <w:rPr>
          <w:rFonts w:ascii="Times New Roman" w:hAnsi="Times New Roman" w:cs="Times New Roman"/>
          <w:i/>
          <w:iCs/>
        </w:rPr>
        <w:t>Empire Sanitary Landfill, Inv. V. Com., Dept. of Environmental Resources</w:t>
      </w:r>
      <w:r w:rsidRPr="00C52771">
        <w:rPr>
          <w:rFonts w:ascii="Times New Roman" w:hAnsi="Times New Roman" w:cs="Times New Roman"/>
        </w:rPr>
        <w:t>, 645 A.2d 413, 418 (Commonwealth Court of Pennsylvania 1994)</w:t>
      </w:r>
      <w:r w:rsidR="00F362D1">
        <w:rPr>
          <w:rFonts w:ascii="Times New Roman" w:hAnsi="Times New Roman" w:cs="Times New Roman"/>
        </w:rPr>
        <w:t>.</w:t>
      </w:r>
    </w:p>
    <w:p w14:paraId="4443989F" w14:textId="16AE9272" w:rsidR="002C191F" w:rsidRPr="00C52771" w:rsidRDefault="002C191F" w:rsidP="002C191F">
      <w:pPr>
        <w:rPr>
          <w:rFonts w:ascii="Times New Roman" w:hAnsi="Times New Roman" w:cs="Times New Roman"/>
        </w:rPr>
      </w:pPr>
      <w:r w:rsidRPr="00C52771">
        <w:rPr>
          <w:rFonts w:ascii="Times New Roman" w:hAnsi="Times New Roman" w:cs="Times New Roman"/>
        </w:rPr>
        <w:t>Landfill operator and trash hauler challeng</w:t>
      </w:r>
      <w:r w:rsidR="00E85F00">
        <w:rPr>
          <w:rFonts w:ascii="Times New Roman" w:hAnsi="Times New Roman" w:cs="Times New Roman"/>
        </w:rPr>
        <w:t>ed</w:t>
      </w:r>
      <w:r w:rsidRPr="00C52771">
        <w:rPr>
          <w:rFonts w:ascii="Times New Roman" w:hAnsi="Times New Roman" w:cs="Times New Roman"/>
        </w:rPr>
        <w:t xml:space="preserve"> county waste-flow control ordinances. One of </w:t>
      </w:r>
      <w:r w:rsidR="00382C94">
        <w:rPr>
          <w:rFonts w:ascii="Times New Roman" w:hAnsi="Times New Roman" w:cs="Times New Roman"/>
        </w:rPr>
        <w:t>government’s</w:t>
      </w:r>
      <w:r w:rsidRPr="00C52771">
        <w:rPr>
          <w:rFonts w:ascii="Times New Roman" w:hAnsi="Times New Roman" w:cs="Times New Roman"/>
        </w:rPr>
        <w:t xml:space="preserve"> arguments </w:t>
      </w:r>
      <w:r w:rsidR="00382C94">
        <w:rPr>
          <w:rFonts w:ascii="Times New Roman" w:hAnsi="Times New Roman" w:cs="Times New Roman"/>
        </w:rPr>
        <w:t>wa</w:t>
      </w:r>
      <w:r w:rsidRPr="00C52771">
        <w:rPr>
          <w:rFonts w:ascii="Times New Roman" w:hAnsi="Times New Roman" w:cs="Times New Roman"/>
        </w:rPr>
        <w:t xml:space="preserve">s that this court should not conclude that the ordinance violates the Commerce Clause because such a result would place in question other contracts the state and its subdivisions </w:t>
      </w:r>
      <w:proofErr w:type="gramStart"/>
      <w:r w:rsidRPr="00C52771">
        <w:rPr>
          <w:rFonts w:ascii="Times New Roman" w:hAnsi="Times New Roman" w:cs="Times New Roman"/>
        </w:rPr>
        <w:t>enter into</w:t>
      </w:r>
      <w:proofErr w:type="gramEnd"/>
      <w:r w:rsidRPr="00C52771">
        <w:rPr>
          <w:rFonts w:ascii="Times New Roman" w:hAnsi="Times New Roman" w:cs="Times New Roman"/>
        </w:rPr>
        <w:t xml:space="preserve"> with state businesses, such as contracts for schoolbooks and equipment. In such examples, </w:t>
      </w:r>
      <w:r w:rsidR="00001064">
        <w:rPr>
          <w:rFonts w:ascii="Times New Roman" w:hAnsi="Times New Roman" w:cs="Times New Roman"/>
        </w:rPr>
        <w:t>the state</w:t>
      </w:r>
      <w:r w:rsidRPr="00C52771">
        <w:rPr>
          <w:rFonts w:ascii="Times New Roman" w:hAnsi="Times New Roman" w:cs="Times New Roman"/>
        </w:rPr>
        <w:t xml:space="preserve"> argue</w:t>
      </w:r>
      <w:r w:rsidR="00001064">
        <w:rPr>
          <w:rFonts w:ascii="Times New Roman" w:hAnsi="Times New Roman" w:cs="Times New Roman"/>
        </w:rPr>
        <w:t>d</w:t>
      </w:r>
      <w:r w:rsidRPr="00C52771">
        <w:rPr>
          <w:rFonts w:ascii="Times New Roman" w:hAnsi="Times New Roman" w:cs="Times New Roman"/>
        </w:rPr>
        <w:t xml:space="preserve">, the Commerce Clause should not be a constraint </w:t>
      </w:r>
      <w:proofErr w:type="gramStart"/>
      <w:r w:rsidRPr="00C52771">
        <w:rPr>
          <w:rFonts w:ascii="Times New Roman" w:hAnsi="Times New Roman" w:cs="Times New Roman"/>
        </w:rPr>
        <w:t>as long as</w:t>
      </w:r>
      <w:proofErr w:type="gramEnd"/>
      <w:r w:rsidRPr="00C52771">
        <w:rPr>
          <w:rFonts w:ascii="Times New Roman" w:hAnsi="Times New Roman" w:cs="Times New Roman"/>
        </w:rPr>
        <w:t xml:space="preserve"> the bidding process does not exclude out-of-state businesses. “Although Lehigh County did not apparently engage in a bidding process that excluded out-of-state landfills, the county could not implement the provisions of its contracts with the designated landfills without adopting the county ordinances at issue. Hence, the county, in </w:t>
      </w:r>
      <w:proofErr w:type="gramStart"/>
      <w:r w:rsidRPr="00C52771">
        <w:rPr>
          <w:rFonts w:ascii="Times New Roman" w:hAnsi="Times New Roman" w:cs="Times New Roman"/>
        </w:rPr>
        <w:t>entering into</w:t>
      </w:r>
      <w:proofErr w:type="gramEnd"/>
      <w:r w:rsidRPr="00C52771">
        <w:rPr>
          <w:rFonts w:ascii="Times New Roman" w:hAnsi="Times New Roman" w:cs="Times New Roman"/>
        </w:rPr>
        <w:t xml:space="preserve"> the contracts with the designated landfills, and adopting its flow control ordinances, is not acting solely as a market participant, but is acting as a regulator.” “Therefore, the market participant doctrine does not apply in this case”. </w:t>
      </w:r>
    </w:p>
    <w:p w14:paraId="7042F602" w14:textId="77777777" w:rsidR="002C191F" w:rsidRPr="00C52771" w:rsidRDefault="002C191F" w:rsidP="002C191F">
      <w:pPr>
        <w:rPr>
          <w:rFonts w:ascii="Times New Roman" w:hAnsi="Times New Roman" w:cs="Times New Roman"/>
        </w:rPr>
      </w:pPr>
    </w:p>
    <w:p w14:paraId="40AD8237" w14:textId="26DD09A9" w:rsidR="00BD6279" w:rsidRPr="005D5DC0" w:rsidRDefault="002C191F">
      <w:pPr>
        <w:rPr>
          <w:rFonts w:ascii="Times New Roman" w:hAnsi="Times New Roman" w:cs="Times New Roman"/>
        </w:rPr>
      </w:pPr>
      <w:r w:rsidRPr="00C52771">
        <w:rPr>
          <w:rFonts w:ascii="Times New Roman" w:hAnsi="Times New Roman" w:cs="Times New Roman"/>
        </w:rPr>
        <w:t xml:space="preserve">South Carolina: </w:t>
      </w:r>
      <w:r w:rsidRPr="00C52771">
        <w:rPr>
          <w:rFonts w:ascii="Times New Roman" w:hAnsi="Times New Roman" w:cs="Times New Roman"/>
          <w:i/>
          <w:iCs/>
        </w:rPr>
        <w:t>Gary Concrete Products, Inc. v. Riley</w:t>
      </w:r>
      <w:r w:rsidRPr="00C52771">
        <w:rPr>
          <w:rFonts w:ascii="Times New Roman" w:hAnsi="Times New Roman" w:cs="Times New Roman"/>
        </w:rPr>
        <w:t>, 285 S.C. 498, 503 (S.C. 1985) The appellant is a Georgia corporation which manufactures and sells reinforced concrete pipe</w:t>
      </w:r>
      <w:r w:rsidR="00E86EAE">
        <w:rPr>
          <w:rFonts w:ascii="Times New Roman" w:hAnsi="Times New Roman" w:cs="Times New Roman"/>
        </w:rPr>
        <w:t xml:space="preserve"> and was the low bidder on various state contracts; </w:t>
      </w:r>
      <w:r w:rsidRPr="00C52771">
        <w:rPr>
          <w:rFonts w:ascii="Times New Roman" w:hAnsi="Times New Roman" w:cs="Times New Roman"/>
        </w:rPr>
        <w:t xml:space="preserve">however, the </w:t>
      </w:r>
      <w:r w:rsidR="00E86EAE">
        <w:rPr>
          <w:rFonts w:ascii="Times New Roman" w:hAnsi="Times New Roman" w:cs="Times New Roman"/>
        </w:rPr>
        <w:t>s</w:t>
      </w:r>
      <w:r w:rsidRPr="00C52771">
        <w:rPr>
          <w:rFonts w:ascii="Times New Roman" w:hAnsi="Times New Roman" w:cs="Times New Roman"/>
        </w:rPr>
        <w:t xml:space="preserve">tate awarded the contracts to resident bidders as authorized by Code § 11–35–1520(9)(d) (1984). “In the instant matter, the State of South Carolina is acting as a market participant by purchasing reinforced concrete pipe. As a market participant, South Carolina can impose restrictions on itself and not run afoul of the Commerce Clause.” “South Carolina is preferring its own citizens in the purchasing process—a process which, by definition, vaults South Carolina into the marketplace as a market participant.” </w:t>
      </w:r>
    </w:p>
    <w:sectPr w:rsidR="00BD6279" w:rsidRPr="005D5DC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1F1D7" w14:textId="77777777" w:rsidR="0079276C" w:rsidRDefault="0079276C" w:rsidP="00002543">
      <w:r>
        <w:separator/>
      </w:r>
    </w:p>
  </w:endnote>
  <w:endnote w:type="continuationSeparator" w:id="0">
    <w:p w14:paraId="187E5947" w14:textId="77777777" w:rsidR="0079276C" w:rsidRDefault="0079276C" w:rsidP="0000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235240"/>
      <w:docPartObj>
        <w:docPartGallery w:val="Page Numbers (Bottom of Page)"/>
        <w:docPartUnique/>
      </w:docPartObj>
    </w:sdtPr>
    <w:sdtEndPr>
      <w:rPr>
        <w:noProof/>
      </w:rPr>
    </w:sdtEndPr>
    <w:sdtContent>
      <w:p w14:paraId="170DCE49" w14:textId="0902F5DF" w:rsidR="00FB79A0" w:rsidRDefault="00FB79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E28A85" w14:textId="77777777" w:rsidR="00FB79A0" w:rsidRDefault="00FB7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2B997" w14:textId="77777777" w:rsidR="0079276C" w:rsidRDefault="0079276C" w:rsidP="00002543">
      <w:r>
        <w:separator/>
      </w:r>
    </w:p>
  </w:footnote>
  <w:footnote w:type="continuationSeparator" w:id="0">
    <w:p w14:paraId="7FB67E06" w14:textId="77777777" w:rsidR="0079276C" w:rsidRDefault="0079276C" w:rsidP="00002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3FAC" w14:textId="63C1C456" w:rsidR="00002543" w:rsidRDefault="00002543" w:rsidP="00FB79A0">
    <w:pPr>
      <w:pStyle w:val="Header"/>
      <w:jc w:val="right"/>
    </w:pPr>
    <w:r>
      <w:t xml:space="preserve">Last Updated July </w:t>
    </w:r>
    <w:r w:rsidR="00985BFC">
      <w:t>1</w:t>
    </w:r>
    <w:r w:rsidR="00123E5D">
      <w:t>4</w:t>
    </w:r>
    <w:r>
      <w:t>, 2023</w:t>
    </w:r>
  </w:p>
  <w:p w14:paraId="0D500973" w14:textId="77777777" w:rsidR="00002543" w:rsidRDefault="000025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C5005"/>
    <w:multiLevelType w:val="hybridMultilevel"/>
    <w:tmpl w:val="C61EE19E"/>
    <w:lvl w:ilvl="0" w:tplc="6FAA65F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F8C1EF7"/>
    <w:multiLevelType w:val="hybridMultilevel"/>
    <w:tmpl w:val="3C0AD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1969436">
    <w:abstractNumId w:val="1"/>
  </w:num>
  <w:num w:numId="2" w16cid:durableId="169952928">
    <w:abstractNumId w:val="1"/>
  </w:num>
  <w:num w:numId="3" w16cid:durableId="1713189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DA1"/>
    <w:rsid w:val="00001064"/>
    <w:rsid w:val="00002543"/>
    <w:rsid w:val="00004200"/>
    <w:rsid w:val="000079BA"/>
    <w:rsid w:val="00021002"/>
    <w:rsid w:val="00023071"/>
    <w:rsid w:val="00044A25"/>
    <w:rsid w:val="00074262"/>
    <w:rsid w:val="000938C5"/>
    <w:rsid w:val="000A23F2"/>
    <w:rsid w:val="000C0484"/>
    <w:rsid w:val="000E2AD7"/>
    <w:rsid w:val="000F2F05"/>
    <w:rsid w:val="00100921"/>
    <w:rsid w:val="00107282"/>
    <w:rsid w:val="001177B9"/>
    <w:rsid w:val="00123729"/>
    <w:rsid w:val="00123E5D"/>
    <w:rsid w:val="00131E56"/>
    <w:rsid w:val="00136041"/>
    <w:rsid w:val="00155052"/>
    <w:rsid w:val="00163655"/>
    <w:rsid w:val="00193C45"/>
    <w:rsid w:val="0019413C"/>
    <w:rsid w:val="001A6D35"/>
    <w:rsid w:val="001C2C93"/>
    <w:rsid w:val="001C45C2"/>
    <w:rsid w:val="001D77E8"/>
    <w:rsid w:val="001E5CC1"/>
    <w:rsid w:val="001F135F"/>
    <w:rsid w:val="00200DAC"/>
    <w:rsid w:val="00204CDB"/>
    <w:rsid w:val="00221120"/>
    <w:rsid w:val="002244DA"/>
    <w:rsid w:val="0022799C"/>
    <w:rsid w:val="00240461"/>
    <w:rsid w:val="00242E1F"/>
    <w:rsid w:val="00251BB6"/>
    <w:rsid w:val="002B0522"/>
    <w:rsid w:val="002B51F3"/>
    <w:rsid w:val="002C191F"/>
    <w:rsid w:val="0031605B"/>
    <w:rsid w:val="00350793"/>
    <w:rsid w:val="00357037"/>
    <w:rsid w:val="0037224A"/>
    <w:rsid w:val="00382C94"/>
    <w:rsid w:val="00386F05"/>
    <w:rsid w:val="0039047B"/>
    <w:rsid w:val="003D22FC"/>
    <w:rsid w:val="004213C2"/>
    <w:rsid w:val="00423BA3"/>
    <w:rsid w:val="0045067F"/>
    <w:rsid w:val="00456338"/>
    <w:rsid w:val="00461E02"/>
    <w:rsid w:val="004639A8"/>
    <w:rsid w:val="004663F2"/>
    <w:rsid w:val="00497BEC"/>
    <w:rsid w:val="004B6685"/>
    <w:rsid w:val="004D4D88"/>
    <w:rsid w:val="004E26B8"/>
    <w:rsid w:val="00511ADF"/>
    <w:rsid w:val="00515EE6"/>
    <w:rsid w:val="00516670"/>
    <w:rsid w:val="00540DEC"/>
    <w:rsid w:val="00545B9A"/>
    <w:rsid w:val="00556D1C"/>
    <w:rsid w:val="00586E45"/>
    <w:rsid w:val="00591A30"/>
    <w:rsid w:val="005C3274"/>
    <w:rsid w:val="005D2B48"/>
    <w:rsid w:val="005D5DC0"/>
    <w:rsid w:val="005E3BD2"/>
    <w:rsid w:val="006004E4"/>
    <w:rsid w:val="00620BCB"/>
    <w:rsid w:val="006277BC"/>
    <w:rsid w:val="00632A7F"/>
    <w:rsid w:val="00652D2B"/>
    <w:rsid w:val="00656CAB"/>
    <w:rsid w:val="00680580"/>
    <w:rsid w:val="00684A29"/>
    <w:rsid w:val="006C0A5E"/>
    <w:rsid w:val="00712390"/>
    <w:rsid w:val="00717800"/>
    <w:rsid w:val="00744C45"/>
    <w:rsid w:val="00764FD2"/>
    <w:rsid w:val="00767448"/>
    <w:rsid w:val="00773152"/>
    <w:rsid w:val="0079276C"/>
    <w:rsid w:val="007B08D9"/>
    <w:rsid w:val="007B1C86"/>
    <w:rsid w:val="007D7563"/>
    <w:rsid w:val="007E28F3"/>
    <w:rsid w:val="007F73F4"/>
    <w:rsid w:val="008160FA"/>
    <w:rsid w:val="00817A13"/>
    <w:rsid w:val="008262AA"/>
    <w:rsid w:val="00836875"/>
    <w:rsid w:val="0084587C"/>
    <w:rsid w:val="00850255"/>
    <w:rsid w:val="00855561"/>
    <w:rsid w:val="008568E3"/>
    <w:rsid w:val="008A792D"/>
    <w:rsid w:val="008B0AF5"/>
    <w:rsid w:val="008C05B5"/>
    <w:rsid w:val="008C1E87"/>
    <w:rsid w:val="008D1341"/>
    <w:rsid w:val="008E26CD"/>
    <w:rsid w:val="00900806"/>
    <w:rsid w:val="0090526B"/>
    <w:rsid w:val="00911E39"/>
    <w:rsid w:val="00920A47"/>
    <w:rsid w:val="0092293F"/>
    <w:rsid w:val="00960CCF"/>
    <w:rsid w:val="009664FF"/>
    <w:rsid w:val="00974FC9"/>
    <w:rsid w:val="00985BFC"/>
    <w:rsid w:val="00991CCD"/>
    <w:rsid w:val="00994770"/>
    <w:rsid w:val="009A788D"/>
    <w:rsid w:val="009C503C"/>
    <w:rsid w:val="009D6012"/>
    <w:rsid w:val="009E576C"/>
    <w:rsid w:val="009F3FD0"/>
    <w:rsid w:val="00A320E4"/>
    <w:rsid w:val="00A653AC"/>
    <w:rsid w:val="00A85E30"/>
    <w:rsid w:val="00A95D09"/>
    <w:rsid w:val="00AB0CC0"/>
    <w:rsid w:val="00AC6349"/>
    <w:rsid w:val="00AC6E4D"/>
    <w:rsid w:val="00AC7DBB"/>
    <w:rsid w:val="00AE2D42"/>
    <w:rsid w:val="00B55D49"/>
    <w:rsid w:val="00B770DB"/>
    <w:rsid w:val="00B91CFE"/>
    <w:rsid w:val="00BD6279"/>
    <w:rsid w:val="00BF661C"/>
    <w:rsid w:val="00C05502"/>
    <w:rsid w:val="00C06313"/>
    <w:rsid w:val="00C330B7"/>
    <w:rsid w:val="00C33EC5"/>
    <w:rsid w:val="00C52771"/>
    <w:rsid w:val="00C75620"/>
    <w:rsid w:val="00C8442F"/>
    <w:rsid w:val="00CA1A63"/>
    <w:rsid w:val="00CB2188"/>
    <w:rsid w:val="00CB5967"/>
    <w:rsid w:val="00CC363C"/>
    <w:rsid w:val="00CD1C8D"/>
    <w:rsid w:val="00CE29A7"/>
    <w:rsid w:val="00CE4AE8"/>
    <w:rsid w:val="00D3628E"/>
    <w:rsid w:val="00D70F9C"/>
    <w:rsid w:val="00D71776"/>
    <w:rsid w:val="00D775B7"/>
    <w:rsid w:val="00D87EE9"/>
    <w:rsid w:val="00D901E7"/>
    <w:rsid w:val="00DA3E24"/>
    <w:rsid w:val="00DE2CC0"/>
    <w:rsid w:val="00DE54DE"/>
    <w:rsid w:val="00DE6779"/>
    <w:rsid w:val="00E041DC"/>
    <w:rsid w:val="00E056E8"/>
    <w:rsid w:val="00E24F73"/>
    <w:rsid w:val="00E36477"/>
    <w:rsid w:val="00E45872"/>
    <w:rsid w:val="00E5655B"/>
    <w:rsid w:val="00E61B87"/>
    <w:rsid w:val="00E62E12"/>
    <w:rsid w:val="00E66D19"/>
    <w:rsid w:val="00E81D31"/>
    <w:rsid w:val="00E85F00"/>
    <w:rsid w:val="00E861EB"/>
    <w:rsid w:val="00E86EAE"/>
    <w:rsid w:val="00EB192A"/>
    <w:rsid w:val="00EB4F21"/>
    <w:rsid w:val="00ED28A6"/>
    <w:rsid w:val="00ED4F9F"/>
    <w:rsid w:val="00EE2DA1"/>
    <w:rsid w:val="00F121CF"/>
    <w:rsid w:val="00F22474"/>
    <w:rsid w:val="00F25ED3"/>
    <w:rsid w:val="00F362D1"/>
    <w:rsid w:val="00FB0B51"/>
    <w:rsid w:val="00FB79A0"/>
    <w:rsid w:val="00FC6ADF"/>
    <w:rsid w:val="00FD468E"/>
    <w:rsid w:val="00FF1848"/>
    <w:rsid w:val="00FF6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CAECE"/>
  <w15:docId w15:val="{F55C0E0B-3828-42EE-9B81-FF2A630B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DA1"/>
    <w:pPr>
      <w:spacing w:after="0" w:line="240" w:lineRule="auto"/>
    </w:pPr>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6279"/>
    <w:rPr>
      <w:color w:val="0563C1"/>
      <w:u w:val="single"/>
    </w:rPr>
  </w:style>
  <w:style w:type="character" w:customStyle="1" w:styleId="costarpage">
    <w:name w:val="co_starpage"/>
    <w:basedOn w:val="DefaultParagraphFont"/>
    <w:rsid w:val="00BD6279"/>
  </w:style>
  <w:style w:type="character" w:customStyle="1" w:styleId="copinpointicon">
    <w:name w:val="co_pinpointicon"/>
    <w:basedOn w:val="DefaultParagraphFont"/>
    <w:rsid w:val="00BD6279"/>
  </w:style>
  <w:style w:type="character" w:styleId="Emphasis">
    <w:name w:val="Emphasis"/>
    <w:basedOn w:val="DefaultParagraphFont"/>
    <w:uiPriority w:val="20"/>
    <w:qFormat/>
    <w:rsid w:val="00BD6279"/>
    <w:rPr>
      <w:i/>
      <w:iCs/>
    </w:rPr>
  </w:style>
  <w:style w:type="paragraph" w:styleId="ListParagraph">
    <w:name w:val="List Paragraph"/>
    <w:basedOn w:val="Normal"/>
    <w:uiPriority w:val="34"/>
    <w:qFormat/>
    <w:rsid w:val="009664FF"/>
    <w:pPr>
      <w:ind w:left="720"/>
      <w:contextualSpacing/>
    </w:pPr>
  </w:style>
  <w:style w:type="paragraph" w:styleId="Revision">
    <w:name w:val="Revision"/>
    <w:hidden/>
    <w:uiPriority w:val="99"/>
    <w:semiHidden/>
    <w:rsid w:val="00850255"/>
    <w:pPr>
      <w:spacing w:after="0" w:line="240" w:lineRule="auto"/>
    </w:pPr>
    <w:rPr>
      <w:kern w:val="0"/>
    </w:rPr>
  </w:style>
  <w:style w:type="paragraph" w:styleId="Header">
    <w:name w:val="header"/>
    <w:basedOn w:val="Normal"/>
    <w:link w:val="HeaderChar"/>
    <w:uiPriority w:val="99"/>
    <w:unhideWhenUsed/>
    <w:rsid w:val="00002543"/>
    <w:pPr>
      <w:tabs>
        <w:tab w:val="center" w:pos="4680"/>
        <w:tab w:val="right" w:pos="9360"/>
      </w:tabs>
    </w:pPr>
  </w:style>
  <w:style w:type="character" w:customStyle="1" w:styleId="HeaderChar">
    <w:name w:val="Header Char"/>
    <w:basedOn w:val="DefaultParagraphFont"/>
    <w:link w:val="Header"/>
    <w:uiPriority w:val="99"/>
    <w:rsid w:val="00002543"/>
    <w:rPr>
      <w:kern w:val="0"/>
    </w:rPr>
  </w:style>
  <w:style w:type="paragraph" w:styleId="Footer">
    <w:name w:val="footer"/>
    <w:basedOn w:val="Normal"/>
    <w:link w:val="FooterChar"/>
    <w:uiPriority w:val="99"/>
    <w:unhideWhenUsed/>
    <w:rsid w:val="00002543"/>
    <w:pPr>
      <w:tabs>
        <w:tab w:val="center" w:pos="4680"/>
        <w:tab w:val="right" w:pos="9360"/>
      </w:tabs>
    </w:pPr>
  </w:style>
  <w:style w:type="character" w:customStyle="1" w:styleId="FooterChar">
    <w:name w:val="Footer Char"/>
    <w:basedOn w:val="DefaultParagraphFont"/>
    <w:link w:val="Footer"/>
    <w:uiPriority w:val="99"/>
    <w:rsid w:val="00002543"/>
    <w:rPr>
      <w:kern w:val="0"/>
    </w:rPr>
  </w:style>
  <w:style w:type="character" w:styleId="CommentReference">
    <w:name w:val="annotation reference"/>
    <w:basedOn w:val="DefaultParagraphFont"/>
    <w:uiPriority w:val="99"/>
    <w:semiHidden/>
    <w:unhideWhenUsed/>
    <w:rsid w:val="00B91CFE"/>
    <w:rPr>
      <w:sz w:val="16"/>
      <w:szCs w:val="16"/>
    </w:rPr>
  </w:style>
  <w:style w:type="paragraph" w:styleId="CommentText">
    <w:name w:val="annotation text"/>
    <w:basedOn w:val="Normal"/>
    <w:link w:val="CommentTextChar"/>
    <w:uiPriority w:val="99"/>
    <w:unhideWhenUsed/>
    <w:rsid w:val="00B91CFE"/>
    <w:rPr>
      <w:sz w:val="20"/>
      <w:szCs w:val="20"/>
    </w:rPr>
  </w:style>
  <w:style w:type="character" w:customStyle="1" w:styleId="CommentTextChar">
    <w:name w:val="Comment Text Char"/>
    <w:basedOn w:val="DefaultParagraphFont"/>
    <w:link w:val="CommentText"/>
    <w:uiPriority w:val="99"/>
    <w:rsid w:val="00B91CFE"/>
    <w:rPr>
      <w:kern w:val="0"/>
      <w:sz w:val="20"/>
      <w:szCs w:val="20"/>
    </w:rPr>
  </w:style>
  <w:style w:type="paragraph" w:styleId="CommentSubject">
    <w:name w:val="annotation subject"/>
    <w:basedOn w:val="CommentText"/>
    <w:next w:val="CommentText"/>
    <w:link w:val="CommentSubjectChar"/>
    <w:uiPriority w:val="99"/>
    <w:semiHidden/>
    <w:unhideWhenUsed/>
    <w:rsid w:val="00B91CFE"/>
    <w:rPr>
      <w:b/>
      <w:bCs/>
    </w:rPr>
  </w:style>
  <w:style w:type="character" w:customStyle="1" w:styleId="CommentSubjectChar">
    <w:name w:val="Comment Subject Char"/>
    <w:basedOn w:val="CommentTextChar"/>
    <w:link w:val="CommentSubject"/>
    <w:uiPriority w:val="99"/>
    <w:semiHidden/>
    <w:rsid w:val="00B91CFE"/>
    <w:rPr>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28637">
      <w:bodyDiv w:val="1"/>
      <w:marLeft w:val="0"/>
      <w:marRight w:val="0"/>
      <w:marTop w:val="0"/>
      <w:marBottom w:val="0"/>
      <w:divBdr>
        <w:top w:val="none" w:sz="0" w:space="0" w:color="auto"/>
        <w:left w:val="none" w:sz="0" w:space="0" w:color="auto"/>
        <w:bottom w:val="none" w:sz="0" w:space="0" w:color="auto"/>
        <w:right w:val="none" w:sz="0" w:space="0" w:color="auto"/>
      </w:divBdr>
    </w:div>
    <w:div w:id="657853155">
      <w:bodyDiv w:val="1"/>
      <w:marLeft w:val="0"/>
      <w:marRight w:val="0"/>
      <w:marTop w:val="0"/>
      <w:marBottom w:val="0"/>
      <w:divBdr>
        <w:top w:val="none" w:sz="0" w:space="0" w:color="auto"/>
        <w:left w:val="none" w:sz="0" w:space="0" w:color="auto"/>
        <w:bottom w:val="none" w:sz="0" w:space="0" w:color="auto"/>
        <w:right w:val="none" w:sz="0" w:space="0" w:color="auto"/>
      </w:divBdr>
    </w:div>
    <w:div w:id="710300942">
      <w:bodyDiv w:val="1"/>
      <w:marLeft w:val="0"/>
      <w:marRight w:val="0"/>
      <w:marTop w:val="0"/>
      <w:marBottom w:val="0"/>
      <w:divBdr>
        <w:top w:val="none" w:sz="0" w:space="0" w:color="auto"/>
        <w:left w:val="none" w:sz="0" w:space="0" w:color="auto"/>
        <w:bottom w:val="none" w:sz="0" w:space="0" w:color="auto"/>
        <w:right w:val="none" w:sz="0" w:space="0" w:color="auto"/>
      </w:divBdr>
    </w:div>
    <w:div w:id="1077171777">
      <w:bodyDiv w:val="1"/>
      <w:marLeft w:val="0"/>
      <w:marRight w:val="0"/>
      <w:marTop w:val="0"/>
      <w:marBottom w:val="0"/>
      <w:divBdr>
        <w:top w:val="none" w:sz="0" w:space="0" w:color="auto"/>
        <w:left w:val="none" w:sz="0" w:space="0" w:color="auto"/>
        <w:bottom w:val="none" w:sz="0" w:space="0" w:color="auto"/>
        <w:right w:val="none" w:sz="0" w:space="0" w:color="auto"/>
      </w:divBdr>
    </w:div>
    <w:div w:id="1180001664">
      <w:bodyDiv w:val="1"/>
      <w:marLeft w:val="0"/>
      <w:marRight w:val="0"/>
      <w:marTop w:val="0"/>
      <w:marBottom w:val="0"/>
      <w:divBdr>
        <w:top w:val="none" w:sz="0" w:space="0" w:color="auto"/>
        <w:left w:val="none" w:sz="0" w:space="0" w:color="auto"/>
        <w:bottom w:val="none" w:sz="0" w:space="0" w:color="auto"/>
        <w:right w:val="none" w:sz="0" w:space="0" w:color="auto"/>
      </w:divBdr>
    </w:div>
    <w:div w:id="1733506203">
      <w:bodyDiv w:val="1"/>
      <w:marLeft w:val="0"/>
      <w:marRight w:val="0"/>
      <w:marTop w:val="0"/>
      <w:marBottom w:val="0"/>
      <w:divBdr>
        <w:top w:val="none" w:sz="0" w:space="0" w:color="auto"/>
        <w:left w:val="none" w:sz="0" w:space="0" w:color="auto"/>
        <w:bottom w:val="none" w:sz="0" w:space="0" w:color="auto"/>
        <w:right w:val="none" w:sz="0" w:space="0" w:color="auto"/>
      </w:divBdr>
    </w:div>
    <w:div w:id="1734233443">
      <w:bodyDiv w:val="1"/>
      <w:marLeft w:val="0"/>
      <w:marRight w:val="0"/>
      <w:marTop w:val="0"/>
      <w:marBottom w:val="0"/>
      <w:divBdr>
        <w:top w:val="none" w:sz="0" w:space="0" w:color="auto"/>
        <w:left w:val="none" w:sz="0" w:space="0" w:color="auto"/>
        <w:bottom w:val="none" w:sz="0" w:space="0" w:color="auto"/>
        <w:right w:val="none" w:sz="0" w:space="0" w:color="auto"/>
      </w:divBdr>
    </w:div>
    <w:div w:id="1767925306">
      <w:bodyDiv w:val="1"/>
      <w:marLeft w:val="0"/>
      <w:marRight w:val="0"/>
      <w:marTop w:val="0"/>
      <w:marBottom w:val="0"/>
      <w:divBdr>
        <w:top w:val="none" w:sz="0" w:space="0" w:color="auto"/>
        <w:left w:val="none" w:sz="0" w:space="0" w:color="auto"/>
        <w:bottom w:val="none" w:sz="0" w:space="0" w:color="auto"/>
        <w:right w:val="none" w:sz="0" w:space="0" w:color="auto"/>
      </w:divBdr>
    </w:div>
    <w:div w:id="2052342676">
      <w:bodyDiv w:val="1"/>
      <w:marLeft w:val="0"/>
      <w:marRight w:val="0"/>
      <w:marTop w:val="0"/>
      <w:marBottom w:val="0"/>
      <w:divBdr>
        <w:top w:val="none" w:sz="0" w:space="0" w:color="auto"/>
        <w:left w:val="none" w:sz="0" w:space="0" w:color="auto"/>
        <w:bottom w:val="none" w:sz="0" w:space="0" w:color="auto"/>
        <w:right w:val="none" w:sz="0" w:space="0" w:color="auto"/>
      </w:divBdr>
    </w:div>
    <w:div w:id="2072534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2309</Words>
  <Characters>13165</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Patrick W</dc:creator>
  <cp:keywords/>
  <dc:description/>
  <cp:lastModifiedBy>Price, Patrick W</cp:lastModifiedBy>
  <cp:revision>2</cp:revision>
  <dcterms:created xsi:type="dcterms:W3CDTF">2023-07-14T18:39:00Z</dcterms:created>
  <dcterms:modified xsi:type="dcterms:W3CDTF">2023-07-14T18:39:00Z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b9a3256f2ff0b897cc817c72aaa61fb2beb185a5be285fbb1a6fe933f3e2064f</vt:lpwstr>
  </property>
</Properties>
</file>