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E3158" w14:textId="77777777" w:rsidR="00E54FB9" w:rsidRPr="00292F4B" w:rsidRDefault="00E54FB9" w:rsidP="00E125C7">
      <w:pPr>
        <w:spacing w:line="240" w:lineRule="auto"/>
        <w:rPr>
          <w:rFonts w:ascii="Palatino Linotype" w:hAnsi="Palatino Linotype"/>
        </w:rPr>
      </w:pPr>
      <w:bookmarkStart w:id="0" w:name="_GoBack"/>
      <w:bookmarkEnd w:id="0"/>
      <w:r w:rsidRPr="00292F4B">
        <w:rPr>
          <w:rFonts w:ascii="Palatino Linotype" w:hAnsi="Palatino Linotype"/>
        </w:rPr>
        <w:t xml:space="preserve">TO:  </w:t>
      </w:r>
      <w:r w:rsidRPr="00292F4B">
        <w:rPr>
          <w:rFonts w:ascii="Palatino Linotype" w:hAnsi="Palatino Linotype"/>
        </w:rPr>
        <w:tab/>
      </w:r>
      <w:r w:rsidRPr="00292F4B">
        <w:rPr>
          <w:rFonts w:ascii="Palatino Linotype" w:hAnsi="Palatino Linotype"/>
        </w:rPr>
        <w:tab/>
        <w:t>Indiana Public Libraries</w:t>
      </w:r>
    </w:p>
    <w:p w14:paraId="7D37E75C" w14:textId="77777777" w:rsidR="00E54FB9" w:rsidRPr="00292F4B" w:rsidRDefault="00E54FB9" w:rsidP="00E125C7">
      <w:pPr>
        <w:spacing w:line="240" w:lineRule="auto"/>
        <w:rPr>
          <w:rFonts w:ascii="Palatino Linotype" w:hAnsi="Palatino Linotype"/>
        </w:rPr>
      </w:pPr>
      <w:r w:rsidRPr="00292F4B">
        <w:rPr>
          <w:rFonts w:ascii="Palatino Linotype" w:hAnsi="Palatino Linotype"/>
        </w:rPr>
        <w:t xml:space="preserve">FROM:  </w:t>
      </w:r>
      <w:r w:rsidRPr="00292F4B">
        <w:rPr>
          <w:rFonts w:ascii="Palatino Linotype" w:hAnsi="Palatino Linotype"/>
        </w:rPr>
        <w:tab/>
        <w:t>Indiana State Library</w:t>
      </w:r>
      <w:r w:rsidR="00E125C7" w:rsidRPr="00292F4B">
        <w:rPr>
          <w:rFonts w:ascii="Palatino Linotype" w:hAnsi="Palatino Linotype"/>
        </w:rPr>
        <w:t xml:space="preserve"> </w:t>
      </w:r>
    </w:p>
    <w:p w14:paraId="64B3AA48" w14:textId="1DB41CF6" w:rsidR="00E125C7" w:rsidRPr="00292F4B" w:rsidRDefault="00E54FB9" w:rsidP="00E125C7">
      <w:pPr>
        <w:spacing w:line="240" w:lineRule="auto"/>
        <w:rPr>
          <w:rFonts w:ascii="Palatino Linotype" w:hAnsi="Palatino Linotype"/>
        </w:rPr>
      </w:pPr>
      <w:r w:rsidRPr="00292F4B">
        <w:rPr>
          <w:rFonts w:ascii="Palatino Linotype" w:hAnsi="Palatino Linotype"/>
        </w:rPr>
        <w:t xml:space="preserve">RE:  </w:t>
      </w:r>
      <w:r w:rsidRPr="00292F4B">
        <w:rPr>
          <w:rFonts w:ascii="Palatino Linotype" w:hAnsi="Palatino Linotype"/>
        </w:rPr>
        <w:tab/>
      </w:r>
      <w:r w:rsidRPr="00292F4B">
        <w:rPr>
          <w:rFonts w:ascii="Palatino Linotype" w:hAnsi="Palatino Linotype"/>
        </w:rPr>
        <w:tab/>
      </w:r>
      <w:r w:rsidR="00A92167">
        <w:rPr>
          <w:rFonts w:ascii="Palatino Linotype" w:hAnsi="Palatino Linotype"/>
        </w:rPr>
        <w:t>Families First Coronavirus Response Act (FFCRA)</w:t>
      </w:r>
    </w:p>
    <w:p w14:paraId="5B9881B8" w14:textId="4BDDC605" w:rsidR="003B1C98" w:rsidRPr="00292F4B" w:rsidRDefault="00E54FB9" w:rsidP="00702517">
      <w:pPr>
        <w:spacing w:line="240" w:lineRule="auto"/>
        <w:rPr>
          <w:rFonts w:ascii="Palatino Linotype" w:hAnsi="Palatino Linotype"/>
        </w:rPr>
      </w:pPr>
      <w:r w:rsidRPr="00292F4B">
        <w:rPr>
          <w:rFonts w:ascii="Palatino Linotype" w:hAnsi="Palatino Linotype"/>
        </w:rPr>
        <w:t xml:space="preserve">DATE:  </w:t>
      </w:r>
      <w:r w:rsidRPr="00292F4B">
        <w:rPr>
          <w:rFonts w:ascii="Palatino Linotype" w:hAnsi="Palatino Linotype"/>
        </w:rPr>
        <w:tab/>
      </w:r>
      <w:r w:rsidR="00407186" w:rsidRPr="00292F4B">
        <w:rPr>
          <w:rFonts w:ascii="Palatino Linotype" w:hAnsi="Palatino Linotype"/>
        </w:rPr>
        <w:t xml:space="preserve">March </w:t>
      </w:r>
      <w:r w:rsidR="001F2219" w:rsidRPr="00292F4B">
        <w:rPr>
          <w:rFonts w:ascii="Palatino Linotype" w:hAnsi="Palatino Linotype"/>
        </w:rPr>
        <w:t>3</w:t>
      </w:r>
      <w:r w:rsidR="00A92167">
        <w:rPr>
          <w:rFonts w:ascii="Palatino Linotype" w:hAnsi="Palatino Linotype"/>
        </w:rPr>
        <w:t>1</w:t>
      </w:r>
      <w:r w:rsidR="00407186" w:rsidRPr="00292F4B">
        <w:rPr>
          <w:rFonts w:ascii="Palatino Linotype" w:hAnsi="Palatino Linotype"/>
        </w:rPr>
        <w:t>, 2020</w:t>
      </w:r>
    </w:p>
    <w:p w14:paraId="04B54976" w14:textId="77777777" w:rsidR="00E125C7" w:rsidRPr="00292F4B" w:rsidRDefault="00E125C7" w:rsidP="00E125C7">
      <w:pPr>
        <w:pBdr>
          <w:bottom w:val="single" w:sz="12" w:space="1" w:color="auto"/>
        </w:pBdr>
        <w:spacing w:line="240" w:lineRule="auto"/>
        <w:rPr>
          <w:rFonts w:ascii="Palatino Linotype" w:hAnsi="Palatino Linotype"/>
        </w:rPr>
      </w:pPr>
    </w:p>
    <w:p w14:paraId="7A416A89" w14:textId="77777777" w:rsidR="00D20328" w:rsidRDefault="00D20328" w:rsidP="00D20328">
      <w:pPr>
        <w:pStyle w:val="Body"/>
        <w:rPr>
          <w:rFonts w:hint="eastAsia"/>
        </w:rPr>
      </w:pPr>
    </w:p>
    <w:p w14:paraId="3AA1130A" w14:textId="77777777" w:rsidR="00D20328" w:rsidRPr="00A92167" w:rsidRDefault="00D20328" w:rsidP="00D20328">
      <w:pPr>
        <w:pStyle w:val="Body"/>
        <w:rPr>
          <w:rFonts w:hint="eastAsia"/>
          <w:b/>
          <w:bCs/>
          <w:sz w:val="20"/>
          <w:szCs w:val="20"/>
        </w:rPr>
      </w:pPr>
      <w:r w:rsidRPr="00A92167">
        <w:rPr>
          <w:b/>
          <w:bCs/>
          <w:sz w:val="20"/>
          <w:szCs w:val="20"/>
          <w:lang w:val="en-US"/>
        </w:rPr>
        <w:t>OVERVIEW OF FAMILIES FIRST CORONAVIRUS RESPONSE ACT (FFCRA)</w:t>
      </w:r>
    </w:p>
    <w:p w14:paraId="5064377B" w14:textId="77777777" w:rsidR="00D20328" w:rsidRPr="00A92167" w:rsidRDefault="00D20328" w:rsidP="00D20328">
      <w:pPr>
        <w:pStyle w:val="Body"/>
        <w:rPr>
          <w:rFonts w:hint="eastAsia"/>
          <w:sz w:val="20"/>
          <w:szCs w:val="20"/>
        </w:rPr>
      </w:pPr>
    </w:p>
    <w:p w14:paraId="2FB14326" w14:textId="77777777" w:rsidR="00D20328" w:rsidRPr="00A92167" w:rsidRDefault="00D20328" w:rsidP="00D20328">
      <w:pPr>
        <w:pStyle w:val="Body"/>
        <w:rPr>
          <w:rFonts w:hint="eastAsia"/>
          <w:sz w:val="20"/>
          <w:szCs w:val="20"/>
        </w:rPr>
      </w:pPr>
      <w:r w:rsidRPr="00A92167">
        <w:rPr>
          <w:sz w:val="20"/>
          <w:szCs w:val="20"/>
          <w:lang w:val="en-US"/>
        </w:rPr>
        <w:t xml:space="preserve">The </w:t>
      </w:r>
      <w:hyperlink r:id="rId11" w:history="1">
        <w:r w:rsidRPr="005B73C5">
          <w:rPr>
            <w:rStyle w:val="Hyperlink0"/>
            <w:sz w:val="20"/>
            <w:szCs w:val="20"/>
            <w:u w:val="single"/>
            <w:lang w:val="en-US"/>
          </w:rPr>
          <w:t>Families First Coronavirus Response Act</w:t>
        </w:r>
      </w:hyperlink>
      <w:r w:rsidRPr="00A92167">
        <w:rPr>
          <w:sz w:val="20"/>
          <w:szCs w:val="20"/>
          <w:lang w:val="en-US"/>
        </w:rPr>
        <w:t xml:space="preserve"> (FFCRA or Act) requires certain employers to provide their employees with paid sick leave under the Emergency Paid Sick Leave Act and the Emergency Family and Medical Leave Expansion Act for specified reasons related to COVID-19. This document summarizes relevant provisions of the legislation, which was signed into law on March 18, 2020 and can be found at </w:t>
      </w:r>
      <w:hyperlink r:id="rId12" w:history="1">
        <w:r w:rsidRPr="005B73C5">
          <w:rPr>
            <w:rStyle w:val="Hyperlink0"/>
            <w:sz w:val="20"/>
            <w:szCs w:val="20"/>
            <w:u w:val="single"/>
            <w:lang w:val="en-US"/>
          </w:rPr>
          <w:t>https://www.congress.gov/bill/116th-congress/house-bill/6201</w:t>
        </w:r>
      </w:hyperlink>
      <w:r w:rsidRPr="00A92167">
        <w:rPr>
          <w:sz w:val="20"/>
          <w:szCs w:val="20"/>
          <w:lang w:val="en-US"/>
        </w:rPr>
        <w:t xml:space="preserve">. </w:t>
      </w:r>
    </w:p>
    <w:p w14:paraId="3E69DE00" w14:textId="77777777" w:rsidR="00D20328" w:rsidRPr="00A92167" w:rsidRDefault="00D20328" w:rsidP="00D20328">
      <w:pPr>
        <w:pStyle w:val="Body"/>
        <w:rPr>
          <w:rFonts w:hint="eastAsia"/>
          <w:sz w:val="20"/>
          <w:szCs w:val="20"/>
        </w:rPr>
      </w:pPr>
    </w:p>
    <w:p w14:paraId="7E766DA1" w14:textId="77777777" w:rsidR="00D20328" w:rsidRPr="00A92167" w:rsidRDefault="00D20328" w:rsidP="00D20328">
      <w:pPr>
        <w:pStyle w:val="Body"/>
        <w:rPr>
          <w:rFonts w:hint="eastAsia"/>
          <w:sz w:val="20"/>
          <w:szCs w:val="20"/>
        </w:rPr>
      </w:pPr>
      <w:r w:rsidRPr="00A92167">
        <w:rPr>
          <w:sz w:val="20"/>
          <w:szCs w:val="20"/>
          <w:lang w:val="de-DE"/>
        </w:rPr>
        <w:t xml:space="preserve">FFCRA </w:t>
      </w:r>
      <w:r w:rsidRPr="00A92167">
        <w:rPr>
          <w:sz w:val="20"/>
          <w:szCs w:val="20"/>
          <w:lang w:val="en-US"/>
        </w:rPr>
        <w:t>reimburses businesses with fewer than 500 employees for the cost of providing paid COVID-19 sick leave to employees by giving the business dollar for dollar tax refunds for the amount spent. The law applies to public libraries because it extends new COVID-19 related sick leave to local government entities even though local government entities are specifically excluded from the tax refund provisions. An employee can use the paid sick leave for the employee</w:t>
      </w:r>
      <w:r w:rsidRPr="00A92167">
        <w:rPr>
          <w:sz w:val="20"/>
          <w:szCs w:val="20"/>
        </w:rPr>
        <w:t>’</w:t>
      </w:r>
      <w:r w:rsidRPr="00A92167">
        <w:rPr>
          <w:sz w:val="20"/>
          <w:szCs w:val="20"/>
          <w:lang w:val="en-US"/>
        </w:rPr>
        <w:t>s own health needs or to care for family members, including caring for a child who must stay home due to COVID-19 school closure. The law</w:t>
      </w:r>
      <w:r w:rsidRPr="00A92167">
        <w:rPr>
          <w:sz w:val="20"/>
          <w:szCs w:val="20"/>
        </w:rPr>
        <w:t xml:space="preserve"> </w:t>
      </w:r>
      <w:r w:rsidRPr="00A92167">
        <w:rPr>
          <w:sz w:val="20"/>
          <w:szCs w:val="20"/>
          <w:lang w:val="en-US"/>
        </w:rPr>
        <w:t>seeks to improve public health outcomes by</w:t>
      </w:r>
      <w:r w:rsidRPr="00A92167">
        <w:rPr>
          <w:sz w:val="20"/>
          <w:szCs w:val="20"/>
          <w:lang w:val="fr-FR"/>
        </w:rPr>
        <w:t xml:space="preserve"> ensur</w:t>
      </w:r>
      <w:proofErr w:type="spellStart"/>
      <w:r w:rsidRPr="00A92167">
        <w:rPr>
          <w:sz w:val="20"/>
          <w:szCs w:val="20"/>
          <w:lang w:val="en-US"/>
        </w:rPr>
        <w:t>ing</w:t>
      </w:r>
      <w:proofErr w:type="spellEnd"/>
      <w:r w:rsidRPr="00A92167">
        <w:rPr>
          <w:sz w:val="20"/>
          <w:szCs w:val="20"/>
          <w:lang w:val="en-US"/>
        </w:rPr>
        <w:t xml:space="preserve"> that workers are not forced to choose between their paychecks and the public health measures needed to combat the corona</w:t>
      </w:r>
      <w:r w:rsidRPr="00A92167">
        <w:rPr>
          <w:sz w:val="20"/>
          <w:szCs w:val="20"/>
          <w:lang w:val="nl-NL"/>
        </w:rPr>
        <w:t>virus</w:t>
      </w:r>
      <w:r w:rsidRPr="00A92167">
        <w:rPr>
          <w:sz w:val="20"/>
          <w:szCs w:val="20"/>
          <w:lang w:val="en-US"/>
        </w:rPr>
        <w:t>.</w:t>
      </w:r>
    </w:p>
    <w:p w14:paraId="2058AC35" w14:textId="77777777" w:rsidR="00D20328" w:rsidRPr="00A92167" w:rsidRDefault="00D20328" w:rsidP="00D20328">
      <w:pPr>
        <w:pStyle w:val="Body"/>
        <w:rPr>
          <w:rFonts w:hint="eastAsia"/>
          <w:sz w:val="20"/>
          <w:szCs w:val="20"/>
        </w:rPr>
      </w:pPr>
    </w:p>
    <w:p w14:paraId="04D32455" w14:textId="77777777" w:rsidR="00D20328" w:rsidRPr="00A92167" w:rsidRDefault="00D20328" w:rsidP="00D20328">
      <w:pPr>
        <w:pStyle w:val="Body"/>
        <w:rPr>
          <w:rFonts w:hint="eastAsia"/>
          <w:sz w:val="20"/>
          <w:szCs w:val="20"/>
        </w:rPr>
      </w:pPr>
      <w:r w:rsidRPr="00A92167">
        <w:rPr>
          <w:sz w:val="20"/>
          <w:szCs w:val="20"/>
          <w:lang w:val="en-US"/>
        </w:rPr>
        <w:t xml:space="preserve">Typically, the Family Medical Leave Act (FMLA) leave provisions do not involve a pay requirement and apply to employers with over 50 employees. However, under FFCRA, the COVID-19 related leave provisions apply to employers who employ fewer than 500 people. Many small employers, who were not previously subject to FMLA if they had fewer than 50 employees, are now subject to the newly expanded emergency FFCRA/FMLA provisions. </w:t>
      </w:r>
    </w:p>
    <w:p w14:paraId="33257166" w14:textId="77777777" w:rsidR="00D20328" w:rsidRPr="00A92167" w:rsidRDefault="00D20328" w:rsidP="00D20328">
      <w:pPr>
        <w:pStyle w:val="Body"/>
        <w:rPr>
          <w:rFonts w:hint="eastAsia"/>
          <w:sz w:val="20"/>
          <w:szCs w:val="20"/>
        </w:rPr>
      </w:pPr>
    </w:p>
    <w:p w14:paraId="3E7C2973" w14:textId="77777777" w:rsidR="00D20328" w:rsidRPr="00A92167" w:rsidRDefault="00D20328" w:rsidP="00D20328">
      <w:pPr>
        <w:pStyle w:val="Body"/>
        <w:rPr>
          <w:rFonts w:hint="eastAsia"/>
          <w:sz w:val="20"/>
          <w:szCs w:val="20"/>
        </w:rPr>
      </w:pPr>
      <w:r w:rsidRPr="00A92167">
        <w:rPr>
          <w:sz w:val="20"/>
          <w:szCs w:val="20"/>
          <w:lang w:val="en-US"/>
        </w:rPr>
        <w:t xml:space="preserve">FFCRA does not create an obligation for employers to pay employees who are not able to work because the employer has closed the workplace whether due to lack of business or in compliance with a Federal, State, or local directive. The employee may, however, be eligible for unemployment insurance benefits in such situations. </w:t>
      </w:r>
    </w:p>
    <w:p w14:paraId="3C4F00FC" w14:textId="77777777" w:rsidR="00D20328" w:rsidRPr="00A92167" w:rsidRDefault="00D20328" w:rsidP="00D20328">
      <w:pPr>
        <w:pStyle w:val="Body"/>
        <w:rPr>
          <w:rFonts w:hint="eastAsia"/>
          <w:sz w:val="20"/>
          <w:szCs w:val="20"/>
        </w:rPr>
      </w:pPr>
    </w:p>
    <w:p w14:paraId="3DE5A614" w14:textId="77777777" w:rsidR="00D20328" w:rsidRPr="00A92167" w:rsidRDefault="00D20328" w:rsidP="00D20328">
      <w:pPr>
        <w:pStyle w:val="Body"/>
        <w:rPr>
          <w:rFonts w:hint="eastAsia"/>
          <w:sz w:val="20"/>
          <w:szCs w:val="20"/>
        </w:rPr>
      </w:pPr>
      <w:r w:rsidRPr="00A92167">
        <w:rPr>
          <w:sz w:val="20"/>
          <w:szCs w:val="20"/>
          <w:lang w:val="en-US"/>
        </w:rPr>
        <w:t>As libraries consider new policies to address the current public health crisis, the FFCRA provisions described below can be viewed as one approach to employee compensation that Congress has deemed reasonable. The new federal requirements, while not a model for local policies, can provide additional context to those discussions.</w:t>
      </w:r>
    </w:p>
    <w:p w14:paraId="2E2121A3" w14:textId="77777777" w:rsidR="00D20328" w:rsidRPr="00A92167" w:rsidRDefault="00D20328" w:rsidP="00D20328">
      <w:pPr>
        <w:pStyle w:val="Body"/>
        <w:rPr>
          <w:rFonts w:hint="eastAsia"/>
          <w:sz w:val="20"/>
          <w:szCs w:val="20"/>
        </w:rPr>
      </w:pPr>
    </w:p>
    <w:p w14:paraId="481431EC" w14:textId="41A4E3F9" w:rsidR="00D20328" w:rsidRPr="00A92167" w:rsidRDefault="00D20328" w:rsidP="00D20328">
      <w:pPr>
        <w:pStyle w:val="Body"/>
        <w:rPr>
          <w:rFonts w:hint="eastAsia"/>
          <w:sz w:val="20"/>
          <w:szCs w:val="20"/>
        </w:rPr>
      </w:pPr>
      <w:r w:rsidRPr="00A92167">
        <w:rPr>
          <w:sz w:val="20"/>
          <w:szCs w:val="20"/>
          <w:lang w:val="en-US"/>
        </w:rPr>
        <w:t xml:space="preserve">This document is intended to serve as a general summary of the Emergency Paid Sick Leave Act and the Emergency Family and Medical Leave Act contained in FFCRA. You must consult with your library’s attorney to determine the impact of these laws on your specific library. </w:t>
      </w:r>
      <w:r w:rsidR="008971A4">
        <w:rPr>
          <w:sz w:val="20"/>
          <w:szCs w:val="20"/>
          <w:lang w:val="en-US"/>
        </w:rPr>
        <w:t>This</w:t>
      </w:r>
      <w:r w:rsidRPr="00A92167">
        <w:rPr>
          <w:sz w:val="20"/>
          <w:szCs w:val="20"/>
          <w:lang w:val="en-US"/>
        </w:rPr>
        <w:t xml:space="preserve"> summary doesn’t attempt to </w:t>
      </w:r>
      <w:proofErr w:type="gramStart"/>
      <w:r w:rsidRPr="00A92167">
        <w:rPr>
          <w:sz w:val="20"/>
          <w:szCs w:val="20"/>
          <w:lang w:val="en-US"/>
        </w:rPr>
        <w:t>take into account</w:t>
      </w:r>
      <w:proofErr w:type="gramEnd"/>
      <w:r w:rsidRPr="00A92167">
        <w:rPr>
          <w:sz w:val="20"/>
          <w:szCs w:val="20"/>
          <w:lang w:val="en-US"/>
        </w:rPr>
        <w:t xml:space="preserve"> any details particular to your local situation, such as whether your employees participate in a collective bargaining agreement.</w:t>
      </w:r>
    </w:p>
    <w:p w14:paraId="49CBFE0E" w14:textId="25D415FE" w:rsidR="00D20328" w:rsidRDefault="00D20328" w:rsidP="00D20328">
      <w:pPr>
        <w:pStyle w:val="Body"/>
        <w:rPr>
          <w:rFonts w:hint="eastAsia"/>
          <w:sz w:val="20"/>
          <w:szCs w:val="20"/>
        </w:rPr>
      </w:pPr>
    </w:p>
    <w:p w14:paraId="545C7BD4" w14:textId="7B074396" w:rsidR="00A92167" w:rsidRDefault="00A92167" w:rsidP="00D20328">
      <w:pPr>
        <w:pStyle w:val="Body"/>
        <w:rPr>
          <w:rFonts w:hint="eastAsia"/>
          <w:sz w:val="20"/>
          <w:szCs w:val="20"/>
        </w:rPr>
      </w:pPr>
    </w:p>
    <w:p w14:paraId="60B8CDF2" w14:textId="77777777" w:rsidR="00A92167" w:rsidRPr="00A92167" w:rsidRDefault="00A92167" w:rsidP="00D20328">
      <w:pPr>
        <w:pStyle w:val="Body"/>
        <w:rPr>
          <w:rFonts w:hint="eastAsia"/>
          <w:sz w:val="20"/>
          <w:szCs w:val="20"/>
        </w:rPr>
      </w:pPr>
    </w:p>
    <w:p w14:paraId="31DE3854" w14:textId="77777777" w:rsidR="00D20328" w:rsidRPr="00A92167" w:rsidRDefault="00D20328" w:rsidP="00D20328">
      <w:pPr>
        <w:pStyle w:val="Body"/>
        <w:rPr>
          <w:rFonts w:hint="eastAsia"/>
          <w:b/>
          <w:bCs/>
          <w:sz w:val="20"/>
          <w:szCs w:val="20"/>
        </w:rPr>
      </w:pPr>
      <w:r w:rsidRPr="00A92167">
        <w:rPr>
          <w:b/>
          <w:bCs/>
          <w:sz w:val="20"/>
          <w:szCs w:val="20"/>
          <w:lang w:val="en-US"/>
        </w:rPr>
        <w:lastRenderedPageBreak/>
        <w:t>LIMITED TIME PERIOD</w:t>
      </w:r>
    </w:p>
    <w:p w14:paraId="3523AECE" w14:textId="77777777" w:rsidR="00D20328" w:rsidRPr="00A92167" w:rsidRDefault="00D20328" w:rsidP="00D20328">
      <w:pPr>
        <w:pStyle w:val="Body"/>
        <w:rPr>
          <w:rFonts w:hint="eastAsia"/>
          <w:b/>
          <w:bCs/>
          <w:sz w:val="20"/>
          <w:szCs w:val="20"/>
        </w:rPr>
      </w:pPr>
    </w:p>
    <w:p w14:paraId="34F5E8D5" w14:textId="77777777" w:rsidR="00D20328" w:rsidRPr="00A92167" w:rsidRDefault="00D20328" w:rsidP="00D20328">
      <w:pPr>
        <w:pStyle w:val="Body"/>
        <w:rPr>
          <w:rFonts w:hint="eastAsia"/>
          <w:sz w:val="20"/>
          <w:szCs w:val="20"/>
        </w:rPr>
      </w:pPr>
      <w:r w:rsidRPr="00A92167">
        <w:rPr>
          <w:sz w:val="20"/>
          <w:szCs w:val="20"/>
          <w:lang w:val="en-US"/>
        </w:rPr>
        <w:t xml:space="preserve">FFCRA takes effect April 1, 2020. It only applies to leave taken between April 1, 2020 and December 31, 2020. It does not apply retroactively. </w:t>
      </w:r>
    </w:p>
    <w:p w14:paraId="58F1FE9B" w14:textId="77777777" w:rsidR="00D20328" w:rsidRPr="00A92167" w:rsidRDefault="00D20328" w:rsidP="00D20328">
      <w:pPr>
        <w:pStyle w:val="Body"/>
        <w:rPr>
          <w:rFonts w:hint="eastAsia"/>
          <w:sz w:val="20"/>
          <w:szCs w:val="20"/>
        </w:rPr>
      </w:pPr>
    </w:p>
    <w:p w14:paraId="2F422628" w14:textId="77777777" w:rsidR="00D20328" w:rsidRPr="00A92167" w:rsidRDefault="00D20328" w:rsidP="00D20328">
      <w:pPr>
        <w:pStyle w:val="Body"/>
        <w:rPr>
          <w:rFonts w:hint="eastAsia"/>
          <w:b/>
          <w:bCs/>
          <w:sz w:val="20"/>
          <w:szCs w:val="20"/>
        </w:rPr>
      </w:pPr>
      <w:r w:rsidRPr="00A92167">
        <w:rPr>
          <w:b/>
          <w:bCs/>
          <w:sz w:val="20"/>
          <w:szCs w:val="20"/>
          <w:lang w:val="en-US"/>
        </w:rPr>
        <w:t>COVERED EMPLOYERS</w:t>
      </w:r>
    </w:p>
    <w:p w14:paraId="17BE9477" w14:textId="77777777" w:rsidR="00D20328" w:rsidRPr="00A92167" w:rsidRDefault="00D20328" w:rsidP="00D20328">
      <w:pPr>
        <w:pStyle w:val="Body"/>
        <w:rPr>
          <w:rFonts w:hint="eastAsia"/>
          <w:sz w:val="20"/>
          <w:szCs w:val="20"/>
        </w:rPr>
      </w:pPr>
    </w:p>
    <w:p w14:paraId="05525B19" w14:textId="77777777" w:rsidR="00D20328" w:rsidRPr="00A92167" w:rsidRDefault="00D20328" w:rsidP="00D20328">
      <w:pPr>
        <w:pStyle w:val="Body"/>
        <w:rPr>
          <w:rFonts w:hint="eastAsia"/>
          <w:sz w:val="20"/>
          <w:szCs w:val="20"/>
        </w:rPr>
      </w:pPr>
      <w:r w:rsidRPr="00A92167">
        <w:rPr>
          <w:sz w:val="20"/>
          <w:szCs w:val="20"/>
          <w:lang w:val="en-US"/>
        </w:rPr>
        <w:t>FFCRA applies to private employers with fewer than 500 employees and to public agencies (local governments and political subdivisions such as libraries) that employ one or more employees.</w:t>
      </w:r>
    </w:p>
    <w:p w14:paraId="437D7498" w14:textId="77777777" w:rsidR="00D20328" w:rsidRPr="00A92167" w:rsidRDefault="00D20328" w:rsidP="00D20328">
      <w:pPr>
        <w:pStyle w:val="Body"/>
        <w:rPr>
          <w:rFonts w:hint="eastAsia"/>
          <w:sz w:val="20"/>
          <w:szCs w:val="20"/>
        </w:rPr>
      </w:pPr>
    </w:p>
    <w:p w14:paraId="3EEED2FF" w14:textId="77777777" w:rsidR="00D20328" w:rsidRPr="00A92167" w:rsidRDefault="00D20328" w:rsidP="00D20328">
      <w:pPr>
        <w:pStyle w:val="Body"/>
        <w:rPr>
          <w:rFonts w:hint="eastAsia"/>
          <w:sz w:val="20"/>
          <w:szCs w:val="20"/>
        </w:rPr>
      </w:pPr>
      <w:r w:rsidRPr="00A92167">
        <w:rPr>
          <w:sz w:val="20"/>
          <w:szCs w:val="20"/>
          <w:lang w:val="en-US"/>
        </w:rPr>
        <w:t>The Secretary of Labor may issue regulations to exempt small businesses with fewer than 50 employees from the requirement to provide leave due to school closure or child care unavailability under either the Emergency Paid Sick Leave Act or the Emergency FMLA Expansion Act if the requirement would jeopardize the viability of the business as an ongoing concern. As of the date this memo was written, such regulations have not yet been issued. If an exemption is adopted, it isn’t clear whether political subdivisions, including libraries, will qualify for the exemption.</w:t>
      </w:r>
    </w:p>
    <w:p w14:paraId="6B214A10" w14:textId="77777777" w:rsidR="00D20328" w:rsidRPr="00A92167" w:rsidRDefault="00D20328" w:rsidP="00D20328">
      <w:pPr>
        <w:pStyle w:val="Body"/>
        <w:rPr>
          <w:rFonts w:hint="eastAsia"/>
          <w:sz w:val="20"/>
          <w:szCs w:val="20"/>
        </w:rPr>
      </w:pPr>
    </w:p>
    <w:p w14:paraId="77234850" w14:textId="77777777" w:rsidR="00D20328" w:rsidRPr="00A92167" w:rsidRDefault="00D20328" w:rsidP="00D20328">
      <w:pPr>
        <w:pStyle w:val="Body"/>
        <w:rPr>
          <w:rFonts w:hint="eastAsia"/>
          <w:b/>
          <w:bCs/>
          <w:sz w:val="20"/>
          <w:szCs w:val="20"/>
        </w:rPr>
      </w:pPr>
      <w:r w:rsidRPr="00A92167">
        <w:rPr>
          <w:b/>
          <w:bCs/>
          <w:sz w:val="20"/>
          <w:szCs w:val="20"/>
          <w:lang w:val="en-US"/>
        </w:rPr>
        <w:t>COVERED EMPLOYEES</w:t>
      </w:r>
    </w:p>
    <w:p w14:paraId="1F9A12AF" w14:textId="77777777" w:rsidR="00D20328" w:rsidRPr="00A92167" w:rsidRDefault="00D20328" w:rsidP="00D20328">
      <w:pPr>
        <w:pStyle w:val="Body"/>
        <w:rPr>
          <w:rFonts w:hint="eastAsia"/>
          <w:b/>
          <w:bCs/>
          <w:sz w:val="20"/>
          <w:szCs w:val="20"/>
        </w:rPr>
      </w:pPr>
    </w:p>
    <w:p w14:paraId="74CB9385" w14:textId="77777777" w:rsidR="00D20328" w:rsidRPr="00A92167" w:rsidRDefault="00D20328" w:rsidP="00D20328">
      <w:pPr>
        <w:pStyle w:val="Body"/>
        <w:rPr>
          <w:rFonts w:hint="eastAsia"/>
          <w:sz w:val="20"/>
          <w:szCs w:val="20"/>
        </w:rPr>
      </w:pPr>
      <w:r w:rsidRPr="00A92167">
        <w:rPr>
          <w:sz w:val="20"/>
          <w:szCs w:val="20"/>
          <w:lang w:val="en-US"/>
        </w:rPr>
        <w:t xml:space="preserve">Paid sick leave applies to </w:t>
      </w:r>
      <w:proofErr w:type="gramStart"/>
      <w:r w:rsidRPr="00A92167">
        <w:rPr>
          <w:sz w:val="20"/>
          <w:szCs w:val="20"/>
          <w:lang w:val="en-US"/>
        </w:rPr>
        <w:t>all of</w:t>
      </w:r>
      <w:proofErr w:type="gramEnd"/>
      <w:r w:rsidRPr="00A92167">
        <w:rPr>
          <w:sz w:val="20"/>
          <w:szCs w:val="20"/>
          <w:lang w:val="en-US"/>
        </w:rPr>
        <w:t xml:space="preserve"> a covered employer’s employees. Expanded family and medical leave applies only to employees who have worked for an employer for at least 30 days (meaning the employee has been on the employer’s payroll for at least 30 calendar days prior to starting the leave).</w:t>
      </w:r>
    </w:p>
    <w:p w14:paraId="40E74E40" w14:textId="77777777" w:rsidR="00D20328" w:rsidRPr="00A92167" w:rsidRDefault="00D20328" w:rsidP="00D20328">
      <w:pPr>
        <w:pStyle w:val="Body"/>
        <w:rPr>
          <w:rFonts w:hint="eastAsia"/>
          <w:sz w:val="20"/>
          <w:szCs w:val="20"/>
        </w:rPr>
      </w:pPr>
    </w:p>
    <w:p w14:paraId="04B1CDB0" w14:textId="77777777" w:rsidR="00D20328" w:rsidRPr="00A92167" w:rsidRDefault="00D20328" w:rsidP="00D20328">
      <w:pPr>
        <w:pStyle w:val="Body"/>
        <w:rPr>
          <w:rFonts w:hint="eastAsia"/>
          <w:b/>
          <w:bCs/>
          <w:sz w:val="20"/>
          <w:szCs w:val="20"/>
        </w:rPr>
      </w:pPr>
      <w:r w:rsidRPr="00A92167">
        <w:rPr>
          <w:b/>
          <w:bCs/>
          <w:sz w:val="20"/>
          <w:szCs w:val="20"/>
          <w:lang w:val="en-US"/>
        </w:rPr>
        <w:t>SUMMARY OF MAIN PROVISIONS</w:t>
      </w:r>
    </w:p>
    <w:p w14:paraId="342C83A6" w14:textId="77777777" w:rsidR="00D20328" w:rsidRPr="00A92167" w:rsidRDefault="00D20328" w:rsidP="00D20328">
      <w:pPr>
        <w:pStyle w:val="Body"/>
        <w:rPr>
          <w:rFonts w:hint="eastAsia"/>
          <w:sz w:val="20"/>
          <w:szCs w:val="20"/>
        </w:rPr>
      </w:pPr>
    </w:p>
    <w:p w14:paraId="2AC33F50" w14:textId="77777777" w:rsidR="00D20328" w:rsidRPr="00A92167" w:rsidRDefault="00D20328" w:rsidP="00D20328">
      <w:pPr>
        <w:pStyle w:val="Body"/>
        <w:rPr>
          <w:rFonts w:hint="eastAsia"/>
          <w:sz w:val="20"/>
          <w:szCs w:val="20"/>
        </w:rPr>
      </w:pPr>
      <w:r w:rsidRPr="00A92167">
        <w:rPr>
          <w:sz w:val="20"/>
          <w:szCs w:val="20"/>
          <w:lang w:val="en-US"/>
        </w:rPr>
        <w:t>All employees of a covered employer are allowed two weeks of paid sick leave, in addition to any other sick leave accrued under the employer’s regular personnel policies, if the employee is unable to work for one of the following reasons:</w:t>
      </w:r>
    </w:p>
    <w:p w14:paraId="1F60A8E5" w14:textId="77777777" w:rsidR="00D20328" w:rsidRPr="00A92167" w:rsidRDefault="00D20328" w:rsidP="00D20328">
      <w:pPr>
        <w:pStyle w:val="Body"/>
        <w:rPr>
          <w:rFonts w:hint="eastAsia"/>
          <w:sz w:val="20"/>
          <w:szCs w:val="20"/>
        </w:rPr>
      </w:pPr>
    </w:p>
    <w:p w14:paraId="5A3C21F2" w14:textId="77777777" w:rsidR="00D20328" w:rsidRPr="00A92167" w:rsidRDefault="00D20328" w:rsidP="00D20328">
      <w:pPr>
        <w:pStyle w:val="Body"/>
        <w:numPr>
          <w:ilvl w:val="0"/>
          <w:numId w:val="6"/>
        </w:numPr>
        <w:rPr>
          <w:rFonts w:hint="eastAsia"/>
          <w:sz w:val="20"/>
          <w:szCs w:val="20"/>
        </w:rPr>
      </w:pPr>
      <w:r w:rsidRPr="00A92167">
        <w:rPr>
          <w:sz w:val="20"/>
          <w:szCs w:val="20"/>
          <w:lang w:val="en-US"/>
        </w:rPr>
        <w:t>The employee is subject to a Federal, State, or local quarantine or isolation order related to COVID-19.</w:t>
      </w:r>
    </w:p>
    <w:p w14:paraId="4FEF2910" w14:textId="4F71E734" w:rsidR="00D20328" w:rsidRPr="00A92167" w:rsidRDefault="00D20328" w:rsidP="00D20328">
      <w:pPr>
        <w:pStyle w:val="Body"/>
        <w:numPr>
          <w:ilvl w:val="0"/>
          <w:numId w:val="6"/>
        </w:numPr>
        <w:rPr>
          <w:rFonts w:hint="eastAsia"/>
          <w:sz w:val="20"/>
          <w:szCs w:val="20"/>
        </w:rPr>
      </w:pPr>
      <w:r w:rsidRPr="00A92167">
        <w:rPr>
          <w:sz w:val="20"/>
          <w:szCs w:val="20"/>
          <w:lang w:val="en-US"/>
        </w:rPr>
        <w:t>The employee has been advised by a health care provider to self</w:t>
      </w:r>
      <w:r w:rsidR="002A0DB8">
        <w:rPr>
          <w:sz w:val="20"/>
          <w:szCs w:val="20"/>
          <w:lang w:val="en-US"/>
        </w:rPr>
        <w:t>-</w:t>
      </w:r>
      <w:r w:rsidRPr="00A92167">
        <w:rPr>
          <w:sz w:val="20"/>
          <w:szCs w:val="20"/>
          <w:lang w:val="en-US"/>
        </w:rPr>
        <w:t>quarantine related to COVID-19.</w:t>
      </w:r>
    </w:p>
    <w:p w14:paraId="25073716" w14:textId="77777777" w:rsidR="00D20328" w:rsidRPr="00A92167" w:rsidRDefault="00D20328" w:rsidP="00D20328">
      <w:pPr>
        <w:pStyle w:val="Body"/>
        <w:numPr>
          <w:ilvl w:val="0"/>
          <w:numId w:val="6"/>
        </w:numPr>
        <w:rPr>
          <w:rFonts w:hint="eastAsia"/>
          <w:sz w:val="20"/>
          <w:szCs w:val="20"/>
        </w:rPr>
      </w:pPr>
      <w:r w:rsidRPr="00A92167">
        <w:rPr>
          <w:sz w:val="20"/>
          <w:szCs w:val="20"/>
          <w:lang w:val="en-US"/>
        </w:rPr>
        <w:t>The employee has coronavirus symptoms and is seeking a medical diagnosis.</w:t>
      </w:r>
    </w:p>
    <w:p w14:paraId="20D90C87" w14:textId="49F2D8C7" w:rsidR="00D20328" w:rsidRPr="00A92167" w:rsidRDefault="00D20328" w:rsidP="00D20328">
      <w:pPr>
        <w:pStyle w:val="Body"/>
        <w:numPr>
          <w:ilvl w:val="0"/>
          <w:numId w:val="6"/>
        </w:numPr>
        <w:rPr>
          <w:rFonts w:hint="eastAsia"/>
          <w:sz w:val="20"/>
          <w:szCs w:val="20"/>
        </w:rPr>
      </w:pPr>
      <w:r w:rsidRPr="00A92167">
        <w:rPr>
          <w:sz w:val="20"/>
          <w:szCs w:val="20"/>
          <w:lang w:val="en-US"/>
        </w:rPr>
        <w:t>The employee needs to care for someone who is subject to a quarantine or isolation order or who has been advised by a health care provider to self</w:t>
      </w:r>
      <w:r w:rsidR="002A0DB8">
        <w:rPr>
          <w:sz w:val="20"/>
          <w:szCs w:val="20"/>
          <w:lang w:val="en-US"/>
        </w:rPr>
        <w:t>-</w:t>
      </w:r>
      <w:r w:rsidRPr="00A92167">
        <w:rPr>
          <w:sz w:val="20"/>
          <w:szCs w:val="20"/>
          <w:lang w:val="en-US"/>
        </w:rPr>
        <w:t>quarantine due to COVID-19 symptoms or diagnosis.</w:t>
      </w:r>
    </w:p>
    <w:p w14:paraId="41C26019" w14:textId="77777777" w:rsidR="00D20328" w:rsidRPr="00A92167" w:rsidRDefault="00D20328" w:rsidP="00D20328">
      <w:pPr>
        <w:pStyle w:val="Body"/>
        <w:numPr>
          <w:ilvl w:val="0"/>
          <w:numId w:val="6"/>
        </w:numPr>
        <w:rPr>
          <w:rFonts w:hint="eastAsia"/>
          <w:sz w:val="20"/>
          <w:szCs w:val="20"/>
        </w:rPr>
      </w:pPr>
      <w:r w:rsidRPr="00A92167">
        <w:rPr>
          <w:sz w:val="20"/>
          <w:szCs w:val="20"/>
          <w:lang w:val="en-US"/>
        </w:rPr>
        <w:t>The employee needs to care for a child (under 18) whose school or care provider is closed or unavailable for reasons related to COVID-19.</w:t>
      </w:r>
    </w:p>
    <w:p w14:paraId="58ED7CBE" w14:textId="77777777" w:rsidR="00D20328" w:rsidRPr="00A92167" w:rsidRDefault="00D20328" w:rsidP="00D20328">
      <w:pPr>
        <w:pStyle w:val="Body"/>
        <w:numPr>
          <w:ilvl w:val="0"/>
          <w:numId w:val="6"/>
        </w:numPr>
        <w:rPr>
          <w:rFonts w:hint="eastAsia"/>
          <w:sz w:val="20"/>
          <w:szCs w:val="20"/>
        </w:rPr>
      </w:pPr>
      <w:r w:rsidRPr="00A92167">
        <w:rPr>
          <w:sz w:val="20"/>
          <w:szCs w:val="20"/>
          <w:lang w:val="en-US"/>
        </w:rPr>
        <w:t xml:space="preserve">The Secretary of Health and Human Services in consultation with the Secretaries of Labor and Treasury may identify other similar conditions that merit inclusion. </w:t>
      </w:r>
    </w:p>
    <w:p w14:paraId="29D760D0" w14:textId="77777777" w:rsidR="00D20328" w:rsidRPr="00A92167" w:rsidRDefault="00D20328" w:rsidP="00D20328">
      <w:pPr>
        <w:pStyle w:val="Body"/>
        <w:rPr>
          <w:rFonts w:hint="eastAsia"/>
          <w:sz w:val="20"/>
          <w:szCs w:val="20"/>
        </w:rPr>
      </w:pPr>
    </w:p>
    <w:p w14:paraId="46A9D298" w14:textId="77777777" w:rsidR="00D20328" w:rsidRPr="00A92167" w:rsidRDefault="00D20328" w:rsidP="00D20328">
      <w:pPr>
        <w:pStyle w:val="Body"/>
        <w:rPr>
          <w:rFonts w:hint="eastAsia"/>
          <w:sz w:val="20"/>
          <w:szCs w:val="20"/>
        </w:rPr>
      </w:pPr>
      <w:r w:rsidRPr="00A92167">
        <w:rPr>
          <w:sz w:val="20"/>
          <w:szCs w:val="20"/>
          <w:lang w:val="en-US"/>
        </w:rPr>
        <w:t>Under items 1 through 3, the employee is unable to work due to the employee’s own health needs. In these situations, the employee is entitled to the employee’s regular rate (or minimum wage if that is higher) for the hours the employee would have otherwise worked up to 80 hours. The amount of payment an employee may receive when unable to work for the reasons listed in items 1 through 3 is capped at a maximum of $511 per day and $5,110 for 80 hours.</w:t>
      </w:r>
    </w:p>
    <w:p w14:paraId="7C00F28C" w14:textId="77777777" w:rsidR="00D20328" w:rsidRPr="00A92167" w:rsidRDefault="00D20328" w:rsidP="00D20328">
      <w:pPr>
        <w:pStyle w:val="Body"/>
        <w:rPr>
          <w:rFonts w:hint="eastAsia"/>
          <w:sz w:val="20"/>
          <w:szCs w:val="20"/>
        </w:rPr>
      </w:pPr>
    </w:p>
    <w:p w14:paraId="4B65E330" w14:textId="77777777" w:rsidR="00D20328" w:rsidRPr="00A92167" w:rsidRDefault="00D20328" w:rsidP="00D20328">
      <w:pPr>
        <w:pStyle w:val="Body"/>
        <w:rPr>
          <w:rFonts w:hint="eastAsia"/>
          <w:sz w:val="20"/>
          <w:szCs w:val="20"/>
        </w:rPr>
      </w:pPr>
      <w:r w:rsidRPr="00A92167">
        <w:rPr>
          <w:sz w:val="20"/>
          <w:szCs w:val="20"/>
          <w:lang w:val="en-US"/>
        </w:rPr>
        <w:t>Under items 4 through 6 the individual is unable to work because of a need to care for a family member who is impacted by COVID-19. In these situations, the employee is entitled to two-thirds of the employee’s regular rate of pay (</w:t>
      </w:r>
      <w:r w:rsidRPr="00A92167">
        <w:rPr>
          <w:sz w:val="20"/>
          <w:szCs w:val="20"/>
        </w:rPr>
        <w:t xml:space="preserve">or </w:t>
      </w:r>
      <w:r w:rsidRPr="00A92167">
        <w:rPr>
          <w:sz w:val="20"/>
          <w:szCs w:val="20"/>
          <w:lang w:val="en-US"/>
        </w:rPr>
        <w:t xml:space="preserve">two-thirds of minimum wage if that is higher) for the hours the employee would have otherwise worked up to 80 hours. The amount of payment under these items is capped at $200 per day and $2,000 for 80 hours. </w:t>
      </w:r>
    </w:p>
    <w:p w14:paraId="1EC98BDF" w14:textId="77777777" w:rsidR="00D20328" w:rsidRPr="00A92167" w:rsidRDefault="00D20328" w:rsidP="00D20328">
      <w:pPr>
        <w:pStyle w:val="Body"/>
        <w:rPr>
          <w:rFonts w:hint="eastAsia"/>
          <w:sz w:val="20"/>
          <w:szCs w:val="20"/>
        </w:rPr>
      </w:pPr>
    </w:p>
    <w:p w14:paraId="755CE3D4" w14:textId="77777777" w:rsidR="00A92167" w:rsidRDefault="00D20328" w:rsidP="00D20328">
      <w:pPr>
        <w:pStyle w:val="Body"/>
        <w:rPr>
          <w:rFonts w:hint="eastAsia"/>
          <w:sz w:val="20"/>
          <w:szCs w:val="20"/>
          <w:lang w:val="en-US"/>
        </w:rPr>
      </w:pPr>
      <w:r w:rsidRPr="00A92167">
        <w:rPr>
          <w:sz w:val="20"/>
          <w:szCs w:val="20"/>
          <w:lang w:val="en-US"/>
        </w:rPr>
        <w:t xml:space="preserve">Employees who have worked for an employer for at least 30 days are entitled to an additional 10 weeks of expanded family and medical leave for caring for a child (under 18) whose school or care provider is closed </w:t>
      </w:r>
    </w:p>
    <w:p w14:paraId="34F6CF48" w14:textId="77777777" w:rsidR="00A92167" w:rsidRDefault="00A92167" w:rsidP="00D20328">
      <w:pPr>
        <w:pStyle w:val="Body"/>
        <w:rPr>
          <w:rFonts w:hint="eastAsia"/>
          <w:sz w:val="20"/>
          <w:szCs w:val="20"/>
          <w:lang w:val="en-US"/>
        </w:rPr>
      </w:pPr>
    </w:p>
    <w:p w14:paraId="35079EE9" w14:textId="079D3494" w:rsidR="00D20328" w:rsidRPr="00A92167" w:rsidRDefault="00D20328" w:rsidP="00D20328">
      <w:pPr>
        <w:pStyle w:val="Body"/>
        <w:rPr>
          <w:rFonts w:hint="eastAsia"/>
          <w:sz w:val="20"/>
          <w:szCs w:val="20"/>
        </w:rPr>
      </w:pPr>
      <w:r w:rsidRPr="00A92167">
        <w:rPr>
          <w:sz w:val="20"/>
          <w:szCs w:val="20"/>
          <w:lang w:val="en-US"/>
        </w:rPr>
        <w:t>or unavailable for reasons related to COVID-19. The employee is entitled to two-thirds of the employee’s regular rate of pay (</w:t>
      </w:r>
      <w:r w:rsidRPr="00A92167">
        <w:rPr>
          <w:sz w:val="20"/>
          <w:szCs w:val="20"/>
        </w:rPr>
        <w:t xml:space="preserve">or </w:t>
      </w:r>
      <w:r w:rsidRPr="00A92167">
        <w:rPr>
          <w:sz w:val="20"/>
          <w:szCs w:val="20"/>
          <w:lang w:val="en-US"/>
        </w:rPr>
        <w:t>two-thirds of minimum wage if that is higher) for the hours the employee would have otherwise worked during the 10</w:t>
      </w:r>
      <w:r w:rsidR="00A92167">
        <w:rPr>
          <w:sz w:val="20"/>
          <w:szCs w:val="20"/>
          <w:lang w:val="en-US"/>
        </w:rPr>
        <w:t>-</w:t>
      </w:r>
      <w:r w:rsidRPr="00A92167">
        <w:rPr>
          <w:sz w:val="20"/>
          <w:szCs w:val="20"/>
          <w:lang w:val="en-US"/>
        </w:rPr>
        <w:t xml:space="preserve">week period. An employee who takes extended leave under this provision is entitled to a maximum of 12 weeks of leave (the first two weeks under paid sick leave and the remaining 10 weeks under expanded family and medical leave). The amount of payment for the entire 12 weeks may not exceed $200 per day and $12,000 in total. </w:t>
      </w:r>
    </w:p>
    <w:p w14:paraId="006833A1" w14:textId="77777777" w:rsidR="00D20328" w:rsidRPr="00A92167" w:rsidRDefault="00D20328" w:rsidP="00D20328">
      <w:pPr>
        <w:pStyle w:val="Body"/>
        <w:rPr>
          <w:rFonts w:hint="eastAsia"/>
          <w:sz w:val="20"/>
          <w:szCs w:val="20"/>
        </w:rPr>
      </w:pPr>
    </w:p>
    <w:p w14:paraId="389158F1" w14:textId="77777777" w:rsidR="00D20328" w:rsidRPr="00A92167" w:rsidRDefault="00D20328" w:rsidP="00D20328">
      <w:pPr>
        <w:pStyle w:val="Body"/>
        <w:rPr>
          <w:rFonts w:hint="eastAsia"/>
          <w:b/>
          <w:bCs/>
          <w:sz w:val="20"/>
          <w:szCs w:val="20"/>
        </w:rPr>
      </w:pPr>
      <w:r w:rsidRPr="00A92167">
        <w:rPr>
          <w:b/>
          <w:bCs/>
          <w:sz w:val="20"/>
          <w:szCs w:val="20"/>
          <w:lang w:val="en-US"/>
        </w:rPr>
        <w:t>HOW TO DETERMINE NUMBER OF HOURS TO PAY EMPLOYEE PER WEEK</w:t>
      </w:r>
    </w:p>
    <w:p w14:paraId="3B0DEAE5" w14:textId="77777777" w:rsidR="00D20328" w:rsidRPr="00A92167" w:rsidRDefault="00D20328" w:rsidP="00D20328">
      <w:pPr>
        <w:pStyle w:val="Body"/>
        <w:rPr>
          <w:rFonts w:hint="eastAsia"/>
          <w:sz w:val="20"/>
          <w:szCs w:val="20"/>
        </w:rPr>
      </w:pPr>
    </w:p>
    <w:p w14:paraId="1FF93726" w14:textId="77777777" w:rsidR="00D20328" w:rsidRPr="00A92167" w:rsidRDefault="00D20328" w:rsidP="00D20328">
      <w:pPr>
        <w:pStyle w:val="Body"/>
        <w:rPr>
          <w:rFonts w:hint="eastAsia"/>
          <w:sz w:val="20"/>
          <w:szCs w:val="20"/>
        </w:rPr>
      </w:pPr>
      <w:r w:rsidRPr="00A92167">
        <w:rPr>
          <w:sz w:val="20"/>
          <w:szCs w:val="20"/>
          <w:lang w:val="en-US"/>
        </w:rPr>
        <w:t xml:space="preserve">If an employee works part-time or works full-time but with a schedule that varies, the employee is entitled to be paid for the average number of hours they would usually work in a two-week period. The employer may use a six-month average to calculate the employee’s average daily hours. If the employee has not yet completed six months of employment the employer may use the hours agreed to upon hiring the employee or calculate average hours per day worked for the length of time the employee has been employed. </w:t>
      </w:r>
    </w:p>
    <w:p w14:paraId="36C56C1F" w14:textId="77777777" w:rsidR="00D20328" w:rsidRPr="00A92167" w:rsidRDefault="00D20328" w:rsidP="00D20328">
      <w:pPr>
        <w:pStyle w:val="Body"/>
        <w:rPr>
          <w:rFonts w:hint="eastAsia"/>
          <w:sz w:val="20"/>
          <w:szCs w:val="20"/>
        </w:rPr>
      </w:pPr>
    </w:p>
    <w:p w14:paraId="4ED1A765" w14:textId="77777777" w:rsidR="00D20328" w:rsidRPr="00A92167" w:rsidRDefault="00D20328" w:rsidP="00D20328">
      <w:pPr>
        <w:pStyle w:val="Body"/>
        <w:rPr>
          <w:rFonts w:hint="eastAsia"/>
          <w:b/>
          <w:bCs/>
          <w:sz w:val="20"/>
          <w:szCs w:val="20"/>
        </w:rPr>
      </w:pPr>
      <w:r w:rsidRPr="00A92167">
        <w:rPr>
          <w:b/>
          <w:bCs/>
          <w:sz w:val="20"/>
          <w:szCs w:val="20"/>
          <w:lang w:val="en-US"/>
        </w:rPr>
        <w:t>OTHER LIMITATIONS</w:t>
      </w:r>
    </w:p>
    <w:p w14:paraId="5C0FA821" w14:textId="77777777" w:rsidR="00D20328" w:rsidRPr="00A92167" w:rsidRDefault="00D20328" w:rsidP="00D20328">
      <w:pPr>
        <w:pStyle w:val="Body"/>
        <w:rPr>
          <w:rFonts w:hint="eastAsia"/>
          <w:sz w:val="20"/>
          <w:szCs w:val="20"/>
        </w:rPr>
      </w:pPr>
    </w:p>
    <w:p w14:paraId="5FB1DD0B" w14:textId="77777777" w:rsidR="00D20328" w:rsidRPr="00A92167" w:rsidRDefault="00D20328" w:rsidP="00D20328">
      <w:pPr>
        <w:pStyle w:val="Body"/>
        <w:rPr>
          <w:rFonts w:hint="eastAsia"/>
          <w:sz w:val="20"/>
          <w:szCs w:val="20"/>
        </w:rPr>
      </w:pPr>
      <w:r w:rsidRPr="00A92167">
        <w:rPr>
          <w:sz w:val="20"/>
          <w:szCs w:val="20"/>
          <w:lang w:val="en-US"/>
        </w:rPr>
        <w:t>Paid sick leave does not carry over year to year and an employee is not entitled to reimbursement for unused leave. An employee only gets 80 hours of paid sick leave even if the employee meets more than one qualifying reason to take paid leave. Paid sick leave is capped at 80 hours for any combination of qualifying reasons.</w:t>
      </w:r>
    </w:p>
    <w:p w14:paraId="4579CDC8" w14:textId="77777777" w:rsidR="00D20328" w:rsidRPr="00A92167" w:rsidRDefault="00D20328" w:rsidP="00D20328">
      <w:pPr>
        <w:pStyle w:val="Body"/>
        <w:rPr>
          <w:rFonts w:hint="eastAsia"/>
          <w:sz w:val="20"/>
          <w:szCs w:val="20"/>
        </w:rPr>
      </w:pPr>
    </w:p>
    <w:p w14:paraId="6CD842E0" w14:textId="77777777" w:rsidR="00D20328" w:rsidRPr="00A92167" w:rsidRDefault="00D20328" w:rsidP="00D20328">
      <w:pPr>
        <w:pStyle w:val="Body"/>
        <w:rPr>
          <w:rFonts w:hint="eastAsia"/>
          <w:b/>
          <w:bCs/>
          <w:sz w:val="20"/>
          <w:szCs w:val="20"/>
        </w:rPr>
      </w:pPr>
      <w:r w:rsidRPr="00A92167">
        <w:rPr>
          <w:b/>
          <w:bCs/>
          <w:sz w:val="20"/>
          <w:szCs w:val="20"/>
          <w:lang w:val="en-US"/>
        </w:rPr>
        <w:t>EMPLOYER REIMBURSEMENT VIA TAX CREDIT</w:t>
      </w:r>
    </w:p>
    <w:p w14:paraId="3F8A87AE" w14:textId="77777777" w:rsidR="00D20328" w:rsidRPr="00A92167" w:rsidRDefault="00D20328" w:rsidP="00D20328">
      <w:pPr>
        <w:pStyle w:val="Body"/>
        <w:rPr>
          <w:rFonts w:hint="eastAsia"/>
          <w:sz w:val="20"/>
          <w:szCs w:val="20"/>
        </w:rPr>
      </w:pPr>
    </w:p>
    <w:p w14:paraId="4084053D" w14:textId="49F50258" w:rsidR="00D20328" w:rsidRPr="00A92167" w:rsidRDefault="00D20328" w:rsidP="00D20328">
      <w:pPr>
        <w:pStyle w:val="Body"/>
        <w:rPr>
          <w:rFonts w:hint="eastAsia"/>
          <w:sz w:val="20"/>
          <w:szCs w:val="20"/>
        </w:rPr>
      </w:pPr>
      <w:r w:rsidRPr="00A92167">
        <w:rPr>
          <w:sz w:val="20"/>
          <w:szCs w:val="20"/>
          <w:lang w:val="en-US"/>
        </w:rPr>
        <w:t xml:space="preserve">FFCRA promises to reimburse private employers “dollar for dollar” for all wages paid for employees who take leave for a reason permitted under the </w:t>
      </w:r>
      <w:r w:rsidR="00626EC3">
        <w:rPr>
          <w:sz w:val="20"/>
          <w:szCs w:val="20"/>
          <w:lang w:val="en-US"/>
        </w:rPr>
        <w:t>A</w:t>
      </w:r>
      <w:r w:rsidRPr="00A92167">
        <w:rPr>
          <w:sz w:val="20"/>
          <w:szCs w:val="20"/>
          <w:lang w:val="en-US"/>
        </w:rPr>
        <w:t>ct as well as any amounts paid to maintain health insurance coverage while the employee is on leave. However, political subdivisions (including public libraries) are exempted from the reimbursement, which takes the form of a tax credit.</w:t>
      </w:r>
    </w:p>
    <w:p w14:paraId="23C9C5A3" w14:textId="77777777" w:rsidR="00D20328" w:rsidRPr="00A92167" w:rsidRDefault="00D20328" w:rsidP="00D20328">
      <w:pPr>
        <w:pStyle w:val="Body"/>
        <w:rPr>
          <w:rFonts w:hint="eastAsia"/>
          <w:sz w:val="20"/>
          <w:szCs w:val="20"/>
        </w:rPr>
      </w:pPr>
    </w:p>
    <w:p w14:paraId="0EAFB4D7" w14:textId="77777777" w:rsidR="00D20328" w:rsidRPr="00A92167" w:rsidRDefault="00D20328" w:rsidP="00D20328">
      <w:pPr>
        <w:pStyle w:val="Body"/>
        <w:rPr>
          <w:rFonts w:hint="eastAsia"/>
          <w:b/>
          <w:bCs/>
          <w:sz w:val="20"/>
          <w:szCs w:val="20"/>
        </w:rPr>
      </w:pPr>
      <w:r w:rsidRPr="00A92167">
        <w:rPr>
          <w:b/>
          <w:bCs/>
          <w:sz w:val="20"/>
          <w:szCs w:val="20"/>
          <w:lang w:val="en-US"/>
        </w:rPr>
        <w:t>ENFORCEMENT</w:t>
      </w:r>
    </w:p>
    <w:p w14:paraId="05B95F8B" w14:textId="77777777" w:rsidR="00D20328" w:rsidRPr="00A92167" w:rsidRDefault="00D20328" w:rsidP="00D20328">
      <w:pPr>
        <w:pStyle w:val="Body"/>
        <w:rPr>
          <w:rFonts w:hint="eastAsia"/>
          <w:sz w:val="20"/>
          <w:szCs w:val="20"/>
        </w:rPr>
      </w:pPr>
    </w:p>
    <w:p w14:paraId="33931D41" w14:textId="40F56336" w:rsidR="00D20328" w:rsidRPr="00A92167" w:rsidRDefault="00D20328" w:rsidP="00D20328">
      <w:pPr>
        <w:pStyle w:val="Body"/>
        <w:rPr>
          <w:rFonts w:hint="eastAsia"/>
          <w:sz w:val="20"/>
          <w:szCs w:val="20"/>
        </w:rPr>
      </w:pPr>
      <w:r w:rsidRPr="00A92167">
        <w:rPr>
          <w:sz w:val="20"/>
          <w:szCs w:val="20"/>
          <w:lang w:val="en-US"/>
        </w:rPr>
        <w:t>The U.S. Department of Labor</w:t>
      </w:r>
      <w:r w:rsidRPr="00A92167">
        <w:rPr>
          <w:sz w:val="20"/>
          <w:szCs w:val="20"/>
        </w:rPr>
        <w:t>’</w:t>
      </w:r>
      <w:r w:rsidRPr="00A92167">
        <w:rPr>
          <w:sz w:val="20"/>
          <w:szCs w:val="20"/>
          <w:lang w:val="en-US"/>
        </w:rPr>
        <w:t xml:space="preserve">s Wage and Hour Division (WHD) has the authority to investigate and enforce FFCRA compliance. Employers in violation of the provisions of the FFCRA will be subject to penalties and enforcement by WHD. For 30 days after the </w:t>
      </w:r>
      <w:r w:rsidR="00626EC3">
        <w:rPr>
          <w:sz w:val="20"/>
          <w:szCs w:val="20"/>
          <w:lang w:val="en-US"/>
        </w:rPr>
        <w:t>A</w:t>
      </w:r>
      <w:r w:rsidRPr="00A92167">
        <w:rPr>
          <w:sz w:val="20"/>
          <w:szCs w:val="20"/>
          <w:lang w:val="en-US"/>
        </w:rPr>
        <w:t>ct takes effect there will be a temporary period of non-enforcement provided the employer acted reasonably and in good faith.</w:t>
      </w:r>
    </w:p>
    <w:p w14:paraId="2DD62493" w14:textId="77777777" w:rsidR="00D20328" w:rsidRPr="00A92167" w:rsidRDefault="00D20328" w:rsidP="00D20328">
      <w:pPr>
        <w:pStyle w:val="Body"/>
        <w:rPr>
          <w:rFonts w:hint="eastAsia"/>
          <w:sz w:val="20"/>
          <w:szCs w:val="20"/>
        </w:rPr>
      </w:pPr>
    </w:p>
    <w:p w14:paraId="0B45ECB4" w14:textId="6AB85EC5" w:rsidR="00D20328" w:rsidRPr="00A92167" w:rsidRDefault="00D20328" w:rsidP="00D20328">
      <w:pPr>
        <w:pStyle w:val="Body"/>
        <w:rPr>
          <w:rFonts w:hint="eastAsia"/>
          <w:sz w:val="20"/>
          <w:szCs w:val="20"/>
        </w:rPr>
      </w:pPr>
      <w:r w:rsidRPr="00A92167">
        <w:rPr>
          <w:sz w:val="20"/>
          <w:szCs w:val="20"/>
          <w:lang w:val="en-US"/>
        </w:rPr>
        <w:t xml:space="preserve">Beginning April 1, 2020, employers must post a clearly visible </w:t>
      </w:r>
      <w:hyperlink r:id="rId13" w:history="1">
        <w:r w:rsidRPr="005B73C5">
          <w:rPr>
            <w:rStyle w:val="Hyperlink0"/>
            <w:sz w:val="20"/>
            <w:szCs w:val="20"/>
            <w:u w:val="single"/>
            <w:lang w:val="en-US"/>
          </w:rPr>
          <w:t>notice of FFCRA’s provisions</w:t>
        </w:r>
      </w:hyperlink>
      <w:r w:rsidRPr="00A92167">
        <w:rPr>
          <w:sz w:val="20"/>
          <w:szCs w:val="20"/>
          <w:lang w:val="en-US"/>
        </w:rPr>
        <w:t xml:space="preserve"> in the workplace. If an employer’s workforce is primarily working from home at this time, the employer may satisfy this requirement for the time being by emailing or direct mailing this notice to employees or posting this notice on an employee information </w:t>
      </w:r>
      <w:r w:rsidRPr="00A92167">
        <w:rPr>
          <w:sz w:val="20"/>
          <w:szCs w:val="20"/>
          <w:lang w:val="nl-NL"/>
        </w:rPr>
        <w:t>website.</w:t>
      </w:r>
      <w:r w:rsidRPr="00A92167">
        <w:rPr>
          <w:sz w:val="20"/>
          <w:szCs w:val="20"/>
          <w:lang w:val="en-US"/>
        </w:rPr>
        <w:t xml:space="preserve"> The Department of Labor provides FAQs regarding poster placement </w:t>
      </w:r>
      <w:hyperlink r:id="rId14" w:history="1">
        <w:r w:rsidRPr="005B73C5">
          <w:rPr>
            <w:rStyle w:val="Hyperlink0"/>
            <w:sz w:val="20"/>
            <w:szCs w:val="20"/>
            <w:u w:val="single"/>
            <w:lang w:val="en-US"/>
          </w:rPr>
          <w:t>here</w:t>
        </w:r>
      </w:hyperlink>
      <w:r w:rsidRPr="00A92167">
        <w:rPr>
          <w:sz w:val="20"/>
          <w:szCs w:val="20"/>
          <w:lang w:val="en-US"/>
        </w:rPr>
        <w:t>.</w:t>
      </w:r>
    </w:p>
    <w:p w14:paraId="14966BF1" w14:textId="77777777" w:rsidR="00D20328" w:rsidRPr="00A92167" w:rsidRDefault="00D20328" w:rsidP="00D20328">
      <w:pPr>
        <w:pStyle w:val="Body"/>
        <w:rPr>
          <w:rFonts w:hint="eastAsia"/>
          <w:sz w:val="20"/>
          <w:szCs w:val="20"/>
        </w:rPr>
      </w:pPr>
    </w:p>
    <w:p w14:paraId="69B7B904" w14:textId="77777777" w:rsidR="00D20328" w:rsidRPr="00A92167" w:rsidRDefault="00D20328" w:rsidP="00D20328">
      <w:pPr>
        <w:pStyle w:val="Body"/>
        <w:rPr>
          <w:rFonts w:hint="eastAsia"/>
          <w:b/>
          <w:bCs/>
          <w:sz w:val="20"/>
          <w:szCs w:val="20"/>
        </w:rPr>
      </w:pPr>
      <w:r w:rsidRPr="00A92167">
        <w:rPr>
          <w:b/>
          <w:bCs/>
          <w:sz w:val="20"/>
          <w:szCs w:val="20"/>
          <w:lang w:val="en-US"/>
        </w:rPr>
        <w:t>NO RETALIATION</w:t>
      </w:r>
    </w:p>
    <w:p w14:paraId="4841BEB2" w14:textId="77777777" w:rsidR="00D20328" w:rsidRPr="00A92167" w:rsidRDefault="00D20328" w:rsidP="00D20328">
      <w:pPr>
        <w:pStyle w:val="Body"/>
        <w:rPr>
          <w:rFonts w:hint="eastAsia"/>
          <w:sz w:val="20"/>
          <w:szCs w:val="20"/>
        </w:rPr>
      </w:pPr>
    </w:p>
    <w:p w14:paraId="1D3D9040" w14:textId="77777777" w:rsidR="00D20328" w:rsidRPr="00A92167" w:rsidRDefault="00D20328" w:rsidP="00D20328">
      <w:pPr>
        <w:pStyle w:val="Body"/>
        <w:rPr>
          <w:rFonts w:hint="eastAsia"/>
          <w:sz w:val="20"/>
          <w:szCs w:val="20"/>
        </w:rPr>
      </w:pPr>
      <w:r w:rsidRPr="00A92167">
        <w:rPr>
          <w:sz w:val="20"/>
          <w:szCs w:val="20"/>
          <w:lang w:val="en-US"/>
        </w:rPr>
        <w:t>Employers may not discharge, discipline, or otherwise discriminate against any employee who lawfully takes paid sick leave or expanded family and medical leave under the FFCRA, files a complaint, or institutes a proceeding related to the</w:t>
      </w:r>
      <w:r w:rsidRPr="00A92167">
        <w:rPr>
          <w:sz w:val="20"/>
          <w:szCs w:val="20"/>
        </w:rPr>
        <w:t xml:space="preserve"> Act.</w:t>
      </w:r>
    </w:p>
    <w:p w14:paraId="7D606C41" w14:textId="3E1894D7" w:rsidR="00D20328" w:rsidRDefault="00D20328" w:rsidP="00D20328">
      <w:pPr>
        <w:pStyle w:val="Body"/>
        <w:rPr>
          <w:rFonts w:hint="eastAsia"/>
          <w:sz w:val="20"/>
          <w:szCs w:val="20"/>
        </w:rPr>
      </w:pPr>
    </w:p>
    <w:p w14:paraId="5012DDD0" w14:textId="7ED44901" w:rsidR="00A92167" w:rsidRDefault="00A92167" w:rsidP="00D20328">
      <w:pPr>
        <w:pStyle w:val="Body"/>
        <w:rPr>
          <w:rFonts w:hint="eastAsia"/>
          <w:sz w:val="20"/>
          <w:szCs w:val="20"/>
        </w:rPr>
      </w:pPr>
    </w:p>
    <w:p w14:paraId="3101A067" w14:textId="26735EC5" w:rsidR="00A92167" w:rsidRDefault="00A92167" w:rsidP="00D20328">
      <w:pPr>
        <w:pStyle w:val="Body"/>
        <w:rPr>
          <w:rFonts w:hint="eastAsia"/>
          <w:sz w:val="20"/>
          <w:szCs w:val="20"/>
        </w:rPr>
      </w:pPr>
    </w:p>
    <w:p w14:paraId="33076CC1" w14:textId="3EE40300" w:rsidR="00A92167" w:rsidRDefault="00A92167" w:rsidP="00D20328">
      <w:pPr>
        <w:pStyle w:val="Body"/>
        <w:rPr>
          <w:rFonts w:hint="eastAsia"/>
          <w:sz w:val="20"/>
          <w:szCs w:val="20"/>
        </w:rPr>
      </w:pPr>
    </w:p>
    <w:p w14:paraId="4C53FD80" w14:textId="77777777" w:rsidR="00A92167" w:rsidRPr="00A92167" w:rsidRDefault="00A92167" w:rsidP="00D20328">
      <w:pPr>
        <w:pStyle w:val="Body"/>
        <w:rPr>
          <w:rFonts w:hint="eastAsia"/>
          <w:sz w:val="20"/>
          <w:szCs w:val="20"/>
        </w:rPr>
      </w:pPr>
    </w:p>
    <w:p w14:paraId="7725FB76" w14:textId="77777777" w:rsidR="00D20328" w:rsidRPr="00A92167" w:rsidRDefault="00D20328" w:rsidP="00D20328">
      <w:pPr>
        <w:pStyle w:val="Body"/>
        <w:rPr>
          <w:rFonts w:hint="eastAsia"/>
          <w:sz w:val="20"/>
          <w:szCs w:val="20"/>
        </w:rPr>
      </w:pPr>
    </w:p>
    <w:p w14:paraId="072CD5D5" w14:textId="77777777" w:rsidR="00D20328" w:rsidRPr="00A92167" w:rsidRDefault="00D20328" w:rsidP="00D20328">
      <w:pPr>
        <w:pStyle w:val="Body"/>
        <w:jc w:val="center"/>
        <w:rPr>
          <w:rFonts w:hint="eastAsia"/>
          <w:b/>
          <w:bCs/>
          <w:sz w:val="20"/>
          <w:szCs w:val="20"/>
        </w:rPr>
      </w:pPr>
      <w:r w:rsidRPr="00A92167">
        <w:rPr>
          <w:b/>
          <w:bCs/>
          <w:sz w:val="20"/>
          <w:szCs w:val="20"/>
          <w:lang w:val="en-US"/>
        </w:rPr>
        <w:t>ADDITIONAL RESOURCES</w:t>
      </w:r>
    </w:p>
    <w:p w14:paraId="5E13F883" w14:textId="77777777" w:rsidR="00D20328" w:rsidRPr="00A92167" w:rsidRDefault="00D20328" w:rsidP="00D20328">
      <w:pPr>
        <w:pStyle w:val="Body"/>
        <w:rPr>
          <w:rFonts w:hint="eastAsia"/>
          <w:sz w:val="20"/>
          <w:szCs w:val="20"/>
        </w:rPr>
      </w:pPr>
    </w:p>
    <w:p w14:paraId="3F3192E8" w14:textId="77777777" w:rsidR="00D20328" w:rsidRPr="00A92167" w:rsidRDefault="00D20328" w:rsidP="00D20328">
      <w:pPr>
        <w:pStyle w:val="Body"/>
        <w:rPr>
          <w:rFonts w:hint="eastAsia"/>
          <w:sz w:val="20"/>
          <w:szCs w:val="20"/>
        </w:rPr>
      </w:pPr>
      <w:r w:rsidRPr="00A92167">
        <w:rPr>
          <w:sz w:val="20"/>
          <w:szCs w:val="20"/>
          <w:lang w:val="en-US"/>
        </w:rPr>
        <w:t xml:space="preserve">The U.S. Department of Labor webpage </w:t>
      </w:r>
      <w:hyperlink r:id="rId15" w:history="1">
        <w:r w:rsidRPr="005B73C5">
          <w:rPr>
            <w:rStyle w:val="Hyperlink0"/>
            <w:sz w:val="20"/>
            <w:szCs w:val="20"/>
            <w:u w:val="single"/>
            <w:lang w:val="en-US"/>
          </w:rPr>
          <w:t>COVID-19 and the American Workplace</w:t>
        </w:r>
      </w:hyperlink>
      <w:r w:rsidRPr="00A92167">
        <w:rPr>
          <w:sz w:val="20"/>
          <w:szCs w:val="20"/>
          <w:lang w:val="en-US"/>
        </w:rPr>
        <w:t xml:space="preserve"> contains a number of helpful resources, including:</w:t>
      </w:r>
    </w:p>
    <w:p w14:paraId="6BDD9589" w14:textId="77777777" w:rsidR="00D20328" w:rsidRPr="00A92167" w:rsidRDefault="00D20328" w:rsidP="00D20328">
      <w:pPr>
        <w:pStyle w:val="Body"/>
        <w:numPr>
          <w:ilvl w:val="0"/>
          <w:numId w:val="8"/>
        </w:numPr>
        <w:rPr>
          <w:rFonts w:hint="eastAsia"/>
          <w:sz w:val="20"/>
          <w:szCs w:val="20"/>
        </w:rPr>
      </w:pPr>
      <w:r w:rsidRPr="00A92167">
        <w:rPr>
          <w:sz w:val="20"/>
          <w:szCs w:val="20"/>
          <w:lang w:val="en-US"/>
        </w:rPr>
        <w:t xml:space="preserve"> A fact sheet for employers - </w:t>
      </w:r>
      <w:hyperlink r:id="rId16" w:history="1">
        <w:r w:rsidRPr="005B73C5">
          <w:rPr>
            <w:rStyle w:val="Hyperlink0"/>
            <w:sz w:val="20"/>
            <w:szCs w:val="20"/>
            <w:u w:val="single"/>
            <w:lang w:val="en-US"/>
          </w:rPr>
          <w:t>Families First Coronavirus Response Act: Employer Paid Leave Requirements</w:t>
        </w:r>
      </w:hyperlink>
    </w:p>
    <w:p w14:paraId="2EBE9F02" w14:textId="77777777" w:rsidR="00D20328" w:rsidRPr="005B73C5" w:rsidRDefault="00565F06" w:rsidP="00D20328">
      <w:pPr>
        <w:pStyle w:val="Body"/>
        <w:numPr>
          <w:ilvl w:val="0"/>
          <w:numId w:val="8"/>
        </w:numPr>
        <w:rPr>
          <w:rFonts w:hint="eastAsia"/>
          <w:sz w:val="20"/>
          <w:szCs w:val="20"/>
          <w:u w:val="single"/>
        </w:rPr>
      </w:pPr>
      <w:hyperlink r:id="rId17" w:history="1">
        <w:r w:rsidR="00D20328" w:rsidRPr="005B73C5">
          <w:rPr>
            <w:rStyle w:val="Hyperlink0"/>
            <w:sz w:val="20"/>
            <w:szCs w:val="20"/>
            <w:u w:val="single"/>
            <w:lang w:val="en-US"/>
          </w:rPr>
          <w:t>Families First Coronavirus Response Act: Questions and Answers</w:t>
        </w:r>
      </w:hyperlink>
    </w:p>
    <w:p w14:paraId="61E6DB7A" w14:textId="77777777" w:rsidR="00D20328" w:rsidRPr="005B73C5" w:rsidRDefault="00565F06" w:rsidP="00D20328">
      <w:pPr>
        <w:pStyle w:val="Body"/>
        <w:numPr>
          <w:ilvl w:val="0"/>
          <w:numId w:val="8"/>
        </w:numPr>
        <w:rPr>
          <w:rFonts w:hint="eastAsia"/>
          <w:sz w:val="20"/>
          <w:szCs w:val="20"/>
          <w:u w:val="single"/>
        </w:rPr>
      </w:pPr>
      <w:hyperlink r:id="rId18" w:history="1">
        <w:r w:rsidR="00D20328" w:rsidRPr="005B73C5">
          <w:rPr>
            <w:rStyle w:val="Hyperlink0"/>
            <w:sz w:val="20"/>
            <w:szCs w:val="20"/>
            <w:u w:val="single"/>
            <w:lang w:val="en-US"/>
          </w:rPr>
          <w:t>Poster with Notice of Employee Rights Under FFCRA</w:t>
        </w:r>
      </w:hyperlink>
    </w:p>
    <w:p w14:paraId="707EC9A9" w14:textId="77777777" w:rsidR="00D20328" w:rsidRPr="005B73C5" w:rsidRDefault="00565F06" w:rsidP="00D20328">
      <w:pPr>
        <w:pStyle w:val="Body"/>
        <w:numPr>
          <w:ilvl w:val="0"/>
          <w:numId w:val="8"/>
        </w:numPr>
        <w:rPr>
          <w:rFonts w:hint="eastAsia"/>
          <w:sz w:val="20"/>
          <w:szCs w:val="20"/>
          <w:u w:val="single"/>
        </w:rPr>
      </w:pPr>
      <w:hyperlink r:id="rId19" w:history="1">
        <w:r w:rsidR="00D20328" w:rsidRPr="005B73C5">
          <w:rPr>
            <w:rStyle w:val="Hyperlink0"/>
            <w:sz w:val="20"/>
            <w:szCs w:val="20"/>
            <w:u w:val="single"/>
            <w:lang w:val="en-US"/>
          </w:rPr>
          <w:t>FFCRA Notice - FAQ</w:t>
        </w:r>
      </w:hyperlink>
    </w:p>
    <w:p w14:paraId="4B0B3947" w14:textId="77777777" w:rsidR="00D20328" w:rsidRPr="00A92167" w:rsidRDefault="00D20328" w:rsidP="00D20328">
      <w:pPr>
        <w:pStyle w:val="Body"/>
        <w:rPr>
          <w:rFonts w:hint="eastAsia"/>
          <w:sz w:val="20"/>
          <w:szCs w:val="20"/>
        </w:rPr>
      </w:pPr>
    </w:p>
    <w:p w14:paraId="08A12D64" w14:textId="77777777" w:rsidR="00D20328" w:rsidRPr="00A92167" w:rsidRDefault="00565F06" w:rsidP="00D20328">
      <w:pPr>
        <w:pStyle w:val="Body"/>
        <w:rPr>
          <w:rFonts w:hint="eastAsia"/>
          <w:sz w:val="20"/>
          <w:szCs w:val="20"/>
        </w:rPr>
      </w:pPr>
      <w:hyperlink r:id="rId20" w:history="1">
        <w:r w:rsidR="00D20328" w:rsidRPr="005B73C5">
          <w:rPr>
            <w:rStyle w:val="Hyperlink0"/>
            <w:sz w:val="20"/>
            <w:szCs w:val="20"/>
            <w:u w:val="single"/>
            <w:lang w:val="en-US"/>
          </w:rPr>
          <w:t>The New Leave Entitlements Under FFCRA - Issues Unique to the Public Sector: COVID-19 Resource</w:t>
        </w:r>
      </w:hyperlink>
      <w:r w:rsidR="00D20328" w:rsidRPr="00A92167">
        <w:rPr>
          <w:sz w:val="20"/>
          <w:szCs w:val="20"/>
          <w:lang w:val="en-US"/>
        </w:rPr>
        <w:t>, National Law Review, March 23, 2020</w:t>
      </w:r>
    </w:p>
    <w:p w14:paraId="2A570B94" w14:textId="77777777" w:rsidR="00D20328" w:rsidRPr="00A92167" w:rsidRDefault="00D20328" w:rsidP="00D20328">
      <w:pPr>
        <w:pStyle w:val="Body"/>
        <w:rPr>
          <w:rFonts w:hint="eastAsia"/>
          <w:sz w:val="20"/>
          <w:szCs w:val="20"/>
        </w:rPr>
      </w:pPr>
    </w:p>
    <w:p w14:paraId="7BEC8187" w14:textId="77777777" w:rsidR="00D20328" w:rsidRPr="00A92167" w:rsidRDefault="00D20328" w:rsidP="00D20328">
      <w:pPr>
        <w:pStyle w:val="Body"/>
        <w:rPr>
          <w:rFonts w:hint="eastAsia"/>
          <w:sz w:val="20"/>
          <w:szCs w:val="20"/>
        </w:rPr>
      </w:pPr>
    </w:p>
    <w:p w14:paraId="3B320F41" w14:textId="77777777" w:rsidR="00D20328" w:rsidRPr="00A92167" w:rsidRDefault="00D20328" w:rsidP="00D20328">
      <w:pPr>
        <w:pStyle w:val="Body"/>
        <w:jc w:val="center"/>
        <w:rPr>
          <w:rFonts w:hint="eastAsia"/>
          <w:b/>
          <w:bCs/>
          <w:sz w:val="20"/>
          <w:szCs w:val="20"/>
        </w:rPr>
      </w:pPr>
      <w:r w:rsidRPr="00A92167">
        <w:rPr>
          <w:b/>
          <w:bCs/>
          <w:sz w:val="20"/>
          <w:szCs w:val="20"/>
          <w:lang w:val="en-US"/>
        </w:rPr>
        <w:t>Types of Leave Available Under FFCRA</w:t>
      </w:r>
    </w:p>
    <w:p w14:paraId="0A800A28" w14:textId="77777777" w:rsidR="00D20328" w:rsidRPr="00A92167" w:rsidRDefault="00D20328" w:rsidP="00D20328">
      <w:pPr>
        <w:pStyle w:val="Body"/>
        <w:rPr>
          <w:rFonts w:hint="eastAsia"/>
          <w:sz w:val="20"/>
          <w:szCs w:val="20"/>
        </w:rPr>
      </w:pPr>
    </w:p>
    <w:p w14:paraId="6D125654" w14:textId="77777777" w:rsidR="00D20328" w:rsidRPr="00A92167" w:rsidRDefault="00D20328" w:rsidP="00D20328">
      <w:pPr>
        <w:pStyle w:val="Body"/>
        <w:rPr>
          <w:rFonts w:hint="eastAsia"/>
          <w:sz w:val="20"/>
          <w:szCs w:val="20"/>
        </w:rPr>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EFFFE"/>
        <w:tblLayout w:type="fixed"/>
        <w:tblLook w:val="04A0" w:firstRow="1" w:lastRow="0" w:firstColumn="1" w:lastColumn="0" w:noHBand="0" w:noVBand="1"/>
      </w:tblPr>
      <w:tblGrid>
        <w:gridCol w:w="1065"/>
        <w:gridCol w:w="1080"/>
        <w:gridCol w:w="4854"/>
        <w:gridCol w:w="1440"/>
        <w:gridCol w:w="916"/>
      </w:tblGrid>
      <w:tr w:rsidR="00D20328" w:rsidRPr="00A92167" w14:paraId="655948E0" w14:textId="77777777" w:rsidTr="00A92167">
        <w:trPr>
          <w:trHeight w:val="479"/>
        </w:trPr>
        <w:tc>
          <w:tcPr>
            <w:tcW w:w="106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386BE63" w14:textId="77777777" w:rsidR="00D20328" w:rsidRPr="00A92167" w:rsidRDefault="00D20328" w:rsidP="0053261F">
            <w:pPr>
              <w:pStyle w:val="TableStyle2"/>
            </w:pPr>
            <w:r w:rsidRPr="00A92167">
              <w:rPr>
                <w:rFonts w:eastAsia="Arial Unicode MS" w:cs="Arial Unicode MS"/>
              </w:rPr>
              <w:t>Qualifying EE*</w:t>
            </w:r>
          </w:p>
        </w:tc>
        <w:tc>
          <w:tcPr>
            <w:tcW w:w="10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342CF22" w14:textId="77777777" w:rsidR="00D20328" w:rsidRPr="00A92167" w:rsidRDefault="00D20328" w:rsidP="0053261F">
            <w:pPr>
              <w:pStyle w:val="TableStyle2"/>
            </w:pPr>
            <w:r w:rsidRPr="00A92167">
              <w:rPr>
                <w:rFonts w:eastAsia="Arial Unicode MS" w:cs="Arial Unicode MS"/>
              </w:rPr>
              <w:t>Type of Leave</w:t>
            </w:r>
          </w:p>
        </w:tc>
        <w:tc>
          <w:tcPr>
            <w:tcW w:w="485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51105E0" w14:textId="77777777" w:rsidR="00D20328" w:rsidRPr="00A92167" w:rsidRDefault="00D20328" w:rsidP="0053261F">
            <w:pPr>
              <w:pStyle w:val="TableStyle2"/>
            </w:pPr>
            <w:r w:rsidRPr="00A92167">
              <w:rPr>
                <w:rFonts w:eastAsia="Arial Unicode MS" w:cs="Arial Unicode MS"/>
              </w:rPr>
              <w:t>Qualifying Reason</w:t>
            </w:r>
          </w:p>
        </w:tc>
        <w:tc>
          <w:tcPr>
            <w:tcW w:w="14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91B1087" w14:textId="77777777" w:rsidR="00D20328" w:rsidRPr="00A92167" w:rsidRDefault="00D20328" w:rsidP="0053261F">
            <w:pPr>
              <w:pStyle w:val="TableStyle2"/>
            </w:pPr>
            <w:r w:rsidRPr="00A92167">
              <w:rPr>
                <w:rFonts w:eastAsia="Arial Unicode MS" w:cs="Arial Unicode MS"/>
              </w:rPr>
              <w:t>Length</w:t>
            </w:r>
          </w:p>
        </w:tc>
        <w:tc>
          <w:tcPr>
            <w:tcW w:w="91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E56070D" w14:textId="77777777" w:rsidR="00D20328" w:rsidRPr="00A92167" w:rsidRDefault="00D20328" w:rsidP="0053261F">
            <w:pPr>
              <w:pStyle w:val="TableStyle2"/>
            </w:pPr>
            <w:r w:rsidRPr="00A92167">
              <w:rPr>
                <w:rFonts w:eastAsia="Arial Unicode MS" w:cs="Arial Unicode MS"/>
              </w:rPr>
              <w:t>Rate</w:t>
            </w:r>
          </w:p>
        </w:tc>
      </w:tr>
      <w:tr w:rsidR="00D20328" w:rsidRPr="00A92167" w14:paraId="2A9E8E1D" w14:textId="77777777" w:rsidTr="00A92167">
        <w:trPr>
          <w:trHeight w:val="479"/>
        </w:trPr>
        <w:tc>
          <w:tcPr>
            <w:tcW w:w="106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D4D9A55" w14:textId="77777777" w:rsidR="00D20328" w:rsidRPr="00A92167" w:rsidRDefault="00D20328" w:rsidP="0053261F">
            <w:pPr>
              <w:pStyle w:val="TableStyle2"/>
            </w:pPr>
            <w:r w:rsidRPr="00A92167">
              <w:rPr>
                <w:rFonts w:eastAsia="Arial Unicode MS" w:cs="Arial Unicode MS"/>
              </w:rPr>
              <w:t>All EEs</w:t>
            </w:r>
          </w:p>
        </w:tc>
        <w:tc>
          <w:tcPr>
            <w:tcW w:w="10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5268A5F" w14:textId="77777777" w:rsidR="00D20328" w:rsidRPr="00A92167" w:rsidRDefault="00D20328" w:rsidP="0053261F">
            <w:pPr>
              <w:pStyle w:val="TableStyle2"/>
            </w:pPr>
            <w:r w:rsidRPr="00A92167">
              <w:rPr>
                <w:rFonts w:eastAsia="Arial Unicode MS" w:cs="Arial Unicode MS"/>
              </w:rPr>
              <w:t>Paid Sick Leave</w:t>
            </w:r>
          </w:p>
        </w:tc>
        <w:tc>
          <w:tcPr>
            <w:tcW w:w="485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29709AD" w14:textId="77777777" w:rsidR="00D20328" w:rsidRPr="00A92167" w:rsidRDefault="00D20328" w:rsidP="0053261F">
            <w:pPr>
              <w:pStyle w:val="TableStyle2"/>
            </w:pPr>
            <w:r w:rsidRPr="00A92167">
              <w:rPr>
                <w:rFonts w:eastAsia="Arial Unicode MS" w:cs="Arial Unicode MS"/>
              </w:rPr>
              <w:t>EE is subject to Federal, State, or Local quarantine or isolation order related to COVID-19</w:t>
            </w:r>
          </w:p>
        </w:tc>
        <w:tc>
          <w:tcPr>
            <w:tcW w:w="14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75AD6EF" w14:textId="77777777" w:rsidR="00D20328" w:rsidRPr="00A92167" w:rsidRDefault="00D20328" w:rsidP="0053261F">
            <w:pPr>
              <w:pStyle w:val="TableStyle2"/>
            </w:pPr>
            <w:r w:rsidRPr="00A92167">
              <w:rPr>
                <w:rFonts w:eastAsia="Arial Unicode MS" w:cs="Arial Unicode MS"/>
              </w:rPr>
              <w:t>2 weeks (up to 80 hours)</w:t>
            </w:r>
          </w:p>
        </w:tc>
        <w:tc>
          <w:tcPr>
            <w:tcW w:w="91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2F48BA8" w14:textId="77777777" w:rsidR="00D20328" w:rsidRPr="00A92167" w:rsidRDefault="00D20328" w:rsidP="0053261F">
            <w:pPr>
              <w:pStyle w:val="TableStyle2"/>
            </w:pPr>
            <w:r w:rsidRPr="00A92167">
              <w:rPr>
                <w:rFonts w:eastAsia="Arial Unicode MS" w:cs="Arial Unicode MS"/>
              </w:rPr>
              <w:t>Full rate</w:t>
            </w:r>
          </w:p>
        </w:tc>
      </w:tr>
      <w:tr w:rsidR="00D20328" w:rsidRPr="00A92167" w14:paraId="7C8588CF" w14:textId="77777777" w:rsidTr="00A92167">
        <w:trPr>
          <w:trHeight w:val="479"/>
        </w:trPr>
        <w:tc>
          <w:tcPr>
            <w:tcW w:w="106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FBEBF89" w14:textId="77777777" w:rsidR="00D20328" w:rsidRPr="00A92167" w:rsidRDefault="00D20328" w:rsidP="0053261F">
            <w:pPr>
              <w:pStyle w:val="TableStyle2"/>
            </w:pPr>
            <w:r w:rsidRPr="00A92167">
              <w:rPr>
                <w:rFonts w:eastAsia="Arial Unicode MS" w:cs="Arial Unicode MS"/>
              </w:rPr>
              <w:t>All EEs</w:t>
            </w:r>
          </w:p>
        </w:tc>
        <w:tc>
          <w:tcPr>
            <w:tcW w:w="10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3C6ABCE" w14:textId="77777777" w:rsidR="00D20328" w:rsidRPr="00A92167" w:rsidRDefault="00D20328" w:rsidP="0053261F">
            <w:pPr>
              <w:pStyle w:val="TableStyle2"/>
            </w:pPr>
            <w:r w:rsidRPr="00A92167">
              <w:rPr>
                <w:rFonts w:eastAsia="Arial Unicode MS" w:cs="Arial Unicode MS"/>
              </w:rPr>
              <w:t>Paid Sick Leave</w:t>
            </w:r>
          </w:p>
        </w:tc>
        <w:tc>
          <w:tcPr>
            <w:tcW w:w="485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7B9F127" w14:textId="0B73CB0C" w:rsidR="00D20328" w:rsidRPr="00A92167" w:rsidRDefault="00D20328" w:rsidP="0053261F">
            <w:pPr>
              <w:pStyle w:val="TableStyle2"/>
            </w:pPr>
            <w:r w:rsidRPr="00A92167">
              <w:rPr>
                <w:rFonts w:eastAsia="Arial Unicode MS" w:cs="Arial Unicode MS"/>
              </w:rPr>
              <w:t>EE advised by Health Care Provider to self</w:t>
            </w:r>
            <w:r w:rsidR="002A0DB8">
              <w:rPr>
                <w:rFonts w:eastAsia="Arial Unicode MS" w:cs="Arial Unicode MS"/>
              </w:rPr>
              <w:t>-</w:t>
            </w:r>
            <w:r w:rsidRPr="00A92167">
              <w:rPr>
                <w:rFonts w:eastAsia="Arial Unicode MS" w:cs="Arial Unicode MS"/>
              </w:rPr>
              <w:t xml:space="preserve"> quarantine related to COVID-19</w:t>
            </w:r>
          </w:p>
        </w:tc>
        <w:tc>
          <w:tcPr>
            <w:tcW w:w="14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3652DA0" w14:textId="77777777" w:rsidR="00D20328" w:rsidRPr="00A92167" w:rsidRDefault="00D20328" w:rsidP="0053261F">
            <w:pPr>
              <w:pStyle w:val="TableStyle2"/>
            </w:pPr>
            <w:r w:rsidRPr="00A92167">
              <w:rPr>
                <w:rFonts w:eastAsia="Arial Unicode MS" w:cs="Arial Unicode MS"/>
              </w:rPr>
              <w:t>2 weeks (up to 80 hours)</w:t>
            </w:r>
          </w:p>
        </w:tc>
        <w:tc>
          <w:tcPr>
            <w:tcW w:w="91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B941F66" w14:textId="77777777" w:rsidR="00D20328" w:rsidRPr="00A92167" w:rsidRDefault="00D20328" w:rsidP="0053261F">
            <w:pPr>
              <w:pStyle w:val="TableStyle2"/>
            </w:pPr>
            <w:r w:rsidRPr="00A92167">
              <w:rPr>
                <w:rFonts w:eastAsia="Arial Unicode MS" w:cs="Arial Unicode MS"/>
              </w:rPr>
              <w:t>Full rate</w:t>
            </w:r>
          </w:p>
        </w:tc>
      </w:tr>
      <w:tr w:rsidR="00D20328" w:rsidRPr="00A92167" w14:paraId="7E69EDDC" w14:textId="77777777" w:rsidTr="00A92167">
        <w:trPr>
          <w:trHeight w:val="479"/>
        </w:trPr>
        <w:tc>
          <w:tcPr>
            <w:tcW w:w="106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9DE57AD" w14:textId="77777777" w:rsidR="00D20328" w:rsidRPr="00A92167" w:rsidRDefault="00D20328" w:rsidP="0053261F">
            <w:pPr>
              <w:pStyle w:val="TableStyle2"/>
            </w:pPr>
            <w:r w:rsidRPr="00A92167">
              <w:rPr>
                <w:rFonts w:eastAsia="Arial Unicode MS" w:cs="Arial Unicode MS"/>
              </w:rPr>
              <w:t>All EEs</w:t>
            </w:r>
          </w:p>
        </w:tc>
        <w:tc>
          <w:tcPr>
            <w:tcW w:w="10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1D63FAB" w14:textId="77777777" w:rsidR="00D20328" w:rsidRPr="00A92167" w:rsidRDefault="00D20328" w:rsidP="0053261F">
            <w:pPr>
              <w:pStyle w:val="TableStyle2"/>
            </w:pPr>
            <w:r w:rsidRPr="00A92167">
              <w:rPr>
                <w:rFonts w:eastAsia="Arial Unicode MS" w:cs="Arial Unicode MS"/>
              </w:rPr>
              <w:t>Paid Sick Leave</w:t>
            </w:r>
          </w:p>
        </w:tc>
        <w:tc>
          <w:tcPr>
            <w:tcW w:w="485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3556953" w14:textId="77777777" w:rsidR="00D20328" w:rsidRPr="00A92167" w:rsidRDefault="00D20328" w:rsidP="0053261F">
            <w:pPr>
              <w:pStyle w:val="TableStyle2"/>
            </w:pPr>
            <w:r w:rsidRPr="00A92167">
              <w:rPr>
                <w:rFonts w:eastAsia="Arial Unicode MS" w:cs="Arial Unicode MS"/>
              </w:rPr>
              <w:t>EE has CV symptoms &amp; seeking medical diagnosis</w:t>
            </w:r>
          </w:p>
        </w:tc>
        <w:tc>
          <w:tcPr>
            <w:tcW w:w="14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EB665B4" w14:textId="77777777" w:rsidR="00D20328" w:rsidRPr="00A92167" w:rsidRDefault="00D20328" w:rsidP="0053261F">
            <w:pPr>
              <w:pStyle w:val="TableStyle2"/>
            </w:pPr>
            <w:r w:rsidRPr="00A92167">
              <w:rPr>
                <w:rFonts w:eastAsia="Arial Unicode MS" w:cs="Arial Unicode MS"/>
              </w:rPr>
              <w:t>2 weeks (up to 80 hours)</w:t>
            </w:r>
          </w:p>
        </w:tc>
        <w:tc>
          <w:tcPr>
            <w:tcW w:w="91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66867FB" w14:textId="77777777" w:rsidR="00D20328" w:rsidRPr="00A92167" w:rsidRDefault="00D20328" w:rsidP="0053261F">
            <w:pPr>
              <w:pStyle w:val="TableStyle2"/>
            </w:pPr>
            <w:r w:rsidRPr="00A92167">
              <w:rPr>
                <w:rFonts w:eastAsia="Arial Unicode MS" w:cs="Arial Unicode MS"/>
              </w:rPr>
              <w:t>Full rate</w:t>
            </w:r>
          </w:p>
        </w:tc>
      </w:tr>
      <w:tr w:rsidR="00D20328" w:rsidRPr="00A92167" w14:paraId="320C4BD3" w14:textId="77777777" w:rsidTr="00A92167">
        <w:trPr>
          <w:trHeight w:val="719"/>
        </w:trPr>
        <w:tc>
          <w:tcPr>
            <w:tcW w:w="106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0D6FD6B" w14:textId="77777777" w:rsidR="00D20328" w:rsidRPr="00A92167" w:rsidRDefault="00D20328" w:rsidP="0053261F">
            <w:pPr>
              <w:pStyle w:val="TableStyle2"/>
            </w:pPr>
            <w:r w:rsidRPr="00A92167">
              <w:rPr>
                <w:rFonts w:eastAsia="Arial Unicode MS" w:cs="Arial Unicode MS"/>
              </w:rPr>
              <w:t>All EEs</w:t>
            </w:r>
          </w:p>
        </w:tc>
        <w:tc>
          <w:tcPr>
            <w:tcW w:w="10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2C4CC50" w14:textId="77777777" w:rsidR="00D20328" w:rsidRPr="00A92167" w:rsidRDefault="00D20328" w:rsidP="0053261F">
            <w:pPr>
              <w:pStyle w:val="TableStyle2"/>
            </w:pPr>
            <w:r w:rsidRPr="00A92167">
              <w:rPr>
                <w:rFonts w:eastAsia="Arial Unicode MS" w:cs="Arial Unicode MS"/>
              </w:rPr>
              <w:t>Paid Sick Leave</w:t>
            </w:r>
          </w:p>
        </w:tc>
        <w:tc>
          <w:tcPr>
            <w:tcW w:w="485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2DED5C2" w14:textId="77777777" w:rsidR="00D20328" w:rsidRPr="00A92167" w:rsidRDefault="00D20328" w:rsidP="0053261F">
            <w:pPr>
              <w:pStyle w:val="TableStyle2"/>
            </w:pPr>
            <w:r w:rsidRPr="00A92167">
              <w:rPr>
                <w:rFonts w:eastAsia="Arial Unicode MS" w:cs="Arial Unicode MS"/>
              </w:rPr>
              <w:t>Caring for someone who is:</w:t>
            </w:r>
          </w:p>
          <w:p w14:paraId="59BB2BE5" w14:textId="74414E0B" w:rsidR="00D20328" w:rsidRPr="00A92167" w:rsidRDefault="00D20328" w:rsidP="0053261F">
            <w:pPr>
              <w:pStyle w:val="TableStyle2"/>
            </w:pPr>
            <w:r w:rsidRPr="00A92167">
              <w:rPr>
                <w:rFonts w:eastAsia="Arial Unicode MS" w:cs="Arial Unicode MS"/>
              </w:rPr>
              <w:t>-subject to quarantine or isolation order; or -advised by HCP to self</w:t>
            </w:r>
            <w:r w:rsidR="002A0DB8">
              <w:rPr>
                <w:rFonts w:eastAsia="Arial Unicode MS" w:cs="Arial Unicode MS"/>
              </w:rPr>
              <w:t>-</w:t>
            </w:r>
            <w:r w:rsidRPr="00A92167">
              <w:rPr>
                <w:rFonts w:eastAsia="Arial Unicode MS" w:cs="Arial Unicode MS"/>
              </w:rPr>
              <w:t>quarantine related to COVID-19</w:t>
            </w:r>
          </w:p>
        </w:tc>
        <w:tc>
          <w:tcPr>
            <w:tcW w:w="14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C8FE7C6" w14:textId="77777777" w:rsidR="00D20328" w:rsidRPr="00A92167" w:rsidRDefault="00D20328" w:rsidP="0053261F">
            <w:pPr>
              <w:pStyle w:val="TableStyle2"/>
            </w:pPr>
            <w:r w:rsidRPr="00A92167">
              <w:rPr>
                <w:rFonts w:eastAsia="Arial Unicode MS" w:cs="Arial Unicode MS"/>
              </w:rPr>
              <w:t>2 weeks (up to 80 hours)</w:t>
            </w:r>
          </w:p>
        </w:tc>
        <w:tc>
          <w:tcPr>
            <w:tcW w:w="91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7BB933D" w14:textId="77777777" w:rsidR="00D20328" w:rsidRPr="00A92167" w:rsidRDefault="00D20328" w:rsidP="0053261F">
            <w:pPr>
              <w:pStyle w:val="TableStyle2"/>
            </w:pPr>
            <w:r w:rsidRPr="00A92167">
              <w:rPr>
                <w:rFonts w:eastAsia="Arial Unicode MS" w:cs="Arial Unicode MS"/>
              </w:rPr>
              <w:t>2/3 Rate</w:t>
            </w:r>
          </w:p>
        </w:tc>
      </w:tr>
      <w:tr w:rsidR="00D20328" w:rsidRPr="00A92167" w14:paraId="0EDCB15A" w14:textId="77777777" w:rsidTr="00A92167">
        <w:trPr>
          <w:trHeight w:val="479"/>
        </w:trPr>
        <w:tc>
          <w:tcPr>
            <w:tcW w:w="106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CC5AE21" w14:textId="77777777" w:rsidR="00D20328" w:rsidRPr="00A92167" w:rsidRDefault="00D20328" w:rsidP="0053261F">
            <w:pPr>
              <w:pStyle w:val="TableStyle2"/>
            </w:pPr>
            <w:r w:rsidRPr="00A92167">
              <w:rPr>
                <w:rFonts w:eastAsia="Arial Unicode MS" w:cs="Arial Unicode MS"/>
              </w:rPr>
              <w:t>All EEs</w:t>
            </w:r>
          </w:p>
        </w:tc>
        <w:tc>
          <w:tcPr>
            <w:tcW w:w="10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6B5DE9C" w14:textId="77777777" w:rsidR="00D20328" w:rsidRPr="00A92167" w:rsidRDefault="00D20328" w:rsidP="0053261F">
            <w:pPr>
              <w:pStyle w:val="TableStyle2"/>
            </w:pPr>
            <w:r w:rsidRPr="00A92167">
              <w:rPr>
                <w:rFonts w:eastAsia="Arial Unicode MS" w:cs="Arial Unicode MS"/>
              </w:rPr>
              <w:t>Paid Sick Leave</w:t>
            </w:r>
          </w:p>
        </w:tc>
        <w:tc>
          <w:tcPr>
            <w:tcW w:w="485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A29F078" w14:textId="77777777" w:rsidR="00D20328" w:rsidRPr="00A92167" w:rsidRDefault="00D20328" w:rsidP="0053261F">
            <w:pPr>
              <w:pStyle w:val="TableStyle2"/>
            </w:pPr>
            <w:r w:rsidRPr="00A92167">
              <w:rPr>
                <w:rFonts w:eastAsia="Arial Unicode MS" w:cs="Arial Unicode MS"/>
              </w:rPr>
              <w:t>Caring for child (under 18) whose school or care provider is closed or unavailable b/c of COVID-19</w:t>
            </w:r>
          </w:p>
        </w:tc>
        <w:tc>
          <w:tcPr>
            <w:tcW w:w="14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5FB17B7" w14:textId="77777777" w:rsidR="00D20328" w:rsidRPr="00A92167" w:rsidRDefault="00D20328" w:rsidP="0053261F">
            <w:pPr>
              <w:pStyle w:val="TableStyle2"/>
            </w:pPr>
            <w:r w:rsidRPr="00A92167">
              <w:rPr>
                <w:rFonts w:eastAsia="Arial Unicode MS" w:cs="Arial Unicode MS"/>
              </w:rPr>
              <w:t>2 weeks (up to 80 hours)</w:t>
            </w:r>
          </w:p>
        </w:tc>
        <w:tc>
          <w:tcPr>
            <w:tcW w:w="91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CC9A570" w14:textId="77777777" w:rsidR="00D20328" w:rsidRPr="00A92167" w:rsidRDefault="00D20328" w:rsidP="0053261F">
            <w:pPr>
              <w:pStyle w:val="TableStyle2"/>
            </w:pPr>
            <w:r w:rsidRPr="00A92167">
              <w:rPr>
                <w:rFonts w:eastAsia="Arial Unicode MS" w:cs="Arial Unicode MS"/>
              </w:rPr>
              <w:t>2/3 Rate</w:t>
            </w:r>
          </w:p>
        </w:tc>
      </w:tr>
      <w:tr w:rsidR="00D20328" w:rsidRPr="00A92167" w14:paraId="352F07FB" w14:textId="77777777" w:rsidTr="00A92167">
        <w:trPr>
          <w:trHeight w:val="479"/>
        </w:trPr>
        <w:tc>
          <w:tcPr>
            <w:tcW w:w="106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38C8051" w14:textId="77777777" w:rsidR="00D20328" w:rsidRPr="00A92167" w:rsidRDefault="00D20328" w:rsidP="0053261F">
            <w:pPr>
              <w:pStyle w:val="TableStyle2"/>
            </w:pPr>
            <w:r w:rsidRPr="00A92167">
              <w:rPr>
                <w:rFonts w:eastAsia="Arial Unicode MS" w:cs="Arial Unicode MS"/>
              </w:rPr>
              <w:t>All EEs</w:t>
            </w:r>
          </w:p>
        </w:tc>
        <w:tc>
          <w:tcPr>
            <w:tcW w:w="10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00238D3B" w14:textId="77777777" w:rsidR="00D20328" w:rsidRPr="00A92167" w:rsidRDefault="00D20328" w:rsidP="0053261F">
            <w:pPr>
              <w:pStyle w:val="TableStyle2"/>
            </w:pPr>
            <w:r w:rsidRPr="00A92167">
              <w:rPr>
                <w:rFonts w:eastAsia="Arial Unicode MS" w:cs="Arial Unicode MS"/>
              </w:rPr>
              <w:t>Paid Sick Leave</w:t>
            </w:r>
          </w:p>
        </w:tc>
        <w:tc>
          <w:tcPr>
            <w:tcW w:w="485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EEDAFD3" w14:textId="45990D95" w:rsidR="00D20328" w:rsidRPr="00A92167" w:rsidRDefault="00D20328" w:rsidP="0053261F">
            <w:pPr>
              <w:pStyle w:val="TableStyle2"/>
            </w:pPr>
            <w:r w:rsidRPr="00A92167">
              <w:rPr>
                <w:rFonts w:eastAsia="Arial Unicode MS" w:cs="Arial Unicode MS"/>
              </w:rPr>
              <w:t xml:space="preserve">Other similar situation </w:t>
            </w:r>
            <w:r w:rsidR="00626EC3">
              <w:rPr>
                <w:rFonts w:eastAsia="Arial Unicode MS" w:cs="Arial Unicode MS"/>
              </w:rPr>
              <w:t>as identified by the Secretary of Health and Human Services</w:t>
            </w:r>
            <w:r w:rsidRPr="00A92167">
              <w:rPr>
                <w:rFonts w:eastAsia="Arial Unicode MS" w:cs="Arial Unicode MS"/>
              </w:rPr>
              <w:t xml:space="preserve"> </w:t>
            </w:r>
          </w:p>
        </w:tc>
        <w:tc>
          <w:tcPr>
            <w:tcW w:w="14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F7F35FA" w14:textId="77777777" w:rsidR="00D20328" w:rsidRPr="00A92167" w:rsidRDefault="00D20328" w:rsidP="0053261F">
            <w:pPr>
              <w:pStyle w:val="TableStyle2"/>
            </w:pPr>
            <w:r w:rsidRPr="00A92167">
              <w:rPr>
                <w:rFonts w:eastAsia="Arial Unicode MS" w:cs="Arial Unicode MS"/>
              </w:rPr>
              <w:t>2 weeks (up to 80 hours)</w:t>
            </w:r>
          </w:p>
        </w:tc>
        <w:tc>
          <w:tcPr>
            <w:tcW w:w="91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3E469781" w14:textId="77777777" w:rsidR="00D20328" w:rsidRPr="00A92167" w:rsidRDefault="00D20328" w:rsidP="0053261F">
            <w:pPr>
              <w:pStyle w:val="TableStyle2"/>
            </w:pPr>
            <w:r w:rsidRPr="00A92167">
              <w:rPr>
                <w:rFonts w:eastAsia="Arial Unicode MS" w:cs="Arial Unicode MS"/>
              </w:rPr>
              <w:t>2/3 Rate</w:t>
            </w:r>
          </w:p>
        </w:tc>
      </w:tr>
      <w:tr w:rsidR="00D20328" w:rsidRPr="00A92167" w14:paraId="00F3F746" w14:textId="77777777" w:rsidTr="00A92167">
        <w:trPr>
          <w:trHeight w:val="1919"/>
        </w:trPr>
        <w:tc>
          <w:tcPr>
            <w:tcW w:w="1065"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6851F309" w14:textId="55B00D09" w:rsidR="00D20328" w:rsidRPr="00A92167" w:rsidRDefault="00D20328" w:rsidP="0053261F">
            <w:pPr>
              <w:pStyle w:val="TableStyle2"/>
            </w:pPr>
            <w:r w:rsidRPr="00A92167">
              <w:rPr>
                <w:rFonts w:eastAsia="Arial Unicode MS" w:cs="Arial Unicode MS"/>
              </w:rPr>
              <w:t>EE who has been employed for at least 30 days</w:t>
            </w:r>
          </w:p>
        </w:tc>
        <w:tc>
          <w:tcPr>
            <w:tcW w:w="108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2AE58BB8" w14:textId="77777777" w:rsidR="00D20328" w:rsidRPr="00A92167" w:rsidRDefault="00D20328" w:rsidP="0053261F">
            <w:pPr>
              <w:pStyle w:val="TableStyle2"/>
            </w:pPr>
            <w:r w:rsidRPr="00A92167">
              <w:rPr>
                <w:rFonts w:eastAsia="Arial Unicode MS" w:cs="Arial Unicode MS"/>
              </w:rPr>
              <w:t>Expanded Family and Medical Leave</w:t>
            </w:r>
          </w:p>
        </w:tc>
        <w:tc>
          <w:tcPr>
            <w:tcW w:w="4854"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432DD774" w14:textId="77777777" w:rsidR="00D20328" w:rsidRPr="00A92167" w:rsidRDefault="00D20328" w:rsidP="0053261F">
            <w:pPr>
              <w:pStyle w:val="TableStyle2"/>
            </w:pPr>
            <w:r w:rsidRPr="00A92167">
              <w:rPr>
                <w:rFonts w:eastAsia="Arial Unicode MS" w:cs="Arial Unicode MS"/>
              </w:rPr>
              <w:t>Unable to work because caring for a child (under 18) whose school or care provider is closed or unavailable due to COVID-19</w:t>
            </w:r>
          </w:p>
        </w:tc>
        <w:tc>
          <w:tcPr>
            <w:tcW w:w="1440"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0AF4D2A" w14:textId="77777777" w:rsidR="00D20328" w:rsidRPr="00A92167" w:rsidRDefault="00D20328" w:rsidP="0053261F">
            <w:pPr>
              <w:pStyle w:val="TableStyle2"/>
            </w:pPr>
            <w:r w:rsidRPr="00A92167">
              <w:rPr>
                <w:rFonts w:eastAsia="Arial Unicode MS" w:cs="Arial Unicode MS"/>
              </w:rPr>
              <w:t>Additional 10 weeks (for a total of 12 weeks including first 2 weeks of paid sick leave).</w:t>
            </w:r>
          </w:p>
        </w:tc>
        <w:tc>
          <w:tcPr>
            <w:tcW w:w="91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0301DCB" w14:textId="77777777" w:rsidR="00D20328" w:rsidRPr="00A92167" w:rsidRDefault="00D20328" w:rsidP="0053261F">
            <w:pPr>
              <w:pStyle w:val="TableStyle2"/>
            </w:pPr>
            <w:r w:rsidRPr="00A92167">
              <w:rPr>
                <w:rFonts w:eastAsia="Arial Unicode MS" w:cs="Arial Unicode MS"/>
              </w:rPr>
              <w:t>2/3 Rate</w:t>
            </w:r>
          </w:p>
        </w:tc>
      </w:tr>
    </w:tbl>
    <w:p w14:paraId="7D6271E9" w14:textId="77777777" w:rsidR="00D20328" w:rsidRPr="00A92167" w:rsidRDefault="00D20328" w:rsidP="00D20328">
      <w:pPr>
        <w:pStyle w:val="Body"/>
        <w:rPr>
          <w:rFonts w:hint="eastAsia"/>
          <w:sz w:val="20"/>
          <w:szCs w:val="20"/>
        </w:rPr>
      </w:pPr>
    </w:p>
    <w:p w14:paraId="4B4607A5" w14:textId="5EDF26EE" w:rsidR="009449E1" w:rsidRPr="00A92167" w:rsidRDefault="00D20328" w:rsidP="00F4480D">
      <w:pPr>
        <w:pStyle w:val="Body"/>
        <w:rPr>
          <w:rFonts w:ascii="Palatino Linotype" w:hAnsi="Palatino Linotype" w:cs="Calibri"/>
          <w:sz w:val="20"/>
          <w:szCs w:val="20"/>
        </w:rPr>
      </w:pPr>
      <w:r w:rsidRPr="00A92167">
        <w:rPr>
          <w:sz w:val="20"/>
          <w:szCs w:val="20"/>
          <w:lang w:val="en-US"/>
        </w:rPr>
        <w:t>* EE is short for employee.</w:t>
      </w:r>
    </w:p>
    <w:sectPr w:rsidR="009449E1" w:rsidRPr="00A92167" w:rsidSect="005B352F">
      <w:headerReference w:type="default" r:id="rId21"/>
      <w:footerReference w:type="default" r:id="rId22"/>
      <w:pgSz w:w="12240" w:h="15840"/>
      <w:pgMar w:top="1296" w:right="1296" w:bottom="720"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A1F35" w14:textId="77777777" w:rsidR="00565F06" w:rsidRDefault="00565F06" w:rsidP="00D07D30">
      <w:pPr>
        <w:spacing w:after="0" w:line="240" w:lineRule="auto"/>
      </w:pPr>
      <w:r>
        <w:separator/>
      </w:r>
    </w:p>
  </w:endnote>
  <w:endnote w:type="continuationSeparator" w:id="0">
    <w:p w14:paraId="0D917007" w14:textId="77777777" w:rsidR="00565F06" w:rsidRDefault="00565F06" w:rsidP="00D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F8F0" w14:textId="77777777" w:rsidR="0059467C" w:rsidRPr="00CF523A" w:rsidRDefault="0059467C" w:rsidP="0059467C">
    <w:pPr>
      <w:spacing w:after="0" w:line="240" w:lineRule="auto"/>
      <w:jc w:val="center"/>
      <w:rPr>
        <w:rFonts w:ascii="Palatino Linotype" w:hAnsi="Palatino Linotype" w:cs="Calibri"/>
        <w:b/>
        <w:bCs/>
        <w:noProof/>
        <w:sz w:val="20"/>
        <w:szCs w:val="20"/>
      </w:rPr>
    </w:pPr>
    <w:r w:rsidRPr="00CF523A">
      <w:rPr>
        <w:rFonts w:ascii="Palatino Linotype" w:hAnsi="Palatino Linotype" w:cs="Calibri"/>
        <w:noProof/>
        <w:sz w:val="20"/>
        <w:szCs w:val="20"/>
      </w:rPr>
      <w:t xml:space="preserve">Page </w:t>
    </w:r>
    <w:r w:rsidRPr="00CF523A">
      <w:rPr>
        <w:rFonts w:ascii="Palatino Linotype" w:hAnsi="Palatino Linotype" w:cs="Calibri"/>
        <w:b/>
        <w:bCs/>
        <w:noProof/>
        <w:sz w:val="20"/>
        <w:szCs w:val="20"/>
      </w:rPr>
      <w:fldChar w:fldCharType="begin"/>
    </w:r>
    <w:r w:rsidRPr="00CF523A">
      <w:rPr>
        <w:rFonts w:ascii="Palatino Linotype" w:hAnsi="Palatino Linotype" w:cs="Calibri"/>
        <w:b/>
        <w:bCs/>
        <w:noProof/>
        <w:sz w:val="20"/>
        <w:szCs w:val="20"/>
      </w:rPr>
      <w:instrText xml:space="preserve"> PAGE  \* Arabic  \* MERGEFORMAT </w:instrText>
    </w:r>
    <w:r w:rsidRPr="00CF523A">
      <w:rPr>
        <w:rFonts w:ascii="Palatino Linotype" w:hAnsi="Palatino Linotype" w:cs="Calibri"/>
        <w:b/>
        <w:bCs/>
        <w:noProof/>
        <w:sz w:val="20"/>
        <w:szCs w:val="20"/>
      </w:rPr>
      <w:fldChar w:fldCharType="separate"/>
    </w:r>
    <w:r w:rsidR="001F6C66" w:rsidRPr="00CF523A">
      <w:rPr>
        <w:rFonts w:ascii="Palatino Linotype" w:hAnsi="Palatino Linotype" w:cs="Calibri"/>
        <w:b/>
        <w:bCs/>
        <w:noProof/>
        <w:sz w:val="20"/>
        <w:szCs w:val="20"/>
      </w:rPr>
      <w:t>2</w:t>
    </w:r>
    <w:r w:rsidRPr="00CF523A">
      <w:rPr>
        <w:rFonts w:ascii="Palatino Linotype" w:hAnsi="Palatino Linotype" w:cs="Calibri"/>
        <w:b/>
        <w:bCs/>
        <w:noProof/>
        <w:sz w:val="20"/>
        <w:szCs w:val="20"/>
      </w:rPr>
      <w:fldChar w:fldCharType="end"/>
    </w:r>
    <w:r w:rsidRPr="00CF523A">
      <w:rPr>
        <w:rFonts w:ascii="Palatino Linotype" w:hAnsi="Palatino Linotype" w:cs="Calibri"/>
        <w:noProof/>
        <w:sz w:val="20"/>
        <w:szCs w:val="20"/>
      </w:rPr>
      <w:t xml:space="preserve"> of </w:t>
    </w:r>
    <w:r w:rsidRPr="00CF523A">
      <w:rPr>
        <w:rFonts w:ascii="Palatino Linotype" w:hAnsi="Palatino Linotype" w:cs="Calibri"/>
        <w:b/>
        <w:bCs/>
        <w:noProof/>
        <w:sz w:val="20"/>
        <w:szCs w:val="20"/>
      </w:rPr>
      <w:fldChar w:fldCharType="begin"/>
    </w:r>
    <w:r w:rsidRPr="00CF523A">
      <w:rPr>
        <w:rFonts w:ascii="Palatino Linotype" w:hAnsi="Palatino Linotype" w:cs="Calibri"/>
        <w:b/>
        <w:bCs/>
        <w:noProof/>
        <w:sz w:val="20"/>
        <w:szCs w:val="20"/>
      </w:rPr>
      <w:instrText xml:space="preserve"> NUMPAGES  \* Arabic  \* MERGEFORMAT </w:instrText>
    </w:r>
    <w:r w:rsidRPr="00CF523A">
      <w:rPr>
        <w:rFonts w:ascii="Palatino Linotype" w:hAnsi="Palatino Linotype" w:cs="Calibri"/>
        <w:b/>
        <w:bCs/>
        <w:noProof/>
        <w:sz w:val="20"/>
        <w:szCs w:val="20"/>
      </w:rPr>
      <w:fldChar w:fldCharType="separate"/>
    </w:r>
    <w:r w:rsidR="001F6C66" w:rsidRPr="00CF523A">
      <w:rPr>
        <w:rFonts w:ascii="Palatino Linotype" w:hAnsi="Palatino Linotype" w:cs="Calibri"/>
        <w:b/>
        <w:bCs/>
        <w:noProof/>
        <w:sz w:val="20"/>
        <w:szCs w:val="20"/>
      </w:rPr>
      <w:t>2</w:t>
    </w:r>
    <w:r w:rsidRPr="00CF523A">
      <w:rPr>
        <w:rFonts w:ascii="Palatino Linotype" w:hAnsi="Palatino Linotype" w:cs="Calibri"/>
        <w:b/>
        <w:bCs/>
        <w:noProof/>
        <w:sz w:val="20"/>
        <w:szCs w:val="20"/>
      </w:rPr>
      <w:fldChar w:fldCharType="end"/>
    </w:r>
  </w:p>
  <w:p w14:paraId="35670AAC" w14:textId="77777777" w:rsidR="0059467C" w:rsidRPr="00075492" w:rsidRDefault="0059467C" w:rsidP="0059467C">
    <w:pPr>
      <w:spacing w:after="0" w:line="240" w:lineRule="auto"/>
      <w:jc w:val="center"/>
      <w:rPr>
        <w:rFonts w:ascii="Palatino Linotype" w:hAnsi="Palatino Linotype" w:cs="Calibri"/>
        <w:sz w:val="24"/>
        <w:szCs w:val="24"/>
      </w:rPr>
    </w:pPr>
  </w:p>
  <w:p w14:paraId="26646748" w14:textId="56AECC95" w:rsidR="00407186" w:rsidRPr="002913BB" w:rsidRDefault="005A7170" w:rsidP="002913BB">
    <w:pPr>
      <w:pStyle w:val="Footer"/>
      <w:jc w:val="center"/>
      <w:rPr>
        <w:sz w:val="18"/>
        <w:szCs w:val="18"/>
      </w:rPr>
    </w:pPr>
    <w:r w:rsidRPr="004A3866">
      <w:rPr>
        <w:sz w:val="18"/>
        <w:szCs w:val="18"/>
      </w:rPr>
      <w:t>For questions about this</w:t>
    </w:r>
    <w:r w:rsidR="00407186">
      <w:rPr>
        <w:sz w:val="18"/>
        <w:szCs w:val="18"/>
      </w:rPr>
      <w:t xml:space="preserve"> memo</w:t>
    </w:r>
    <w:r w:rsidRPr="004A3866">
      <w:rPr>
        <w:sz w:val="18"/>
        <w:szCs w:val="18"/>
      </w:rPr>
      <w:t xml:space="preserve">, please contact </w:t>
    </w:r>
    <w:r w:rsidR="00A92167">
      <w:rPr>
        <w:sz w:val="18"/>
        <w:szCs w:val="18"/>
      </w:rPr>
      <w:t xml:space="preserve">Cheri Harris </w:t>
    </w:r>
    <w:hyperlink r:id="rId1" w:history="1">
      <w:r w:rsidR="00A92167" w:rsidRPr="008A058A">
        <w:rPr>
          <w:rStyle w:val="Hyperlink"/>
          <w:sz w:val="18"/>
          <w:szCs w:val="18"/>
        </w:rPr>
        <w:t>chHarris@library.IN.gov</w:t>
      </w:r>
    </w:hyperlink>
    <w:r w:rsidR="00A92167">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4C55B" w14:textId="77777777" w:rsidR="00565F06" w:rsidRDefault="00565F06" w:rsidP="00D07D30">
      <w:pPr>
        <w:spacing w:after="0" w:line="240" w:lineRule="auto"/>
      </w:pPr>
      <w:r>
        <w:separator/>
      </w:r>
    </w:p>
  </w:footnote>
  <w:footnote w:type="continuationSeparator" w:id="0">
    <w:p w14:paraId="1902E20B" w14:textId="77777777" w:rsidR="00565F06" w:rsidRDefault="00565F06" w:rsidP="00D07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2E8C6" w14:textId="2EF7690E" w:rsidR="005A7170" w:rsidRDefault="005A7170" w:rsidP="00E54FB9">
    <w:pPr>
      <w:rPr>
        <w:rFonts w:ascii="Palatino Linotype" w:hAnsi="Palatino Linotype"/>
        <w:sz w:val="56"/>
        <w:szCs w:val="56"/>
      </w:rPr>
    </w:pPr>
    <w:r w:rsidRPr="00E54FB9">
      <w:rPr>
        <w:rFonts w:ascii="Palatino Linotype" w:hAnsi="Palatino Linotype"/>
        <w:sz w:val="56"/>
        <w:szCs w:val="56"/>
      </w:rPr>
      <w:t xml:space="preserve">Informational </w:t>
    </w:r>
    <w:r>
      <w:rPr>
        <w:rFonts w:ascii="Palatino Linotype" w:hAnsi="Palatino Linotype"/>
        <w:sz w:val="56"/>
        <w:szCs w:val="56"/>
      </w:rPr>
      <w:t xml:space="preserve">Legal </w:t>
    </w:r>
    <w:r w:rsidRPr="00E54FB9">
      <w:rPr>
        <w:rFonts w:ascii="Palatino Linotype" w:hAnsi="Palatino Linotype"/>
        <w:sz w:val="56"/>
        <w:szCs w:val="56"/>
      </w:rPr>
      <w:t>Memo</w:t>
    </w:r>
    <w:r>
      <w:rPr>
        <w:rFonts w:ascii="Palatino Linotype" w:hAnsi="Palatino Linotype"/>
        <w:sz w:val="56"/>
        <w:szCs w:val="56"/>
      </w:rPr>
      <w:t xml:space="preserve">          </w:t>
    </w:r>
    <w:r w:rsidR="00D20328">
      <w:rPr>
        <w:noProof/>
      </w:rPr>
      <w:drawing>
        <wp:anchor distT="0" distB="0" distL="114300" distR="114300" simplePos="0" relativeHeight="251657728" behindDoc="1" locked="0" layoutInCell="1" allowOverlap="1" wp14:anchorId="05E02D7B" wp14:editId="27F64D12">
          <wp:simplePos x="0" y="0"/>
          <wp:positionH relativeFrom="column">
            <wp:posOffset>5111750</wp:posOffset>
          </wp:positionH>
          <wp:positionV relativeFrom="paragraph">
            <wp:posOffset>0</wp:posOffset>
          </wp:positionV>
          <wp:extent cx="666750" cy="676275"/>
          <wp:effectExtent l="0" t="0" r="0" b="0"/>
          <wp:wrapTight wrapText="bothSides">
            <wp:wrapPolygon edited="0">
              <wp:start x="0" y="0"/>
              <wp:lineTo x="0" y="21296"/>
              <wp:lineTo x="20983" y="21296"/>
              <wp:lineTo x="2098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sz w:val="56"/>
        <w:szCs w:val="56"/>
      </w:rPr>
      <w:t xml:space="preserve">          </w:t>
    </w:r>
  </w:p>
  <w:p w14:paraId="0258F1BD" w14:textId="77777777" w:rsidR="005A7170" w:rsidRDefault="005A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25F"/>
    <w:multiLevelType w:val="hybridMultilevel"/>
    <w:tmpl w:val="D4AC7C5E"/>
    <w:styleLink w:val="BulletBig"/>
    <w:lvl w:ilvl="0" w:tplc="AB4E57E0">
      <w:start w:val="1"/>
      <w:numFmt w:val="bullet"/>
      <w:lvlText w:val="•"/>
      <w:lvlJc w:val="left"/>
      <w:pPr>
        <w:ind w:left="2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848115E">
      <w:start w:val="1"/>
      <w:numFmt w:val="bullet"/>
      <w:lvlText w:val="•"/>
      <w:lvlJc w:val="left"/>
      <w:pPr>
        <w:ind w:left="4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EEEF88">
      <w:start w:val="1"/>
      <w:numFmt w:val="bullet"/>
      <w:lvlText w:val="•"/>
      <w:lvlJc w:val="left"/>
      <w:pPr>
        <w:ind w:left="7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321442">
      <w:start w:val="1"/>
      <w:numFmt w:val="bullet"/>
      <w:lvlText w:val="•"/>
      <w:lvlJc w:val="left"/>
      <w:pPr>
        <w:ind w:left="9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30779A">
      <w:start w:val="1"/>
      <w:numFmt w:val="bullet"/>
      <w:lvlText w:val="•"/>
      <w:lvlJc w:val="left"/>
      <w:pPr>
        <w:ind w:left="120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1EDDCA">
      <w:start w:val="1"/>
      <w:numFmt w:val="bullet"/>
      <w:lvlText w:val="•"/>
      <w:lvlJc w:val="left"/>
      <w:pPr>
        <w:ind w:left="144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A8B6D2">
      <w:start w:val="1"/>
      <w:numFmt w:val="bullet"/>
      <w:lvlText w:val="•"/>
      <w:lvlJc w:val="left"/>
      <w:pPr>
        <w:ind w:left="168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12ADF6A">
      <w:start w:val="1"/>
      <w:numFmt w:val="bullet"/>
      <w:lvlText w:val="•"/>
      <w:lvlJc w:val="left"/>
      <w:pPr>
        <w:ind w:left="192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AF49C">
      <w:start w:val="1"/>
      <w:numFmt w:val="bullet"/>
      <w:lvlText w:val="•"/>
      <w:lvlJc w:val="left"/>
      <w:pPr>
        <w:ind w:left="2160" w:hanging="240"/>
      </w:pPr>
      <w:rPr>
        <w:rFonts w:hAnsi="Arial Unicode MS"/>
        <w:caps w:val="0"/>
        <w:smallCaps w:val="0"/>
        <w:strike w:val="0"/>
        <w:dstrike w:val="0"/>
        <w:color w:val="000000"/>
        <w:spacing w:val="0"/>
        <w:w w:val="100"/>
        <w:kern w:val="0"/>
        <w:position w:val="0"/>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7E0A99"/>
    <w:multiLevelType w:val="hybridMultilevel"/>
    <w:tmpl w:val="A6EC20B0"/>
    <w:styleLink w:val="Numbered"/>
    <w:lvl w:ilvl="0" w:tplc="46FCA8C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E4106E">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8CA2ED2">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4961F70">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8E3082">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8DA515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F6240C">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D25452">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30A0170">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A92E42"/>
    <w:multiLevelType w:val="hybridMultilevel"/>
    <w:tmpl w:val="A9A8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F7BB9"/>
    <w:multiLevelType w:val="hybridMultilevel"/>
    <w:tmpl w:val="D4AC7C5E"/>
    <w:numStyleLink w:val="BulletBig"/>
  </w:abstractNum>
  <w:abstractNum w:abstractNumId="4" w15:restartNumberingAfterBreak="0">
    <w:nsid w:val="53355D80"/>
    <w:multiLevelType w:val="hybridMultilevel"/>
    <w:tmpl w:val="A25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4A2A4E"/>
    <w:multiLevelType w:val="hybridMultilevel"/>
    <w:tmpl w:val="BEFEA7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D37CA"/>
    <w:multiLevelType w:val="hybridMultilevel"/>
    <w:tmpl w:val="1B7EF6F2"/>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15:restartNumberingAfterBreak="0">
    <w:nsid w:val="6EC539DF"/>
    <w:multiLevelType w:val="hybridMultilevel"/>
    <w:tmpl w:val="A6EC20B0"/>
    <w:numStyleLink w:val="Numbered"/>
  </w:abstractNum>
  <w:num w:numId="1">
    <w:abstractNumId w:val="2"/>
  </w:num>
  <w:num w:numId="2">
    <w:abstractNumId w:val="4"/>
  </w:num>
  <w:num w:numId="3">
    <w:abstractNumId w:val="6"/>
  </w:num>
  <w:num w:numId="4">
    <w:abstractNumId w:val="5"/>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B"/>
    <w:rsid w:val="00043FA8"/>
    <w:rsid w:val="0005166A"/>
    <w:rsid w:val="00053C5D"/>
    <w:rsid w:val="00075492"/>
    <w:rsid w:val="00076AFA"/>
    <w:rsid w:val="000B01DF"/>
    <w:rsid w:val="000E0CA4"/>
    <w:rsid w:val="000E1DB3"/>
    <w:rsid w:val="000E1F76"/>
    <w:rsid w:val="000E293B"/>
    <w:rsid w:val="000E55D3"/>
    <w:rsid w:val="000F7506"/>
    <w:rsid w:val="0010158E"/>
    <w:rsid w:val="00107FF8"/>
    <w:rsid w:val="0011087A"/>
    <w:rsid w:val="00115030"/>
    <w:rsid w:val="001230EC"/>
    <w:rsid w:val="0012635F"/>
    <w:rsid w:val="00127754"/>
    <w:rsid w:val="001455F7"/>
    <w:rsid w:val="001464AE"/>
    <w:rsid w:val="00151493"/>
    <w:rsid w:val="00155908"/>
    <w:rsid w:val="001730AF"/>
    <w:rsid w:val="001745EB"/>
    <w:rsid w:val="00180E81"/>
    <w:rsid w:val="00187FA3"/>
    <w:rsid w:val="0019247E"/>
    <w:rsid w:val="001A6348"/>
    <w:rsid w:val="001C3379"/>
    <w:rsid w:val="001D6403"/>
    <w:rsid w:val="001F2219"/>
    <w:rsid w:val="001F6C66"/>
    <w:rsid w:val="00205678"/>
    <w:rsid w:val="00205E8B"/>
    <w:rsid w:val="002131D8"/>
    <w:rsid w:val="00217E17"/>
    <w:rsid w:val="00244D52"/>
    <w:rsid w:val="00246758"/>
    <w:rsid w:val="00254065"/>
    <w:rsid w:val="00260865"/>
    <w:rsid w:val="002749C0"/>
    <w:rsid w:val="00286F5D"/>
    <w:rsid w:val="002913BB"/>
    <w:rsid w:val="00292F4B"/>
    <w:rsid w:val="00297C9C"/>
    <w:rsid w:val="002A090D"/>
    <w:rsid w:val="002A0DB8"/>
    <w:rsid w:val="002D5219"/>
    <w:rsid w:val="002E51AD"/>
    <w:rsid w:val="002F36A9"/>
    <w:rsid w:val="00314626"/>
    <w:rsid w:val="00343B2C"/>
    <w:rsid w:val="003446C3"/>
    <w:rsid w:val="0034512B"/>
    <w:rsid w:val="00354E3E"/>
    <w:rsid w:val="003579E1"/>
    <w:rsid w:val="00374B8F"/>
    <w:rsid w:val="00381E22"/>
    <w:rsid w:val="00385FF0"/>
    <w:rsid w:val="00386C8A"/>
    <w:rsid w:val="003937A7"/>
    <w:rsid w:val="003B1C98"/>
    <w:rsid w:val="003C2C84"/>
    <w:rsid w:val="003F7F67"/>
    <w:rsid w:val="0040243A"/>
    <w:rsid w:val="00402F2D"/>
    <w:rsid w:val="00407186"/>
    <w:rsid w:val="00420D84"/>
    <w:rsid w:val="00421294"/>
    <w:rsid w:val="004408D7"/>
    <w:rsid w:val="00446E41"/>
    <w:rsid w:val="00453EF9"/>
    <w:rsid w:val="0047025E"/>
    <w:rsid w:val="0049216C"/>
    <w:rsid w:val="004A0486"/>
    <w:rsid w:val="004A48FA"/>
    <w:rsid w:val="004C13D4"/>
    <w:rsid w:val="004C4AA0"/>
    <w:rsid w:val="004D3DFB"/>
    <w:rsid w:val="004F5480"/>
    <w:rsid w:val="004F6F9E"/>
    <w:rsid w:val="00504F36"/>
    <w:rsid w:val="00537945"/>
    <w:rsid w:val="005406BF"/>
    <w:rsid w:val="005429F2"/>
    <w:rsid w:val="005457C0"/>
    <w:rsid w:val="00546C8F"/>
    <w:rsid w:val="0054746E"/>
    <w:rsid w:val="00555DF2"/>
    <w:rsid w:val="0055712E"/>
    <w:rsid w:val="00564D69"/>
    <w:rsid w:val="00565F06"/>
    <w:rsid w:val="0059182C"/>
    <w:rsid w:val="00592459"/>
    <w:rsid w:val="0059467C"/>
    <w:rsid w:val="005A1EA8"/>
    <w:rsid w:val="005A50DB"/>
    <w:rsid w:val="005A7170"/>
    <w:rsid w:val="005B0330"/>
    <w:rsid w:val="005B352F"/>
    <w:rsid w:val="005B73C5"/>
    <w:rsid w:val="005C2078"/>
    <w:rsid w:val="00620D9D"/>
    <w:rsid w:val="00624760"/>
    <w:rsid w:val="00626EC3"/>
    <w:rsid w:val="006315AA"/>
    <w:rsid w:val="006454B9"/>
    <w:rsid w:val="00651108"/>
    <w:rsid w:val="006525C3"/>
    <w:rsid w:val="006547B3"/>
    <w:rsid w:val="0066049F"/>
    <w:rsid w:val="006621C3"/>
    <w:rsid w:val="00681599"/>
    <w:rsid w:val="006831AC"/>
    <w:rsid w:val="006834DB"/>
    <w:rsid w:val="00694172"/>
    <w:rsid w:val="006A4C79"/>
    <w:rsid w:val="006A717F"/>
    <w:rsid w:val="006C396F"/>
    <w:rsid w:val="006C5C3E"/>
    <w:rsid w:val="006C60AB"/>
    <w:rsid w:val="006F432F"/>
    <w:rsid w:val="0070176D"/>
    <w:rsid w:val="00702517"/>
    <w:rsid w:val="00703473"/>
    <w:rsid w:val="0072334B"/>
    <w:rsid w:val="0074706E"/>
    <w:rsid w:val="00773325"/>
    <w:rsid w:val="00777637"/>
    <w:rsid w:val="00780D7F"/>
    <w:rsid w:val="00786247"/>
    <w:rsid w:val="00797132"/>
    <w:rsid w:val="007A46EC"/>
    <w:rsid w:val="007B4019"/>
    <w:rsid w:val="007C534B"/>
    <w:rsid w:val="007D2DEF"/>
    <w:rsid w:val="007D5193"/>
    <w:rsid w:val="007F532E"/>
    <w:rsid w:val="007F7ABE"/>
    <w:rsid w:val="00815D14"/>
    <w:rsid w:val="00836E1D"/>
    <w:rsid w:val="0084035F"/>
    <w:rsid w:val="00841813"/>
    <w:rsid w:val="008452E4"/>
    <w:rsid w:val="0085193A"/>
    <w:rsid w:val="00857B63"/>
    <w:rsid w:val="0088544A"/>
    <w:rsid w:val="0088770E"/>
    <w:rsid w:val="008971A4"/>
    <w:rsid w:val="008D151E"/>
    <w:rsid w:val="008E3FE9"/>
    <w:rsid w:val="009043D5"/>
    <w:rsid w:val="00906792"/>
    <w:rsid w:val="0091341C"/>
    <w:rsid w:val="00923B40"/>
    <w:rsid w:val="00925387"/>
    <w:rsid w:val="0094030C"/>
    <w:rsid w:val="0094378E"/>
    <w:rsid w:val="009449E1"/>
    <w:rsid w:val="00967CBC"/>
    <w:rsid w:val="00982326"/>
    <w:rsid w:val="00985A06"/>
    <w:rsid w:val="00995BCC"/>
    <w:rsid w:val="009A0CF7"/>
    <w:rsid w:val="009A10EE"/>
    <w:rsid w:val="009A1457"/>
    <w:rsid w:val="009B298D"/>
    <w:rsid w:val="009B62E5"/>
    <w:rsid w:val="009F0EB9"/>
    <w:rsid w:val="00A14612"/>
    <w:rsid w:val="00A43C33"/>
    <w:rsid w:val="00A44651"/>
    <w:rsid w:val="00A464C5"/>
    <w:rsid w:val="00A6053E"/>
    <w:rsid w:val="00A63576"/>
    <w:rsid w:val="00A92167"/>
    <w:rsid w:val="00AA668E"/>
    <w:rsid w:val="00AB5BB0"/>
    <w:rsid w:val="00AB7E7C"/>
    <w:rsid w:val="00AC060D"/>
    <w:rsid w:val="00AC1024"/>
    <w:rsid w:val="00B0184E"/>
    <w:rsid w:val="00B01DA4"/>
    <w:rsid w:val="00B07266"/>
    <w:rsid w:val="00B2581B"/>
    <w:rsid w:val="00B32E44"/>
    <w:rsid w:val="00B53744"/>
    <w:rsid w:val="00B63223"/>
    <w:rsid w:val="00B85C19"/>
    <w:rsid w:val="00B92B8A"/>
    <w:rsid w:val="00B95AED"/>
    <w:rsid w:val="00B973DD"/>
    <w:rsid w:val="00BA07BF"/>
    <w:rsid w:val="00BB696F"/>
    <w:rsid w:val="00BC4E92"/>
    <w:rsid w:val="00BC4FBD"/>
    <w:rsid w:val="00BE1628"/>
    <w:rsid w:val="00BE7068"/>
    <w:rsid w:val="00C1723A"/>
    <w:rsid w:val="00C36C44"/>
    <w:rsid w:val="00C47EBF"/>
    <w:rsid w:val="00C575E1"/>
    <w:rsid w:val="00C63DBE"/>
    <w:rsid w:val="00C67791"/>
    <w:rsid w:val="00C744C9"/>
    <w:rsid w:val="00C75285"/>
    <w:rsid w:val="00C835AB"/>
    <w:rsid w:val="00CA0B5E"/>
    <w:rsid w:val="00CA191A"/>
    <w:rsid w:val="00CB39E8"/>
    <w:rsid w:val="00CE74FA"/>
    <w:rsid w:val="00CF523A"/>
    <w:rsid w:val="00CF6D80"/>
    <w:rsid w:val="00CF7C9F"/>
    <w:rsid w:val="00D025B2"/>
    <w:rsid w:val="00D0636E"/>
    <w:rsid w:val="00D07D30"/>
    <w:rsid w:val="00D10170"/>
    <w:rsid w:val="00D20328"/>
    <w:rsid w:val="00D428CD"/>
    <w:rsid w:val="00D45A56"/>
    <w:rsid w:val="00D8482D"/>
    <w:rsid w:val="00D86BF4"/>
    <w:rsid w:val="00D93F8F"/>
    <w:rsid w:val="00DB6C09"/>
    <w:rsid w:val="00DC6B37"/>
    <w:rsid w:val="00DE1A5A"/>
    <w:rsid w:val="00DF0629"/>
    <w:rsid w:val="00DF521C"/>
    <w:rsid w:val="00E0332C"/>
    <w:rsid w:val="00E03BEC"/>
    <w:rsid w:val="00E04E0C"/>
    <w:rsid w:val="00E059BF"/>
    <w:rsid w:val="00E125C7"/>
    <w:rsid w:val="00E131BB"/>
    <w:rsid w:val="00E15D38"/>
    <w:rsid w:val="00E258A2"/>
    <w:rsid w:val="00E5226E"/>
    <w:rsid w:val="00E54FB9"/>
    <w:rsid w:val="00E66C4F"/>
    <w:rsid w:val="00E80596"/>
    <w:rsid w:val="00E8739D"/>
    <w:rsid w:val="00ED258C"/>
    <w:rsid w:val="00ED77BA"/>
    <w:rsid w:val="00EF746E"/>
    <w:rsid w:val="00F06D0F"/>
    <w:rsid w:val="00F43AFB"/>
    <w:rsid w:val="00F4480D"/>
    <w:rsid w:val="00F44E08"/>
    <w:rsid w:val="00F45CD3"/>
    <w:rsid w:val="00F725E9"/>
    <w:rsid w:val="00F961C6"/>
    <w:rsid w:val="00FA52ED"/>
    <w:rsid w:val="00FB1613"/>
    <w:rsid w:val="00FB4C42"/>
    <w:rsid w:val="00FB55F7"/>
    <w:rsid w:val="00FC3CA5"/>
    <w:rsid w:val="00FC5E13"/>
    <w:rsid w:val="00FD2C58"/>
    <w:rsid w:val="00FF3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8BE74"/>
  <w15:chartTrackingRefBased/>
  <w15:docId w15:val="{6D3389A1-4473-4EE9-8437-EEA305582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53E"/>
    <w:pPr>
      <w:spacing w:after="200" w:line="276" w:lineRule="auto"/>
    </w:pPr>
    <w:rPr>
      <w:sz w:val="22"/>
      <w:szCs w:val="22"/>
    </w:rPr>
  </w:style>
  <w:style w:type="paragraph" w:styleId="Heading4">
    <w:name w:val="heading 4"/>
    <w:basedOn w:val="Normal"/>
    <w:link w:val="Heading4Char"/>
    <w:uiPriority w:val="9"/>
    <w:qFormat/>
    <w:rsid w:val="0088544A"/>
    <w:pPr>
      <w:spacing w:before="150" w:after="150" w:line="360" w:lineRule="atLeast"/>
      <w:outlineLvl w:val="3"/>
    </w:pPr>
    <w:rPr>
      <w:rFonts w:ascii="inherit" w:eastAsia="Times New Roman" w:hAnsi="inherit"/>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FB"/>
    <w:pPr>
      <w:ind w:left="720"/>
      <w:contextualSpacing/>
    </w:pPr>
  </w:style>
  <w:style w:type="character" w:styleId="Hyperlink">
    <w:name w:val="Hyperlink"/>
    <w:uiPriority w:val="99"/>
    <w:unhideWhenUsed/>
    <w:rsid w:val="004D3DFB"/>
    <w:rPr>
      <w:color w:val="0000FF"/>
      <w:u w:val="single"/>
    </w:rPr>
  </w:style>
  <w:style w:type="paragraph" w:styleId="Header">
    <w:name w:val="header"/>
    <w:basedOn w:val="Normal"/>
    <w:link w:val="HeaderChar"/>
    <w:uiPriority w:val="99"/>
    <w:unhideWhenUsed/>
    <w:rsid w:val="00D07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D30"/>
  </w:style>
  <w:style w:type="paragraph" w:styleId="Footer">
    <w:name w:val="footer"/>
    <w:basedOn w:val="Normal"/>
    <w:link w:val="FooterChar"/>
    <w:uiPriority w:val="99"/>
    <w:unhideWhenUsed/>
    <w:rsid w:val="00D0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30"/>
  </w:style>
  <w:style w:type="character" w:customStyle="1" w:styleId="digest">
    <w:name w:val="digest"/>
    <w:rsid w:val="00703473"/>
  </w:style>
  <w:style w:type="character" w:customStyle="1" w:styleId="apple-converted-space">
    <w:name w:val="apple-converted-space"/>
    <w:rsid w:val="00703473"/>
  </w:style>
  <w:style w:type="character" w:customStyle="1" w:styleId="remaining-words">
    <w:name w:val="remaining-words"/>
    <w:rsid w:val="00703473"/>
  </w:style>
  <w:style w:type="paragraph" w:styleId="BalloonText">
    <w:name w:val="Balloon Text"/>
    <w:basedOn w:val="Normal"/>
    <w:link w:val="BalloonTextChar"/>
    <w:uiPriority w:val="99"/>
    <w:semiHidden/>
    <w:unhideWhenUsed/>
    <w:rsid w:val="00AC060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C060D"/>
    <w:rPr>
      <w:rFonts w:ascii="Segoe UI" w:hAnsi="Segoe UI" w:cs="Segoe UI"/>
      <w:sz w:val="18"/>
      <w:szCs w:val="18"/>
    </w:rPr>
  </w:style>
  <w:style w:type="character" w:customStyle="1" w:styleId="digest1">
    <w:name w:val="digest1"/>
    <w:rsid w:val="005429F2"/>
    <w:rPr>
      <w:vanish w:val="0"/>
      <w:webHidden w:val="0"/>
      <w:specVanish w:val="0"/>
    </w:rPr>
  </w:style>
  <w:style w:type="character" w:customStyle="1" w:styleId="remaining-words1">
    <w:name w:val="remaining-words1"/>
    <w:rsid w:val="005429F2"/>
    <w:rPr>
      <w:vanish/>
      <w:webHidden w:val="0"/>
      <w:specVanish w:val="0"/>
    </w:rPr>
  </w:style>
  <w:style w:type="character" w:customStyle="1" w:styleId="Heading4Char">
    <w:name w:val="Heading 4 Char"/>
    <w:link w:val="Heading4"/>
    <w:uiPriority w:val="9"/>
    <w:rsid w:val="0088544A"/>
    <w:rPr>
      <w:rFonts w:ascii="inherit" w:eastAsia="Times New Roman" w:hAnsi="inherit"/>
      <w:b/>
      <w:bCs/>
      <w:sz w:val="24"/>
      <w:szCs w:val="24"/>
    </w:rPr>
  </w:style>
  <w:style w:type="character" w:styleId="CommentReference">
    <w:name w:val="annotation reference"/>
    <w:uiPriority w:val="99"/>
    <w:semiHidden/>
    <w:unhideWhenUsed/>
    <w:rsid w:val="003937A7"/>
    <w:rPr>
      <w:sz w:val="16"/>
      <w:szCs w:val="16"/>
    </w:rPr>
  </w:style>
  <w:style w:type="paragraph" w:styleId="CommentText">
    <w:name w:val="annotation text"/>
    <w:basedOn w:val="Normal"/>
    <w:link w:val="CommentTextChar"/>
    <w:uiPriority w:val="99"/>
    <w:semiHidden/>
    <w:unhideWhenUsed/>
    <w:rsid w:val="003937A7"/>
    <w:rPr>
      <w:sz w:val="20"/>
      <w:szCs w:val="20"/>
    </w:rPr>
  </w:style>
  <w:style w:type="character" w:customStyle="1" w:styleId="CommentTextChar">
    <w:name w:val="Comment Text Char"/>
    <w:basedOn w:val="DefaultParagraphFont"/>
    <w:link w:val="CommentText"/>
    <w:uiPriority w:val="99"/>
    <w:semiHidden/>
    <w:rsid w:val="003937A7"/>
  </w:style>
  <w:style w:type="paragraph" w:styleId="CommentSubject">
    <w:name w:val="annotation subject"/>
    <w:basedOn w:val="CommentText"/>
    <w:next w:val="CommentText"/>
    <w:link w:val="CommentSubjectChar"/>
    <w:uiPriority w:val="99"/>
    <w:semiHidden/>
    <w:unhideWhenUsed/>
    <w:rsid w:val="003937A7"/>
    <w:rPr>
      <w:b/>
      <w:bCs/>
    </w:rPr>
  </w:style>
  <w:style w:type="character" w:customStyle="1" w:styleId="CommentSubjectChar">
    <w:name w:val="Comment Subject Char"/>
    <w:link w:val="CommentSubject"/>
    <w:uiPriority w:val="99"/>
    <w:semiHidden/>
    <w:rsid w:val="003937A7"/>
    <w:rPr>
      <w:b/>
      <w:bCs/>
    </w:rPr>
  </w:style>
  <w:style w:type="character" w:styleId="FollowedHyperlink">
    <w:name w:val="FollowedHyperlink"/>
    <w:uiPriority w:val="99"/>
    <w:semiHidden/>
    <w:unhideWhenUsed/>
    <w:rsid w:val="003937A7"/>
    <w:rPr>
      <w:color w:val="954F72"/>
      <w:u w:val="single"/>
    </w:rPr>
  </w:style>
  <w:style w:type="character" w:styleId="UnresolvedMention">
    <w:name w:val="Unresolved Mention"/>
    <w:uiPriority w:val="99"/>
    <w:semiHidden/>
    <w:unhideWhenUsed/>
    <w:rsid w:val="00407186"/>
    <w:rPr>
      <w:color w:val="605E5C"/>
      <w:shd w:val="clear" w:color="auto" w:fill="E1DFDD"/>
    </w:rPr>
  </w:style>
  <w:style w:type="paragraph" w:customStyle="1" w:styleId="xxmsolistparagraph">
    <w:name w:val="x_xmsolistparagraph"/>
    <w:basedOn w:val="Normal"/>
    <w:rsid w:val="00E258A2"/>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rsid w:val="00D20328"/>
    <w:pPr>
      <w:pBdr>
        <w:top w:val="nil"/>
        <w:left w:val="nil"/>
        <w:bottom w:val="nil"/>
        <w:right w:val="nil"/>
        <w:between w:val="nil"/>
        <w:bar w:val="nil"/>
      </w:pBdr>
    </w:pPr>
    <w:rPr>
      <w:rFonts w:ascii="Helvetica Neue" w:eastAsia="Arial Unicode MS" w:hAnsi="Helvetica Neue" w:cs="Arial Unicode MS"/>
      <w:color w:val="000000"/>
      <w:sz w:val="22"/>
      <w:szCs w:val="22"/>
      <w:bdr w:val="nil"/>
      <w:lang w:val="da-DK"/>
    </w:rPr>
  </w:style>
  <w:style w:type="character" w:customStyle="1" w:styleId="Hyperlink0">
    <w:name w:val="Hyperlink.0"/>
    <w:rsid w:val="00D20328"/>
  </w:style>
  <w:style w:type="numbering" w:customStyle="1" w:styleId="Numbered">
    <w:name w:val="Numbered"/>
    <w:rsid w:val="00D20328"/>
    <w:pPr>
      <w:numPr>
        <w:numId w:val="5"/>
      </w:numPr>
    </w:pPr>
  </w:style>
  <w:style w:type="numbering" w:customStyle="1" w:styleId="BulletBig">
    <w:name w:val="Bullet Big"/>
    <w:rsid w:val="00D20328"/>
    <w:pPr>
      <w:numPr>
        <w:numId w:val="7"/>
      </w:numPr>
    </w:pPr>
  </w:style>
  <w:style w:type="paragraph" w:customStyle="1" w:styleId="TableStyle2">
    <w:name w:val="Table Style 2"/>
    <w:rsid w:val="00D20328"/>
    <w:pPr>
      <w:pBdr>
        <w:top w:val="nil"/>
        <w:left w:val="nil"/>
        <w:bottom w:val="nil"/>
        <w:right w:val="nil"/>
        <w:between w:val="nil"/>
        <w:bar w:val="nil"/>
      </w:pBdr>
    </w:pPr>
    <w:rPr>
      <w:rFonts w:ascii="Helvetica Neue" w:eastAsia="Helvetica Neue" w:hAnsi="Helvetica Neue" w:cs="Helvetica Neue"/>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13800">
      <w:bodyDiv w:val="1"/>
      <w:marLeft w:val="0"/>
      <w:marRight w:val="0"/>
      <w:marTop w:val="0"/>
      <w:marBottom w:val="0"/>
      <w:divBdr>
        <w:top w:val="none" w:sz="0" w:space="0" w:color="auto"/>
        <w:left w:val="none" w:sz="0" w:space="0" w:color="auto"/>
        <w:bottom w:val="none" w:sz="0" w:space="0" w:color="auto"/>
        <w:right w:val="none" w:sz="0" w:space="0" w:color="auto"/>
      </w:divBdr>
    </w:div>
    <w:div w:id="378212922">
      <w:bodyDiv w:val="1"/>
      <w:marLeft w:val="0"/>
      <w:marRight w:val="0"/>
      <w:marTop w:val="0"/>
      <w:marBottom w:val="0"/>
      <w:divBdr>
        <w:top w:val="none" w:sz="0" w:space="0" w:color="auto"/>
        <w:left w:val="none" w:sz="0" w:space="0" w:color="auto"/>
        <w:bottom w:val="none" w:sz="0" w:space="0" w:color="auto"/>
        <w:right w:val="none" w:sz="0" w:space="0" w:color="auto"/>
      </w:divBdr>
    </w:div>
    <w:div w:id="1478062986">
      <w:bodyDiv w:val="1"/>
      <w:marLeft w:val="0"/>
      <w:marRight w:val="0"/>
      <w:marTop w:val="0"/>
      <w:marBottom w:val="0"/>
      <w:divBdr>
        <w:top w:val="none" w:sz="0" w:space="0" w:color="auto"/>
        <w:left w:val="none" w:sz="0" w:space="0" w:color="auto"/>
        <w:bottom w:val="none" w:sz="0" w:space="0" w:color="auto"/>
        <w:right w:val="none" w:sz="0" w:space="0" w:color="auto"/>
      </w:divBdr>
      <w:divsChild>
        <w:div w:id="1058280051">
          <w:marLeft w:val="0"/>
          <w:marRight w:val="0"/>
          <w:marTop w:val="0"/>
          <w:marBottom w:val="0"/>
          <w:divBdr>
            <w:top w:val="none" w:sz="0" w:space="0" w:color="auto"/>
            <w:left w:val="single" w:sz="36" w:space="0" w:color="FFD54A"/>
            <w:bottom w:val="none" w:sz="0" w:space="0" w:color="auto"/>
            <w:right w:val="single" w:sz="36" w:space="0" w:color="FFD54A"/>
          </w:divBdr>
          <w:divsChild>
            <w:div w:id="1736859433">
              <w:marLeft w:val="0"/>
              <w:marRight w:val="0"/>
              <w:marTop w:val="0"/>
              <w:marBottom w:val="0"/>
              <w:divBdr>
                <w:top w:val="none" w:sz="0" w:space="0" w:color="auto"/>
                <w:left w:val="none" w:sz="0" w:space="0" w:color="auto"/>
                <w:bottom w:val="none" w:sz="0" w:space="0" w:color="auto"/>
                <w:right w:val="none" w:sz="0" w:space="0" w:color="auto"/>
              </w:divBdr>
              <w:divsChild>
                <w:div w:id="1174346399">
                  <w:marLeft w:val="0"/>
                  <w:marRight w:val="0"/>
                  <w:marTop w:val="0"/>
                  <w:marBottom w:val="75"/>
                  <w:divBdr>
                    <w:top w:val="none" w:sz="0" w:space="0" w:color="auto"/>
                    <w:left w:val="none" w:sz="0" w:space="0" w:color="auto"/>
                    <w:bottom w:val="none" w:sz="0" w:space="0" w:color="auto"/>
                    <w:right w:val="none" w:sz="0" w:space="0" w:color="auto"/>
                  </w:divBdr>
                  <w:divsChild>
                    <w:div w:id="769668068">
                      <w:marLeft w:val="0"/>
                      <w:marRight w:val="0"/>
                      <w:marTop w:val="0"/>
                      <w:marBottom w:val="0"/>
                      <w:divBdr>
                        <w:top w:val="none" w:sz="0" w:space="0" w:color="auto"/>
                        <w:left w:val="none" w:sz="0" w:space="0" w:color="auto"/>
                        <w:bottom w:val="none" w:sz="0" w:space="0" w:color="auto"/>
                        <w:right w:val="none" w:sz="0" w:space="0" w:color="auto"/>
                      </w:divBdr>
                      <w:divsChild>
                        <w:div w:id="1631007635">
                          <w:marLeft w:val="0"/>
                          <w:marRight w:val="0"/>
                          <w:marTop w:val="0"/>
                          <w:marBottom w:val="0"/>
                          <w:divBdr>
                            <w:top w:val="none" w:sz="0" w:space="0" w:color="auto"/>
                            <w:left w:val="none" w:sz="0" w:space="0" w:color="auto"/>
                            <w:bottom w:val="none" w:sz="0" w:space="0" w:color="auto"/>
                            <w:right w:val="none" w:sz="0" w:space="0" w:color="auto"/>
                          </w:divBdr>
                          <w:divsChild>
                            <w:div w:id="167472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l.gov/sites/dolgov/files/WHD/posters/FFCRA_Poster_WH1422_Non-Federal.pdf" TargetMode="External"/><Relationship Id="rId18" Type="http://schemas.openxmlformats.org/officeDocument/2006/relationships/hyperlink" Target="https://www.dol.gov/sites/dolgov/files/WHD/posters/FFCRA_Poster_WH1422_Non-Federal.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congress.gov/bill/116th-congress/house-bill/6201" TargetMode="External"/><Relationship Id="rId17" Type="http://schemas.openxmlformats.org/officeDocument/2006/relationships/hyperlink" Target="https://www.dol.gov/agencies/whd/pandemic/ffcra-questions" TargetMode="External"/><Relationship Id="rId2" Type="http://schemas.openxmlformats.org/officeDocument/2006/relationships/customXml" Target="../customXml/item2.xml"/><Relationship Id="rId16" Type="http://schemas.openxmlformats.org/officeDocument/2006/relationships/hyperlink" Target="https://www.dol.gov/agencies/whd/pandemic/ffcra-employer-paid-leave" TargetMode="External"/><Relationship Id="rId20" Type="http://schemas.openxmlformats.org/officeDocument/2006/relationships/hyperlink" Target="https://www.natlawreview.com/article/new-leave-entitlements-under-ffcra-issues-unique-to-public-sector-covid-19-resour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gress.gov/bill/116th-congress/house-bill/620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dol.gov/agencies/whd/pandemic"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ol.gov/agencies/whd/pandemic/ffcra-poster-ques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l.gov/agencies/whd/pandemic/ffcra-poster-questions"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Harris@library.I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B9F32D634B10C41B0ACE6EADC4EF45E" ma:contentTypeVersion="13" ma:contentTypeDescription="Create a new document." ma:contentTypeScope="" ma:versionID="af54531975f44026ff2ef67b723c2c5c">
  <xsd:schema xmlns:xsd="http://www.w3.org/2001/XMLSchema" xmlns:xs="http://www.w3.org/2001/XMLSchema" xmlns:p="http://schemas.microsoft.com/office/2006/metadata/properties" xmlns:ns1="http://schemas.microsoft.com/sharepoint/v3" xmlns:ns3="777c8b6f-032d-4b04-bbc3-22c87bfd15ac" xmlns:ns4="5276d674-8741-491c-9cab-69746e02cd8d" targetNamespace="http://schemas.microsoft.com/office/2006/metadata/properties" ma:root="true" ma:fieldsID="cf058120b57b0975e25930e88a020e5c" ns1:_="" ns3:_="" ns4:_="">
    <xsd:import namespace="http://schemas.microsoft.com/sharepoint/v3"/>
    <xsd:import namespace="777c8b6f-032d-4b04-bbc3-22c87bfd15ac"/>
    <xsd:import namespace="5276d674-8741-491c-9cab-69746e02cd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7c8b6f-032d-4b04-bbc3-22c87bfd15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76d674-8741-491c-9cab-69746e02cd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6B8A5-7080-4A66-99BD-B9DEAC676070}">
  <ds:schemaRefs>
    <ds:schemaRef ds:uri="http://schemas.microsoft.com/sharepoint/v3/contenttype/forms"/>
  </ds:schemaRefs>
</ds:datastoreItem>
</file>

<file path=customXml/itemProps2.xml><?xml version="1.0" encoding="utf-8"?>
<ds:datastoreItem xmlns:ds="http://schemas.openxmlformats.org/officeDocument/2006/customXml" ds:itemID="{64ACED67-20F4-4770-9EA2-1187026B385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B9EFD93-CDC9-476B-9E60-ED939BA3C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7c8b6f-032d-4b04-bbc3-22c87bfd15ac"/>
    <ds:schemaRef ds:uri="5276d674-8741-491c-9cab-69746e02c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1F43D0-AB14-4612-AEE2-4E6459FD1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10313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12098</CharactersWithSpaces>
  <SharedDoc>false</SharedDoc>
  <HLinks>
    <vt:vector size="66" baseType="variant">
      <vt:variant>
        <vt:i4>5177417</vt:i4>
      </vt:variant>
      <vt:variant>
        <vt:i4>27</vt:i4>
      </vt:variant>
      <vt:variant>
        <vt:i4>0</vt:i4>
      </vt:variant>
      <vt:variant>
        <vt:i4>5</vt:i4>
      </vt:variant>
      <vt:variant>
        <vt:lpwstr>https://www1.eeoc.gov/eeoc/newsroom/wysk/wysk_ada_rehabilitaion_act_coronavirus.cfm?renderforprint=1</vt:lpwstr>
      </vt:variant>
      <vt:variant>
        <vt:lpwstr/>
      </vt:variant>
      <vt:variant>
        <vt:i4>3407906</vt:i4>
      </vt:variant>
      <vt:variant>
        <vt:i4>24</vt:i4>
      </vt:variant>
      <vt:variant>
        <vt:i4>0</vt:i4>
      </vt:variant>
      <vt:variant>
        <vt:i4>5</vt:i4>
      </vt:variant>
      <vt:variant>
        <vt:lpwstr>https://www.dol.gov/coronavirus</vt:lpwstr>
      </vt:variant>
      <vt:variant>
        <vt:lpwstr/>
      </vt:variant>
      <vt:variant>
        <vt:i4>6422636</vt:i4>
      </vt:variant>
      <vt:variant>
        <vt:i4>21</vt:i4>
      </vt:variant>
      <vt:variant>
        <vt:i4>0</vt:i4>
      </vt:variant>
      <vt:variant>
        <vt:i4>5</vt:i4>
      </vt:variant>
      <vt:variant>
        <vt:lpwstr>https://www.in.gov/dol/3142.htm</vt:lpwstr>
      </vt:variant>
      <vt:variant>
        <vt:lpwstr/>
      </vt:variant>
      <vt:variant>
        <vt:i4>7208966</vt:i4>
      </vt:variant>
      <vt:variant>
        <vt:i4>18</vt:i4>
      </vt:variant>
      <vt:variant>
        <vt:i4>0</vt:i4>
      </vt:variant>
      <vt:variant>
        <vt:i4>5</vt:i4>
      </vt:variant>
      <vt:variant>
        <vt:lpwstr>https://www.in.gov/dwd/files/Indiana_Unemployment_FAQ_Employers.pdf</vt:lpwstr>
      </vt:variant>
      <vt:variant>
        <vt:lpwstr/>
      </vt:variant>
      <vt:variant>
        <vt:i4>5570653</vt:i4>
      </vt:variant>
      <vt:variant>
        <vt:i4>15</vt:i4>
      </vt:variant>
      <vt:variant>
        <vt:i4>0</vt:i4>
      </vt:variant>
      <vt:variant>
        <vt:i4>5</vt:i4>
      </vt:variant>
      <vt:variant>
        <vt:lpwstr>https://www.in.gov/library/COVID.htm</vt:lpwstr>
      </vt:variant>
      <vt:variant>
        <vt:lpwstr/>
      </vt:variant>
      <vt:variant>
        <vt:i4>7602300</vt:i4>
      </vt:variant>
      <vt:variant>
        <vt:i4>12</vt:i4>
      </vt:variant>
      <vt:variant>
        <vt:i4>0</vt:i4>
      </vt:variant>
      <vt:variant>
        <vt:i4>5</vt:i4>
      </vt:variant>
      <vt:variant>
        <vt:lpwstr>https://www.osha.gov/Publications/OSHA3990.pdf</vt:lpwstr>
      </vt:variant>
      <vt:variant>
        <vt:lpwstr/>
      </vt:variant>
      <vt:variant>
        <vt:i4>2293865</vt:i4>
      </vt:variant>
      <vt:variant>
        <vt:i4>9</vt:i4>
      </vt:variant>
      <vt:variant>
        <vt:i4>0</vt:i4>
      </vt:variant>
      <vt:variant>
        <vt:i4>5</vt:i4>
      </vt:variant>
      <vt:variant>
        <vt:lpwstr>https://www.cdc.gov/coronavirus/2019-ncov/community/organizations/businesses-employers.html</vt:lpwstr>
      </vt:variant>
      <vt:variant>
        <vt:lpwstr/>
      </vt:variant>
      <vt:variant>
        <vt:i4>917564</vt:i4>
      </vt:variant>
      <vt:variant>
        <vt:i4>6</vt:i4>
      </vt:variant>
      <vt:variant>
        <vt:i4>0</vt:i4>
      </vt:variant>
      <vt:variant>
        <vt:i4>5</vt:i4>
      </vt:variant>
      <vt:variant>
        <vt:lpwstr>https://www.in.gov/gov/files/Executive_Order_20-08_Stay_at_Home.pdf</vt:lpwstr>
      </vt:variant>
      <vt:variant>
        <vt:lpwstr/>
      </vt:variant>
      <vt:variant>
        <vt:i4>7864364</vt:i4>
      </vt:variant>
      <vt:variant>
        <vt:i4>3</vt:i4>
      </vt:variant>
      <vt:variant>
        <vt:i4>0</vt:i4>
      </vt:variant>
      <vt:variant>
        <vt:i4>5</vt:i4>
      </vt:variant>
      <vt:variant>
        <vt:lpwstr>https://www.dol.gov/agencies/whd/flsa/pandemic</vt:lpwstr>
      </vt:variant>
      <vt:variant>
        <vt:lpwstr/>
      </vt:variant>
      <vt:variant>
        <vt:i4>852064</vt:i4>
      </vt:variant>
      <vt:variant>
        <vt:i4>0</vt:i4>
      </vt:variant>
      <vt:variant>
        <vt:i4>0</vt:i4>
      </vt:variant>
      <vt:variant>
        <vt:i4>5</vt:i4>
      </vt:variant>
      <vt:variant>
        <vt:lpwstr>https://www.dol.gov/sites/dolgov/files/WHD/legacy/files/fs17a_overview.pdf</vt:lpwstr>
      </vt:variant>
      <vt:variant>
        <vt:lpwstr/>
      </vt:variant>
      <vt:variant>
        <vt:i4>327793</vt:i4>
      </vt:variant>
      <vt:variant>
        <vt:i4>6</vt:i4>
      </vt:variant>
      <vt:variant>
        <vt:i4>0</vt:i4>
      </vt:variant>
      <vt:variant>
        <vt:i4>5</vt:i4>
      </vt:variant>
      <vt:variant>
        <vt:lpwstr>mailto:sywatson@library.IN.gov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STW</dc:creator>
  <cp:keywords/>
  <cp:lastModifiedBy>Watson, Sylvia</cp:lastModifiedBy>
  <cp:revision>2</cp:revision>
  <cp:lastPrinted>2017-03-02T18:34:00Z</cp:lastPrinted>
  <dcterms:created xsi:type="dcterms:W3CDTF">2020-04-01T15:31:00Z</dcterms:created>
  <dcterms:modified xsi:type="dcterms:W3CDTF">2020-04-01T15:31:00Z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0x010100BB9F32D634B10C41B0ACE6EADC4EF45E</vt:lpwstr>
  </property>
</Properties>
</file>