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98C7C" w14:textId="77777777" w:rsidR="000922D0" w:rsidRPr="000922D0" w:rsidRDefault="000922D0" w:rsidP="000922D0">
      <w:pPr>
        <w:shd w:val="clear" w:color="auto" w:fill="FFFFFF"/>
        <w:spacing w:beforeAutospacing="1" w:after="0" w:afterAutospacing="1" w:line="330" w:lineRule="atLeast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val="en-US"/>
        </w:rPr>
      </w:pPr>
      <w:r w:rsidRPr="000922D0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lang w:val="en-US"/>
        </w:rPr>
        <w:drawing>
          <wp:anchor distT="0" distB="0" distL="114300" distR="114300" simplePos="0" relativeHeight="251659264" behindDoc="0" locked="0" layoutInCell="1" allowOverlap="1" wp14:anchorId="49FF63C3" wp14:editId="65A30D4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88720" cy="118872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22D0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/>
        </w:rPr>
        <w:br/>
        <w:t xml:space="preserve">           </w:t>
      </w:r>
      <w:r w:rsidRPr="000922D0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val="en-US"/>
        </w:rPr>
        <w:t>Indiana State Library</w:t>
      </w:r>
    </w:p>
    <w:p w14:paraId="73486F4B" w14:textId="77777777" w:rsidR="000922D0" w:rsidRDefault="000922D0" w:rsidP="00A237AC">
      <w:pPr>
        <w:pStyle w:val="NoSpacing"/>
        <w:rPr>
          <w:b/>
          <w:lang w:val="en-US"/>
        </w:rPr>
      </w:pPr>
    </w:p>
    <w:p w14:paraId="74022094" w14:textId="77E6FB6D" w:rsidR="00C04476" w:rsidRDefault="00A237AC" w:rsidP="00A237AC">
      <w:pPr>
        <w:pStyle w:val="NoSpacing"/>
        <w:rPr>
          <w:b/>
          <w:lang w:val="en-US"/>
        </w:rPr>
      </w:pPr>
      <w:r w:rsidRPr="00A237AC">
        <w:rPr>
          <w:b/>
          <w:lang w:val="en-US"/>
        </w:rPr>
        <w:t>Filming and photography policy of the Indiana State Library</w:t>
      </w:r>
    </w:p>
    <w:p w14:paraId="10A8B219" w14:textId="77777777" w:rsidR="00A237AC" w:rsidRDefault="00A237AC" w:rsidP="00A237AC">
      <w:pPr>
        <w:pStyle w:val="NoSpacing"/>
        <w:rPr>
          <w:lang w:val="en-US"/>
        </w:rPr>
      </w:pPr>
    </w:p>
    <w:p w14:paraId="4AB1BA5D" w14:textId="77777777" w:rsidR="000922D0" w:rsidRDefault="000922D0" w:rsidP="00A237AC">
      <w:pPr>
        <w:pStyle w:val="NoSpacing"/>
        <w:rPr>
          <w:lang w:val="en-US"/>
        </w:rPr>
      </w:pPr>
    </w:p>
    <w:p w14:paraId="32C524F3" w14:textId="77777777" w:rsidR="00767906" w:rsidRDefault="00767906" w:rsidP="00767906">
      <w:pPr>
        <w:pStyle w:val="NoSpacing"/>
        <w:numPr>
          <w:ilvl w:val="0"/>
          <w:numId w:val="1"/>
        </w:numPr>
        <w:rPr>
          <w:lang w:val="en-US"/>
        </w:rPr>
      </w:pPr>
      <w:r w:rsidRPr="00767906">
        <w:rPr>
          <w:lang w:val="en-US"/>
        </w:rPr>
        <w:t>Filming and photography in</w:t>
      </w:r>
      <w:r>
        <w:rPr>
          <w:lang w:val="en-US"/>
        </w:rPr>
        <w:t xml:space="preserve">side of </w:t>
      </w:r>
      <w:r w:rsidRPr="00767906">
        <w:rPr>
          <w:lang w:val="en-US"/>
        </w:rPr>
        <w:t xml:space="preserve">the </w:t>
      </w:r>
      <w:r>
        <w:rPr>
          <w:lang w:val="en-US"/>
        </w:rPr>
        <w:t>Indiana State L</w:t>
      </w:r>
      <w:r w:rsidRPr="00767906">
        <w:rPr>
          <w:lang w:val="en-US"/>
        </w:rPr>
        <w:t>ibrary may be done in a manner that captures the building</w:t>
      </w:r>
      <w:r>
        <w:rPr>
          <w:lang w:val="en-US"/>
        </w:rPr>
        <w:t>,</w:t>
      </w:r>
      <w:r w:rsidRPr="00767906">
        <w:rPr>
          <w:lang w:val="en-US"/>
        </w:rPr>
        <w:t xml:space="preserve"> but may not focus on specific patrons without their express consent, or in the case of minors, the parent's express consent.</w:t>
      </w:r>
    </w:p>
    <w:p w14:paraId="50275D23" w14:textId="77777777" w:rsidR="00767906" w:rsidRPr="00767906" w:rsidRDefault="00767906" w:rsidP="00767906">
      <w:pPr>
        <w:pStyle w:val="NoSpacing"/>
        <w:rPr>
          <w:lang w:val="en-US"/>
        </w:rPr>
      </w:pPr>
    </w:p>
    <w:p w14:paraId="112CDFE9" w14:textId="77777777" w:rsidR="00767906" w:rsidRPr="00767906" w:rsidRDefault="00767906" w:rsidP="00767906">
      <w:pPr>
        <w:pStyle w:val="NoSpacing"/>
        <w:numPr>
          <w:ilvl w:val="0"/>
          <w:numId w:val="1"/>
        </w:numPr>
        <w:rPr>
          <w:lang w:val="en-US"/>
        </w:rPr>
      </w:pPr>
      <w:r w:rsidRPr="00767906">
        <w:rPr>
          <w:lang w:val="en-US"/>
        </w:rPr>
        <w:t>Filming and photography may not be done in a manner that is disruptive or that in any way interferes with state employees performing their work or other patrons who are also using the library.</w:t>
      </w:r>
    </w:p>
    <w:p w14:paraId="0196991B" w14:textId="77777777" w:rsidR="00767906" w:rsidRDefault="00767906" w:rsidP="00767906">
      <w:pPr>
        <w:pStyle w:val="NoSpacing"/>
        <w:rPr>
          <w:lang w:val="en-US"/>
        </w:rPr>
      </w:pPr>
    </w:p>
    <w:p w14:paraId="097C61C6" w14:textId="77777777" w:rsidR="00767906" w:rsidRPr="00767906" w:rsidRDefault="00767906" w:rsidP="00767906">
      <w:pPr>
        <w:pStyle w:val="NoSpacing"/>
        <w:numPr>
          <w:ilvl w:val="0"/>
          <w:numId w:val="1"/>
        </w:numPr>
        <w:rPr>
          <w:lang w:val="en-US"/>
        </w:rPr>
      </w:pPr>
      <w:r w:rsidRPr="00767906">
        <w:rPr>
          <w:lang w:val="en-US"/>
        </w:rPr>
        <w:t>Filming is prohibited:</w:t>
      </w:r>
    </w:p>
    <w:p w14:paraId="03BFAEEB" w14:textId="77777777" w:rsidR="00767906" w:rsidRPr="00767906" w:rsidRDefault="00D30E7D" w:rsidP="00767906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>I</w:t>
      </w:r>
      <w:r w:rsidR="00767906" w:rsidRPr="00767906">
        <w:rPr>
          <w:lang w:val="en-US"/>
        </w:rPr>
        <w:t>n employee work areas where the public in general is not permitted</w:t>
      </w:r>
      <w:r>
        <w:rPr>
          <w:lang w:val="en-US"/>
        </w:rPr>
        <w:t>.</w:t>
      </w:r>
    </w:p>
    <w:p w14:paraId="6BA61F02" w14:textId="77777777" w:rsidR="00767906" w:rsidRPr="00767906" w:rsidRDefault="00D30E7D" w:rsidP="00767906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>I</w:t>
      </w:r>
      <w:r w:rsidR="00767906" w:rsidRPr="00767906">
        <w:rPr>
          <w:lang w:val="en-US"/>
        </w:rPr>
        <w:t>n the building restrooms</w:t>
      </w:r>
      <w:r>
        <w:rPr>
          <w:lang w:val="en-US"/>
        </w:rPr>
        <w:t>.</w:t>
      </w:r>
    </w:p>
    <w:p w14:paraId="5F0089AC" w14:textId="77777777" w:rsidR="00A237AC" w:rsidRDefault="00D30E7D" w:rsidP="00767906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>I</w:t>
      </w:r>
      <w:r w:rsidR="00767906" w:rsidRPr="00767906">
        <w:rPr>
          <w:lang w:val="en-US"/>
        </w:rPr>
        <w:t>n meeting rooms that have been reserved for use by other groups during the time the filming is taking place.</w:t>
      </w:r>
    </w:p>
    <w:p w14:paraId="32AE69F8" w14:textId="77777777" w:rsidR="008C59DA" w:rsidRDefault="008C59DA" w:rsidP="008C59DA">
      <w:pPr>
        <w:pStyle w:val="NoSpacing"/>
        <w:rPr>
          <w:lang w:val="en-US"/>
        </w:rPr>
      </w:pPr>
    </w:p>
    <w:p w14:paraId="68242ACE" w14:textId="77777777" w:rsidR="008C59DA" w:rsidRDefault="008C59DA" w:rsidP="008C59DA">
      <w:pPr>
        <w:pStyle w:val="NoSpacing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Filming and photography must adhere to all local, state and federal laws. </w:t>
      </w:r>
    </w:p>
    <w:p w14:paraId="4E8B0743" w14:textId="77777777" w:rsidR="004D41E4" w:rsidRDefault="004D41E4" w:rsidP="004D41E4">
      <w:pPr>
        <w:pStyle w:val="NoSpacing"/>
        <w:rPr>
          <w:lang w:val="en-US"/>
        </w:rPr>
      </w:pPr>
    </w:p>
    <w:p w14:paraId="46A27ACB" w14:textId="77777777" w:rsidR="00780AD8" w:rsidRDefault="004D41E4" w:rsidP="00780AD8">
      <w:pPr>
        <w:pStyle w:val="NoSpacing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Filming and photography that requires equipment setup is permitted. Those interested in setting up equipment must first contact the communications </w:t>
      </w:r>
      <w:r w:rsidR="007A7B3A">
        <w:rPr>
          <w:lang w:val="en-US"/>
        </w:rPr>
        <w:t>director</w:t>
      </w:r>
      <w:r>
        <w:rPr>
          <w:lang w:val="en-US"/>
        </w:rPr>
        <w:t xml:space="preserve"> to schedule an appropriate filming </w:t>
      </w:r>
      <w:r w:rsidR="007A7B3A">
        <w:rPr>
          <w:lang w:val="en-US"/>
        </w:rPr>
        <w:t>time and location.</w:t>
      </w:r>
    </w:p>
    <w:p w14:paraId="624D9556" w14:textId="77777777" w:rsidR="00780AD8" w:rsidRPr="00780AD8" w:rsidRDefault="00780AD8" w:rsidP="00780AD8">
      <w:pPr>
        <w:pStyle w:val="NoSpacing"/>
        <w:rPr>
          <w:lang w:val="en-US"/>
        </w:rPr>
      </w:pPr>
    </w:p>
    <w:p w14:paraId="5566EB0B" w14:textId="77777777" w:rsidR="00780AD8" w:rsidRPr="00780AD8" w:rsidRDefault="00780AD8" w:rsidP="00780AD8">
      <w:pPr>
        <w:pStyle w:val="NoSpacing"/>
        <w:numPr>
          <w:ilvl w:val="0"/>
          <w:numId w:val="4"/>
        </w:numPr>
        <w:rPr>
          <w:lang w:val="en-US"/>
        </w:rPr>
      </w:pPr>
      <w:r w:rsidRPr="00780AD8">
        <w:rPr>
          <w:lang w:val="en-US"/>
        </w:rPr>
        <w:t xml:space="preserve">Commercial photographers and motion picture productions are required to have prior written permission from the </w:t>
      </w:r>
      <w:r>
        <w:rPr>
          <w:lang w:val="en-US"/>
        </w:rPr>
        <w:t xml:space="preserve">Indiana </w:t>
      </w:r>
      <w:r w:rsidRPr="00780AD8">
        <w:rPr>
          <w:lang w:val="en-US"/>
        </w:rPr>
        <w:t>State Library</w:t>
      </w:r>
      <w:r>
        <w:rPr>
          <w:lang w:val="en-US"/>
        </w:rPr>
        <w:t>,</w:t>
      </w:r>
      <w:r w:rsidRPr="00780AD8">
        <w:rPr>
          <w:lang w:val="en-US"/>
        </w:rPr>
        <w:t xml:space="preserve"> unless otherwise excepted.</w:t>
      </w:r>
    </w:p>
    <w:p w14:paraId="6853E6ED" w14:textId="77777777" w:rsidR="00D30E7D" w:rsidRDefault="00D30E7D" w:rsidP="00D30E7D">
      <w:pPr>
        <w:pStyle w:val="NoSpacing"/>
        <w:rPr>
          <w:lang w:val="en-US"/>
        </w:rPr>
      </w:pPr>
    </w:p>
    <w:p w14:paraId="75CEFB72" w14:textId="77777777" w:rsidR="00D30E7D" w:rsidRPr="00A237AC" w:rsidRDefault="00D30E7D" w:rsidP="00D30E7D">
      <w:pPr>
        <w:pStyle w:val="NoSpacing"/>
        <w:rPr>
          <w:lang w:val="en-US"/>
        </w:rPr>
      </w:pPr>
      <w:r>
        <w:rPr>
          <w:lang w:val="en-US"/>
        </w:rPr>
        <w:t>Those who have questions about the filming and photography policy of the Indiana State Library</w:t>
      </w:r>
      <w:r w:rsidR="007A7B3A">
        <w:rPr>
          <w:lang w:val="en-US"/>
        </w:rPr>
        <w:t>,</w:t>
      </w:r>
      <w:r>
        <w:rPr>
          <w:lang w:val="en-US"/>
        </w:rPr>
        <w:t xml:space="preserve"> </w:t>
      </w:r>
      <w:r w:rsidR="004D41E4">
        <w:rPr>
          <w:lang w:val="en-US"/>
        </w:rPr>
        <w:t xml:space="preserve">or </w:t>
      </w:r>
      <w:r w:rsidR="007A7B3A">
        <w:rPr>
          <w:lang w:val="en-US"/>
        </w:rPr>
        <w:t>those seeking permission to set</w:t>
      </w:r>
      <w:r w:rsidR="004D41E4">
        <w:rPr>
          <w:lang w:val="en-US"/>
        </w:rPr>
        <w:t xml:space="preserve"> up </w:t>
      </w:r>
      <w:r w:rsidR="007067E5">
        <w:rPr>
          <w:lang w:val="en-US"/>
        </w:rPr>
        <w:t xml:space="preserve">filming </w:t>
      </w:r>
      <w:r w:rsidR="004D41E4">
        <w:rPr>
          <w:lang w:val="en-US"/>
        </w:rPr>
        <w:t>equipment</w:t>
      </w:r>
      <w:r w:rsidR="007A7B3A">
        <w:rPr>
          <w:lang w:val="en-US"/>
        </w:rPr>
        <w:t>,</w:t>
      </w:r>
      <w:r w:rsidR="004D41E4">
        <w:rPr>
          <w:lang w:val="en-US"/>
        </w:rPr>
        <w:t xml:space="preserve"> should</w:t>
      </w:r>
      <w:r>
        <w:rPr>
          <w:lang w:val="en-US"/>
        </w:rPr>
        <w:t xml:space="preserve"> contact the library’s communications director at </w:t>
      </w:r>
      <w:hyperlink r:id="rId8" w:history="1">
        <w:r w:rsidRPr="000C7E7E">
          <w:rPr>
            <w:rStyle w:val="Hyperlink"/>
            <w:lang w:val="en-US"/>
          </w:rPr>
          <w:t>communications@library.in.gov</w:t>
        </w:r>
      </w:hyperlink>
      <w:r>
        <w:rPr>
          <w:lang w:val="en-US"/>
        </w:rPr>
        <w:t>.</w:t>
      </w:r>
    </w:p>
    <w:sectPr w:rsidR="00D30E7D" w:rsidRPr="00A237A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67D0E" w14:textId="77777777" w:rsidR="000922D0" w:rsidRDefault="000922D0" w:rsidP="000922D0">
      <w:pPr>
        <w:spacing w:after="0" w:line="240" w:lineRule="auto"/>
      </w:pPr>
      <w:r>
        <w:separator/>
      </w:r>
    </w:p>
  </w:endnote>
  <w:endnote w:type="continuationSeparator" w:id="0">
    <w:p w14:paraId="1932DF07" w14:textId="77777777" w:rsidR="000922D0" w:rsidRDefault="000922D0" w:rsidP="0009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36C31" w14:textId="3EA0F9EF" w:rsidR="000922D0" w:rsidRPr="000922D0" w:rsidRDefault="000922D0" w:rsidP="000922D0">
    <w:pPr>
      <w:widowControl w:val="0"/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napToGrid w:val="0"/>
        <w:sz w:val="20"/>
        <w:szCs w:val="20"/>
        <w:lang w:val="en-US"/>
      </w:rPr>
    </w:pPr>
    <w:r w:rsidRPr="000922D0">
      <w:rPr>
        <w:rFonts w:ascii="Arial" w:eastAsia="Times New Roman" w:hAnsi="Arial" w:cs="Arial"/>
        <w:snapToGrid w:val="0"/>
        <w:sz w:val="20"/>
        <w:szCs w:val="20"/>
        <w:lang w:val="en-US"/>
      </w:rPr>
      <w:t xml:space="preserve">Page </w:t>
    </w:r>
    <w:r w:rsidRPr="000922D0">
      <w:rPr>
        <w:rFonts w:ascii="Arial" w:eastAsia="Times New Roman" w:hAnsi="Arial" w:cs="Arial"/>
        <w:b/>
        <w:snapToGrid w:val="0"/>
        <w:sz w:val="20"/>
        <w:szCs w:val="20"/>
        <w:lang w:val="en-US"/>
      </w:rPr>
      <w:fldChar w:fldCharType="begin"/>
    </w:r>
    <w:r w:rsidRPr="000922D0">
      <w:rPr>
        <w:rFonts w:ascii="Arial" w:eastAsia="Times New Roman" w:hAnsi="Arial" w:cs="Arial"/>
        <w:b/>
        <w:snapToGrid w:val="0"/>
        <w:sz w:val="20"/>
        <w:szCs w:val="20"/>
        <w:lang w:val="en-US"/>
      </w:rPr>
      <w:instrText xml:space="preserve"> PAGE </w:instrText>
    </w:r>
    <w:r w:rsidRPr="000922D0">
      <w:rPr>
        <w:rFonts w:ascii="Arial" w:eastAsia="Times New Roman" w:hAnsi="Arial" w:cs="Arial"/>
        <w:b/>
        <w:snapToGrid w:val="0"/>
        <w:sz w:val="20"/>
        <w:szCs w:val="20"/>
        <w:lang w:val="en-US"/>
      </w:rPr>
      <w:fldChar w:fldCharType="separate"/>
    </w:r>
    <w:r w:rsidRPr="000922D0">
      <w:rPr>
        <w:rFonts w:ascii="Arial" w:eastAsia="Times New Roman" w:hAnsi="Arial" w:cs="Arial"/>
        <w:b/>
        <w:snapToGrid w:val="0"/>
        <w:sz w:val="20"/>
        <w:szCs w:val="20"/>
        <w:lang w:val="en-US"/>
      </w:rPr>
      <w:t>1</w:t>
    </w:r>
    <w:r w:rsidRPr="000922D0">
      <w:rPr>
        <w:rFonts w:ascii="Arial" w:eastAsia="Times New Roman" w:hAnsi="Arial" w:cs="Arial"/>
        <w:b/>
        <w:snapToGrid w:val="0"/>
        <w:sz w:val="20"/>
        <w:szCs w:val="20"/>
        <w:lang w:val="en-US"/>
      </w:rPr>
      <w:fldChar w:fldCharType="end"/>
    </w:r>
    <w:r w:rsidRPr="000922D0">
      <w:rPr>
        <w:rFonts w:ascii="Arial" w:eastAsia="Times New Roman" w:hAnsi="Arial" w:cs="Arial"/>
        <w:snapToGrid w:val="0"/>
        <w:sz w:val="20"/>
        <w:szCs w:val="20"/>
        <w:lang w:val="en-US"/>
      </w:rPr>
      <w:t xml:space="preserve"> of </w:t>
    </w:r>
    <w:r w:rsidRPr="000922D0">
      <w:rPr>
        <w:rFonts w:ascii="Arial" w:eastAsia="Times New Roman" w:hAnsi="Arial" w:cs="Arial"/>
        <w:b/>
        <w:snapToGrid w:val="0"/>
        <w:sz w:val="20"/>
        <w:szCs w:val="20"/>
        <w:lang w:val="en-US"/>
      </w:rPr>
      <w:fldChar w:fldCharType="begin"/>
    </w:r>
    <w:r w:rsidRPr="000922D0">
      <w:rPr>
        <w:rFonts w:ascii="Arial" w:eastAsia="Times New Roman" w:hAnsi="Arial" w:cs="Arial"/>
        <w:b/>
        <w:snapToGrid w:val="0"/>
        <w:sz w:val="20"/>
        <w:szCs w:val="20"/>
        <w:lang w:val="en-US"/>
      </w:rPr>
      <w:instrText xml:space="preserve"> NUMPAGES  </w:instrText>
    </w:r>
    <w:r w:rsidRPr="000922D0">
      <w:rPr>
        <w:rFonts w:ascii="Arial" w:eastAsia="Times New Roman" w:hAnsi="Arial" w:cs="Arial"/>
        <w:b/>
        <w:snapToGrid w:val="0"/>
        <w:sz w:val="20"/>
        <w:szCs w:val="20"/>
        <w:lang w:val="en-US"/>
      </w:rPr>
      <w:fldChar w:fldCharType="separate"/>
    </w:r>
    <w:r w:rsidRPr="000922D0">
      <w:rPr>
        <w:rFonts w:ascii="Arial" w:eastAsia="Times New Roman" w:hAnsi="Arial" w:cs="Arial"/>
        <w:b/>
        <w:snapToGrid w:val="0"/>
        <w:sz w:val="20"/>
        <w:szCs w:val="20"/>
        <w:lang w:val="en-US"/>
      </w:rPr>
      <w:t>1</w:t>
    </w:r>
    <w:r w:rsidRPr="000922D0">
      <w:rPr>
        <w:rFonts w:ascii="Arial" w:eastAsia="Times New Roman" w:hAnsi="Arial" w:cs="Arial"/>
        <w:b/>
        <w:snapToGrid w:val="0"/>
        <w:sz w:val="20"/>
        <w:szCs w:val="20"/>
        <w:lang w:val="en-US"/>
      </w:rPr>
      <w:fldChar w:fldCharType="end"/>
    </w:r>
    <w:r w:rsidRPr="000922D0">
      <w:rPr>
        <w:rFonts w:ascii="Arial" w:eastAsia="Times New Roman" w:hAnsi="Arial" w:cs="Arial"/>
        <w:b/>
        <w:snapToGrid w:val="0"/>
        <w:sz w:val="20"/>
        <w:szCs w:val="20"/>
        <w:lang w:val="en-US"/>
      </w:rPr>
      <w:tab/>
    </w:r>
    <w:r w:rsidRPr="000922D0">
      <w:rPr>
        <w:rFonts w:ascii="Arial" w:eastAsia="Times New Roman" w:hAnsi="Arial" w:cs="Arial"/>
        <w:snapToGrid w:val="0"/>
        <w:sz w:val="20"/>
        <w:szCs w:val="20"/>
        <w:lang w:val="en-US"/>
      </w:rPr>
      <w:t xml:space="preserve">                                                                                          Approved by the ILHB </w:t>
    </w:r>
    <w:r>
      <w:rPr>
        <w:rFonts w:ascii="Arial" w:eastAsia="Times New Roman" w:hAnsi="Arial" w:cs="Arial"/>
        <w:snapToGrid w:val="0"/>
        <w:sz w:val="20"/>
        <w:szCs w:val="20"/>
        <w:lang w:val="en-US"/>
      </w:rPr>
      <w:t>March 8, 2024</w:t>
    </w:r>
    <w:r>
      <w:rPr>
        <w:rFonts w:ascii="Arial" w:eastAsia="Times New Roman" w:hAnsi="Arial" w:cs="Arial"/>
        <w:snapToGrid w:val="0"/>
        <w:sz w:val="20"/>
        <w:szCs w:val="20"/>
        <w:lang w:val="en-US"/>
      </w:rPr>
      <w:tab/>
    </w:r>
    <w:r w:rsidRPr="000922D0">
      <w:rPr>
        <w:rFonts w:ascii="Arial" w:eastAsia="Times New Roman" w:hAnsi="Arial" w:cs="Arial"/>
        <w:snapToGrid w:val="0"/>
        <w:sz w:val="20"/>
        <w:szCs w:val="20"/>
        <w:lang w:val="en-US"/>
      </w:rPr>
      <w:tab/>
    </w:r>
    <w:r w:rsidRPr="000922D0">
      <w:rPr>
        <w:rFonts w:ascii="Arial" w:eastAsia="Times New Roman" w:hAnsi="Arial" w:cs="Arial"/>
        <w:snapToGrid w:val="0"/>
        <w:sz w:val="20"/>
        <w:szCs w:val="20"/>
        <w:lang w:val="en-US"/>
      </w:rPr>
      <w:tab/>
    </w:r>
  </w:p>
  <w:p w14:paraId="36FCA27E" w14:textId="77777777" w:rsidR="000922D0" w:rsidRDefault="000922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1F05D" w14:textId="77777777" w:rsidR="000922D0" w:rsidRDefault="000922D0" w:rsidP="000922D0">
      <w:pPr>
        <w:spacing w:after="0" w:line="240" w:lineRule="auto"/>
      </w:pPr>
      <w:r>
        <w:separator/>
      </w:r>
    </w:p>
  </w:footnote>
  <w:footnote w:type="continuationSeparator" w:id="0">
    <w:p w14:paraId="5C83DB98" w14:textId="77777777" w:rsidR="000922D0" w:rsidRDefault="000922D0" w:rsidP="00092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3655C"/>
    <w:multiLevelType w:val="hybridMultilevel"/>
    <w:tmpl w:val="818C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C7D65"/>
    <w:multiLevelType w:val="hybridMultilevel"/>
    <w:tmpl w:val="334C6C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AA62B6"/>
    <w:multiLevelType w:val="hybridMultilevel"/>
    <w:tmpl w:val="3932B9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3C19FB"/>
    <w:multiLevelType w:val="hybridMultilevel"/>
    <w:tmpl w:val="C524A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389049">
    <w:abstractNumId w:val="0"/>
  </w:num>
  <w:num w:numId="2" w16cid:durableId="661934612">
    <w:abstractNumId w:val="2"/>
  </w:num>
  <w:num w:numId="3" w16cid:durableId="1651516927">
    <w:abstractNumId w:val="1"/>
  </w:num>
  <w:num w:numId="4" w16cid:durableId="2720517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AC"/>
    <w:rsid w:val="00055698"/>
    <w:rsid w:val="000922D0"/>
    <w:rsid w:val="004D41E4"/>
    <w:rsid w:val="005D4405"/>
    <w:rsid w:val="007067E5"/>
    <w:rsid w:val="00767906"/>
    <w:rsid w:val="00780AD8"/>
    <w:rsid w:val="007A7B3A"/>
    <w:rsid w:val="008C59DA"/>
    <w:rsid w:val="00A237AC"/>
    <w:rsid w:val="00B407B6"/>
    <w:rsid w:val="00C04476"/>
    <w:rsid w:val="00D3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31122"/>
  <w15:docId w15:val="{52ABB850-86A3-45C4-AACD-F5C39219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7AC"/>
    <w:pPr>
      <w:spacing w:after="0" w:line="240" w:lineRule="auto"/>
    </w:pPr>
    <w:rPr>
      <w:lang w:val="es-ES_tradnl"/>
    </w:rPr>
  </w:style>
  <w:style w:type="character" w:styleId="Hyperlink">
    <w:name w:val="Hyperlink"/>
    <w:basedOn w:val="DefaultParagraphFont"/>
    <w:uiPriority w:val="99"/>
    <w:unhideWhenUsed/>
    <w:rsid w:val="00D30E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41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2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2D0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092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2D0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library.in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Asberry, Stephanie</cp:lastModifiedBy>
  <cp:revision>3</cp:revision>
  <dcterms:created xsi:type="dcterms:W3CDTF">2024-01-08T16:03:00Z</dcterms:created>
  <dcterms:modified xsi:type="dcterms:W3CDTF">2024-03-27T15:15:00Z</dcterms:modified>
</cp:coreProperties>
</file>