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41E9" w14:textId="4FEA202D" w:rsidR="00F70A8C" w:rsidRPr="00A200FC" w:rsidRDefault="00F70A8C" w:rsidP="00F70A8C">
      <w:pPr>
        <w:spacing w:after="0" w:line="240" w:lineRule="auto"/>
        <w:jc w:val="center"/>
        <w:rPr>
          <w:rFonts w:ascii="Arial" w:hAnsi="Arial" w:cs="Arial"/>
          <w:b/>
          <w:sz w:val="36"/>
          <w:szCs w:val="36"/>
        </w:rPr>
      </w:pPr>
      <w:r w:rsidRPr="00A200FC">
        <w:rPr>
          <w:rFonts w:ascii="Arial" w:hAnsi="Arial" w:cs="Arial"/>
          <w:noProof/>
        </w:rPr>
        <w:drawing>
          <wp:anchor distT="0" distB="0" distL="114300" distR="114300" simplePos="0" relativeHeight="251658240" behindDoc="1" locked="0" layoutInCell="1" allowOverlap="1" wp14:anchorId="5B262DFE" wp14:editId="4F8CA7D1">
            <wp:simplePos x="0" y="0"/>
            <wp:positionH relativeFrom="column">
              <wp:posOffset>715010</wp:posOffset>
            </wp:positionH>
            <wp:positionV relativeFrom="paragraph">
              <wp:posOffset>-215265</wp:posOffset>
            </wp:positionV>
            <wp:extent cx="588010" cy="59880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 cy="598805"/>
                    </a:xfrm>
                    <a:prstGeom prst="rect">
                      <a:avLst/>
                    </a:prstGeom>
                    <a:noFill/>
                  </pic:spPr>
                </pic:pic>
              </a:graphicData>
            </a:graphic>
            <wp14:sizeRelH relativeFrom="page">
              <wp14:pctWidth>0</wp14:pctWidth>
            </wp14:sizeRelH>
            <wp14:sizeRelV relativeFrom="page">
              <wp14:pctHeight>0</wp14:pctHeight>
            </wp14:sizeRelV>
          </wp:anchor>
        </w:drawing>
      </w:r>
      <w:r w:rsidRPr="00A200FC">
        <w:rPr>
          <w:rFonts w:ascii="Arial" w:hAnsi="Arial" w:cs="Arial"/>
          <w:b/>
          <w:sz w:val="36"/>
          <w:szCs w:val="36"/>
        </w:rPr>
        <w:t xml:space="preserve">   202</w:t>
      </w:r>
      <w:r w:rsidR="00DA4890" w:rsidRPr="00A200FC">
        <w:rPr>
          <w:rFonts w:ascii="Arial" w:hAnsi="Arial" w:cs="Arial"/>
          <w:b/>
          <w:sz w:val="36"/>
          <w:szCs w:val="36"/>
        </w:rPr>
        <w:t>6</w:t>
      </w:r>
      <w:r w:rsidRPr="00A200FC">
        <w:rPr>
          <w:rFonts w:ascii="Arial" w:hAnsi="Arial" w:cs="Arial"/>
          <w:b/>
          <w:sz w:val="36"/>
          <w:szCs w:val="36"/>
        </w:rPr>
        <w:t xml:space="preserve"> Legislation</w:t>
      </w:r>
    </w:p>
    <w:p w14:paraId="5E508346" w14:textId="77777777" w:rsidR="00F70A8C" w:rsidRPr="00A200FC" w:rsidRDefault="00F70A8C" w:rsidP="00F70A8C">
      <w:pPr>
        <w:spacing w:after="0" w:line="240" w:lineRule="auto"/>
        <w:rPr>
          <w:rFonts w:ascii="Arial" w:hAnsi="Arial" w:cs="Arial"/>
          <w:b/>
          <w:sz w:val="36"/>
          <w:szCs w:val="36"/>
        </w:rPr>
      </w:pPr>
      <w:r w:rsidRPr="00A200FC">
        <w:rPr>
          <w:rFonts w:ascii="Arial" w:hAnsi="Arial" w:cs="Arial"/>
          <w:sz w:val="16"/>
          <w:szCs w:val="16"/>
        </w:rPr>
        <w:t xml:space="preserve">                                                    Click on the Enrolled Act numbers to get to the full text of the bill</w:t>
      </w:r>
    </w:p>
    <w:p w14:paraId="51C90964" w14:textId="77777777" w:rsidR="00F70A8C" w:rsidRPr="00A200FC" w:rsidRDefault="00F70A8C" w:rsidP="00F70A8C">
      <w:pPr>
        <w:spacing w:after="0" w:line="240" w:lineRule="auto"/>
        <w:rPr>
          <w:rFonts w:ascii="Arial" w:hAnsi="Arial" w:cs="Arial"/>
        </w:rPr>
      </w:pPr>
    </w:p>
    <w:p w14:paraId="728D4E78" w14:textId="77777777" w:rsidR="00F70A8C" w:rsidRPr="00A200FC" w:rsidRDefault="00F70A8C" w:rsidP="00F70A8C">
      <w:pPr>
        <w:spacing w:after="0" w:line="240" w:lineRule="auto"/>
        <w:jc w:val="center"/>
        <w:rPr>
          <w:rFonts w:ascii="Arial" w:hAnsi="Arial" w:cs="Arial"/>
          <w:b/>
          <w:sz w:val="20"/>
          <w:szCs w:val="20"/>
        </w:rPr>
      </w:pPr>
    </w:p>
    <w:tbl>
      <w:tblPr>
        <w:tblW w:w="98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6403"/>
        <w:gridCol w:w="1530"/>
      </w:tblGrid>
      <w:tr w:rsidR="00F70A8C" w:rsidRPr="00A200FC" w14:paraId="72E558B9" w14:textId="77777777" w:rsidTr="00141D6C">
        <w:tc>
          <w:tcPr>
            <w:tcW w:w="1918" w:type="dxa"/>
            <w:tcBorders>
              <w:top w:val="single" w:sz="4" w:space="0" w:color="auto"/>
              <w:left w:val="single" w:sz="4" w:space="0" w:color="auto"/>
              <w:bottom w:val="single" w:sz="4" w:space="0" w:color="auto"/>
              <w:right w:val="single" w:sz="4" w:space="0" w:color="auto"/>
            </w:tcBorders>
            <w:shd w:val="clear" w:color="auto" w:fill="FFF2CC"/>
            <w:hideMark/>
          </w:tcPr>
          <w:p w14:paraId="3208345A" w14:textId="77777777" w:rsidR="00F70A8C" w:rsidRPr="00A200FC" w:rsidRDefault="00F70A8C">
            <w:pPr>
              <w:spacing w:after="0" w:line="240" w:lineRule="auto"/>
              <w:jc w:val="center"/>
              <w:rPr>
                <w:rFonts w:ascii="Arial" w:hAnsi="Arial" w:cs="Arial"/>
                <w:b/>
                <w:sz w:val="20"/>
                <w:szCs w:val="20"/>
              </w:rPr>
            </w:pPr>
            <w:r w:rsidRPr="00A200FC">
              <w:rPr>
                <w:rFonts w:ascii="Arial" w:hAnsi="Arial" w:cs="Arial"/>
                <w:b/>
                <w:sz w:val="20"/>
                <w:szCs w:val="20"/>
              </w:rPr>
              <w:t>Enrolled Act</w:t>
            </w:r>
          </w:p>
        </w:tc>
        <w:tc>
          <w:tcPr>
            <w:tcW w:w="6403" w:type="dxa"/>
            <w:tcBorders>
              <w:top w:val="single" w:sz="4" w:space="0" w:color="auto"/>
              <w:left w:val="single" w:sz="4" w:space="0" w:color="auto"/>
              <w:bottom w:val="single" w:sz="4" w:space="0" w:color="auto"/>
              <w:right w:val="single" w:sz="4" w:space="0" w:color="auto"/>
            </w:tcBorders>
            <w:shd w:val="clear" w:color="auto" w:fill="FFF2CC"/>
            <w:hideMark/>
          </w:tcPr>
          <w:p w14:paraId="7FCD23C1" w14:textId="77777777" w:rsidR="00F70A8C" w:rsidRPr="00A200FC" w:rsidRDefault="00F70A8C">
            <w:pPr>
              <w:spacing w:after="0" w:line="240" w:lineRule="auto"/>
              <w:jc w:val="center"/>
              <w:rPr>
                <w:rFonts w:ascii="Arial" w:hAnsi="Arial" w:cs="Arial"/>
                <w:b/>
                <w:sz w:val="20"/>
                <w:szCs w:val="20"/>
              </w:rPr>
            </w:pPr>
            <w:r w:rsidRPr="00A200FC">
              <w:rPr>
                <w:rFonts w:ascii="Arial" w:hAnsi="Arial" w:cs="Arial"/>
                <w:b/>
                <w:sz w:val="20"/>
                <w:szCs w:val="20"/>
              </w:rPr>
              <w:t>Synopsys of Applicable Provisions</w:t>
            </w:r>
          </w:p>
          <w:p w14:paraId="26CAF32F" w14:textId="77777777" w:rsidR="000F0396" w:rsidRPr="00A200FC" w:rsidRDefault="000F0396">
            <w:pPr>
              <w:spacing w:after="0" w:line="240" w:lineRule="auto"/>
              <w:jc w:val="center"/>
              <w:rPr>
                <w:rFonts w:ascii="Arial" w:hAnsi="Arial" w:cs="Arial"/>
                <w:b/>
                <w:sz w:val="16"/>
                <w:szCs w:val="16"/>
              </w:rPr>
            </w:pPr>
          </w:p>
          <w:p w14:paraId="619C5649" w14:textId="45A709EF" w:rsidR="00F12923" w:rsidRPr="00A200FC" w:rsidRDefault="00F12923">
            <w:pPr>
              <w:spacing w:after="0" w:line="240" w:lineRule="auto"/>
              <w:jc w:val="center"/>
              <w:rPr>
                <w:rFonts w:ascii="Arial" w:hAnsi="Arial" w:cs="Arial"/>
                <w:b/>
                <w:sz w:val="20"/>
                <w:szCs w:val="20"/>
              </w:rPr>
            </w:pPr>
            <w:r w:rsidRPr="00A200FC">
              <w:rPr>
                <w:rFonts w:ascii="Arial" w:hAnsi="Arial" w:cs="Arial"/>
                <w:sz w:val="15"/>
                <w:szCs w:val="15"/>
              </w:rPr>
              <w:t xml:space="preserve">Sections of the iga.IN.gov digest irrelevant to libraries have been excluded  </w:t>
            </w:r>
          </w:p>
          <w:p w14:paraId="7BE192C1" w14:textId="74E7B10A" w:rsidR="00F70A8C" w:rsidRPr="00A200FC" w:rsidRDefault="00F70A8C">
            <w:pPr>
              <w:spacing w:after="0" w:line="240" w:lineRule="auto"/>
              <w:jc w:val="center"/>
              <w:rPr>
                <w:rFonts w:ascii="Arial" w:hAnsi="Arial" w:cs="Arial"/>
                <w:sz w:val="15"/>
                <w:szCs w:val="15"/>
              </w:rPr>
            </w:pPr>
            <w:r w:rsidRPr="00A200FC">
              <w:rPr>
                <w:rFonts w:ascii="Arial" w:hAnsi="Arial" w:cs="Arial"/>
                <w:sz w:val="15"/>
                <w:szCs w:val="15"/>
              </w:rPr>
              <w:t xml:space="preserve">Additional text </w:t>
            </w:r>
            <w:r w:rsidR="000F0396" w:rsidRPr="00A200FC">
              <w:rPr>
                <w:rFonts w:ascii="Arial" w:hAnsi="Arial" w:cs="Arial"/>
                <w:sz w:val="15"/>
                <w:szCs w:val="15"/>
              </w:rPr>
              <w:t>may be</w:t>
            </w:r>
            <w:r w:rsidRPr="00A200FC">
              <w:rPr>
                <w:rFonts w:ascii="Arial" w:hAnsi="Arial" w:cs="Arial"/>
                <w:sz w:val="15"/>
                <w:szCs w:val="15"/>
              </w:rPr>
              <w:t xml:space="preserve"> added in some sections to supplement the iga.IN.gov digest</w:t>
            </w:r>
          </w:p>
          <w:p w14:paraId="0C89A590" w14:textId="7FD74C12" w:rsidR="00F9701C" w:rsidRPr="00A200FC" w:rsidRDefault="00F9701C">
            <w:pPr>
              <w:spacing w:after="0" w:line="240" w:lineRule="auto"/>
              <w:jc w:val="center"/>
              <w:rPr>
                <w:rFonts w:ascii="Arial" w:hAnsi="Arial" w:cs="Arial"/>
                <w:sz w:val="15"/>
                <w:szCs w:val="15"/>
              </w:rPr>
            </w:pPr>
            <w:r w:rsidRPr="00A200FC">
              <w:rPr>
                <w:rFonts w:ascii="Arial" w:hAnsi="Arial" w:cs="Arial"/>
                <w:sz w:val="15"/>
                <w:szCs w:val="15"/>
              </w:rPr>
              <w:t xml:space="preserve">The bill digests are high level summaries, </w:t>
            </w:r>
            <w:r w:rsidR="008721D6" w:rsidRPr="00A200FC">
              <w:rPr>
                <w:rFonts w:ascii="Arial" w:hAnsi="Arial" w:cs="Arial"/>
                <w:sz w:val="15"/>
                <w:szCs w:val="15"/>
              </w:rPr>
              <w:t xml:space="preserve">read </w:t>
            </w:r>
            <w:r w:rsidRPr="00A200FC">
              <w:rPr>
                <w:rFonts w:ascii="Arial" w:hAnsi="Arial" w:cs="Arial"/>
                <w:sz w:val="15"/>
                <w:szCs w:val="15"/>
              </w:rPr>
              <w:t>actual bill for more information.</w:t>
            </w:r>
          </w:p>
          <w:p w14:paraId="7CBF810A" w14:textId="77777777" w:rsidR="000F0396" w:rsidRPr="00A200FC" w:rsidRDefault="000F0396">
            <w:pPr>
              <w:spacing w:after="0" w:line="240" w:lineRule="auto"/>
              <w:jc w:val="center"/>
              <w:rPr>
                <w:rFonts w:ascii="Arial" w:hAnsi="Arial" w:cs="Arial"/>
                <w:sz w:val="15"/>
                <w:szCs w:val="15"/>
              </w:rPr>
            </w:pPr>
          </w:p>
          <w:p w14:paraId="17C7E8D5" w14:textId="17363FEB" w:rsidR="00F70A8C" w:rsidRPr="00A200FC" w:rsidRDefault="00F70A8C">
            <w:pPr>
              <w:spacing w:after="0" w:line="240" w:lineRule="auto"/>
              <w:jc w:val="center"/>
              <w:rPr>
                <w:rFonts w:ascii="Arial" w:hAnsi="Arial" w:cs="Arial"/>
                <w:sz w:val="15"/>
                <w:szCs w:val="15"/>
              </w:rPr>
            </w:pPr>
          </w:p>
        </w:tc>
        <w:tc>
          <w:tcPr>
            <w:tcW w:w="1530" w:type="dxa"/>
            <w:tcBorders>
              <w:top w:val="single" w:sz="4" w:space="0" w:color="auto"/>
              <w:left w:val="single" w:sz="4" w:space="0" w:color="auto"/>
              <w:bottom w:val="single" w:sz="4" w:space="0" w:color="auto"/>
              <w:right w:val="single" w:sz="4" w:space="0" w:color="auto"/>
            </w:tcBorders>
            <w:shd w:val="clear" w:color="auto" w:fill="FFF2CC"/>
            <w:hideMark/>
          </w:tcPr>
          <w:p w14:paraId="6B3BEA73" w14:textId="77777777" w:rsidR="00F70A8C" w:rsidRPr="00A200FC" w:rsidRDefault="00F70A8C">
            <w:pPr>
              <w:spacing w:after="0" w:line="240" w:lineRule="auto"/>
              <w:jc w:val="center"/>
              <w:rPr>
                <w:rFonts w:ascii="Arial" w:hAnsi="Arial" w:cs="Arial"/>
                <w:b/>
                <w:sz w:val="20"/>
                <w:szCs w:val="20"/>
              </w:rPr>
            </w:pPr>
            <w:r w:rsidRPr="00A200FC">
              <w:rPr>
                <w:rFonts w:ascii="Arial" w:hAnsi="Arial" w:cs="Arial"/>
                <w:b/>
                <w:sz w:val="20"/>
                <w:szCs w:val="20"/>
              </w:rPr>
              <w:t>Effective</w:t>
            </w:r>
          </w:p>
          <w:p w14:paraId="749E2B05" w14:textId="77777777" w:rsidR="00F70A8C" w:rsidRPr="00A200FC" w:rsidRDefault="00F70A8C">
            <w:pPr>
              <w:spacing w:after="0" w:line="240" w:lineRule="auto"/>
              <w:jc w:val="center"/>
              <w:rPr>
                <w:rFonts w:ascii="Arial" w:hAnsi="Arial" w:cs="Arial"/>
                <w:b/>
                <w:sz w:val="20"/>
                <w:szCs w:val="20"/>
              </w:rPr>
            </w:pPr>
            <w:r w:rsidRPr="00A200FC">
              <w:rPr>
                <w:rFonts w:ascii="Arial" w:hAnsi="Arial" w:cs="Arial"/>
                <w:b/>
                <w:sz w:val="20"/>
                <w:szCs w:val="20"/>
              </w:rPr>
              <w:t>Date</w:t>
            </w:r>
          </w:p>
        </w:tc>
      </w:tr>
      <w:tr w:rsidR="008E04F7" w:rsidRPr="00A51538" w14:paraId="7BB7FE83" w14:textId="77777777" w:rsidTr="00141D6C">
        <w:tc>
          <w:tcPr>
            <w:tcW w:w="1918" w:type="dxa"/>
            <w:tcBorders>
              <w:top w:val="single" w:sz="4" w:space="0" w:color="auto"/>
              <w:left w:val="single" w:sz="4" w:space="0" w:color="auto"/>
              <w:bottom w:val="single" w:sz="4" w:space="0" w:color="auto"/>
              <w:right w:val="single" w:sz="4" w:space="0" w:color="auto"/>
            </w:tcBorders>
          </w:tcPr>
          <w:p w14:paraId="4AA0523D" w14:textId="77777777" w:rsidR="008E04F7" w:rsidRDefault="008E04F7" w:rsidP="000A02A8">
            <w:pPr>
              <w:spacing w:after="0" w:line="240" w:lineRule="auto"/>
              <w:jc w:val="center"/>
              <w:rPr>
                <w:rFonts w:ascii="Arial" w:hAnsi="Arial" w:cs="Arial"/>
              </w:rPr>
            </w:pPr>
            <w:hyperlink r:id="rId9" w:history="1">
              <w:r w:rsidRPr="00BC5D16">
                <w:rPr>
                  <w:rStyle w:val="Hyperlink"/>
                  <w:rFonts w:ascii="Arial" w:hAnsi="Arial" w:cs="Arial"/>
                </w:rPr>
                <w:t>SEA 4</w:t>
              </w:r>
            </w:hyperlink>
          </w:p>
          <w:p w14:paraId="57ACDF3B" w14:textId="77777777" w:rsidR="00BC5D16" w:rsidRDefault="00BC5D16" w:rsidP="000A02A8">
            <w:pPr>
              <w:spacing w:after="0" w:line="240" w:lineRule="auto"/>
              <w:jc w:val="center"/>
              <w:rPr>
                <w:rFonts w:ascii="Arial" w:hAnsi="Arial" w:cs="Arial"/>
              </w:rPr>
            </w:pPr>
          </w:p>
          <w:p w14:paraId="061AAAE3" w14:textId="5F999CB0" w:rsidR="00BC5D16" w:rsidRDefault="00BC5D16" w:rsidP="000A02A8">
            <w:pPr>
              <w:spacing w:after="0" w:line="240" w:lineRule="auto"/>
              <w:jc w:val="center"/>
              <w:rPr>
                <w:rFonts w:ascii="Arial" w:hAnsi="Arial" w:cs="Arial"/>
              </w:rPr>
            </w:pPr>
            <w:r>
              <w:rPr>
                <w:rFonts w:ascii="Arial" w:hAnsi="Arial" w:cs="Arial"/>
              </w:rPr>
              <w:t>Various Fiscal Matters</w:t>
            </w:r>
          </w:p>
          <w:p w14:paraId="3E299FA3" w14:textId="1041E8B0" w:rsidR="00BC5D16" w:rsidRDefault="00BC5D16" w:rsidP="000A02A8">
            <w:pPr>
              <w:spacing w:after="0" w:line="240" w:lineRule="auto"/>
              <w:jc w:val="center"/>
              <w:rPr>
                <w:rFonts w:ascii="Arial" w:hAnsi="Arial" w:cs="Arial"/>
              </w:rPr>
            </w:pPr>
          </w:p>
        </w:tc>
        <w:tc>
          <w:tcPr>
            <w:tcW w:w="6403" w:type="dxa"/>
            <w:tcBorders>
              <w:top w:val="single" w:sz="4" w:space="0" w:color="auto"/>
              <w:left w:val="single" w:sz="4" w:space="0" w:color="auto"/>
              <w:bottom w:val="single" w:sz="4" w:space="0" w:color="auto"/>
              <w:right w:val="single" w:sz="4" w:space="0" w:color="auto"/>
            </w:tcBorders>
          </w:tcPr>
          <w:p w14:paraId="5DDE1751" w14:textId="222C6942" w:rsidR="008E04F7" w:rsidRPr="0009590D" w:rsidRDefault="00BC5D16" w:rsidP="00086BBA">
            <w:pPr>
              <w:spacing w:after="0" w:line="240" w:lineRule="auto"/>
              <w:rPr>
                <w:rFonts w:ascii="Arial" w:hAnsi="Arial" w:cs="Arial"/>
                <w:bCs/>
              </w:rPr>
            </w:pPr>
            <w:r w:rsidRPr="00BC5D16">
              <w:rPr>
                <w:rFonts w:ascii="Arial" w:hAnsi="Arial" w:cs="Arial"/>
                <w:bCs/>
              </w:rPr>
              <w:t> Provides that if the implementation and compliance costs of a proposed rule are expected to exceed $500,000 (instead of $1,000,000) over a two</w:t>
            </w:r>
            <w:r w:rsidR="0088777D">
              <w:rPr>
                <w:rFonts w:ascii="Arial" w:hAnsi="Arial" w:cs="Arial"/>
                <w:bCs/>
              </w:rPr>
              <w:t>-</w:t>
            </w:r>
            <w:r w:rsidRPr="00BC5D16">
              <w:rPr>
                <w:rFonts w:ascii="Arial" w:hAnsi="Arial" w:cs="Arial"/>
                <w:bCs/>
              </w:rPr>
              <w:t>year period, the publisher may not publish the proposed rule until the budget committee has reviewed the rule. </w:t>
            </w:r>
          </w:p>
        </w:tc>
        <w:tc>
          <w:tcPr>
            <w:tcW w:w="1530" w:type="dxa"/>
            <w:tcBorders>
              <w:top w:val="single" w:sz="4" w:space="0" w:color="auto"/>
              <w:left w:val="single" w:sz="4" w:space="0" w:color="auto"/>
              <w:bottom w:val="single" w:sz="4" w:space="0" w:color="auto"/>
              <w:right w:val="single" w:sz="4" w:space="0" w:color="auto"/>
            </w:tcBorders>
          </w:tcPr>
          <w:p w14:paraId="2C3155DE" w14:textId="435BDF11" w:rsidR="008E04F7" w:rsidRPr="00A51538" w:rsidRDefault="00C53D74">
            <w:pPr>
              <w:spacing w:after="0" w:line="240" w:lineRule="auto"/>
              <w:jc w:val="center"/>
              <w:rPr>
                <w:rFonts w:ascii="Arial" w:hAnsi="Arial" w:cs="Arial"/>
                <w:bCs/>
              </w:rPr>
            </w:pPr>
            <w:r>
              <w:rPr>
                <w:rFonts w:ascii="Arial" w:hAnsi="Arial" w:cs="Arial"/>
                <w:bCs/>
              </w:rPr>
              <w:t>July 1, 2026</w:t>
            </w:r>
          </w:p>
        </w:tc>
      </w:tr>
      <w:tr w:rsidR="004041D6" w:rsidRPr="00A51538" w14:paraId="16CB0613" w14:textId="77777777" w:rsidTr="00141D6C">
        <w:tc>
          <w:tcPr>
            <w:tcW w:w="1918" w:type="dxa"/>
            <w:tcBorders>
              <w:top w:val="single" w:sz="4" w:space="0" w:color="auto"/>
              <w:left w:val="single" w:sz="4" w:space="0" w:color="auto"/>
              <w:bottom w:val="single" w:sz="4" w:space="0" w:color="auto"/>
              <w:right w:val="single" w:sz="4" w:space="0" w:color="auto"/>
            </w:tcBorders>
          </w:tcPr>
          <w:p w14:paraId="224F6DFD" w14:textId="25318668" w:rsidR="004041D6" w:rsidRDefault="004041D6" w:rsidP="000A02A8">
            <w:pPr>
              <w:spacing w:after="0" w:line="240" w:lineRule="auto"/>
              <w:jc w:val="center"/>
              <w:rPr>
                <w:rFonts w:ascii="Arial" w:hAnsi="Arial" w:cs="Arial"/>
              </w:rPr>
            </w:pPr>
            <w:hyperlink r:id="rId10" w:history="1">
              <w:r w:rsidRPr="00C221C3">
                <w:rPr>
                  <w:rStyle w:val="Hyperlink"/>
                  <w:rFonts w:ascii="Arial" w:hAnsi="Arial" w:cs="Arial"/>
                </w:rPr>
                <w:t>SEA 14</w:t>
              </w:r>
            </w:hyperlink>
          </w:p>
          <w:p w14:paraId="68379366" w14:textId="77777777" w:rsidR="00E70F2A" w:rsidRDefault="00E70F2A" w:rsidP="000A02A8">
            <w:pPr>
              <w:spacing w:after="0" w:line="240" w:lineRule="auto"/>
              <w:jc w:val="center"/>
              <w:rPr>
                <w:rFonts w:ascii="Arial" w:hAnsi="Arial" w:cs="Arial"/>
              </w:rPr>
            </w:pPr>
          </w:p>
          <w:p w14:paraId="2E73D020" w14:textId="01E52F24" w:rsidR="00E70F2A" w:rsidRDefault="002D20D5" w:rsidP="000A02A8">
            <w:pPr>
              <w:spacing w:after="0" w:line="240" w:lineRule="auto"/>
              <w:jc w:val="center"/>
              <w:rPr>
                <w:rFonts w:ascii="Arial" w:hAnsi="Arial" w:cs="Arial"/>
              </w:rPr>
            </w:pPr>
            <w:r>
              <w:rPr>
                <w:rFonts w:ascii="Arial" w:hAnsi="Arial" w:cs="Arial"/>
              </w:rPr>
              <w:t>Pension Matters</w:t>
            </w:r>
          </w:p>
          <w:p w14:paraId="4CBD6EB5" w14:textId="7B9D64B4" w:rsidR="00E70F2A" w:rsidRPr="00A51538" w:rsidRDefault="00E70F2A" w:rsidP="000A02A8">
            <w:pPr>
              <w:spacing w:after="0" w:line="240" w:lineRule="auto"/>
              <w:jc w:val="center"/>
              <w:rPr>
                <w:rFonts w:ascii="Arial" w:hAnsi="Arial" w:cs="Arial"/>
              </w:rPr>
            </w:pPr>
          </w:p>
        </w:tc>
        <w:tc>
          <w:tcPr>
            <w:tcW w:w="6403" w:type="dxa"/>
            <w:tcBorders>
              <w:top w:val="single" w:sz="4" w:space="0" w:color="auto"/>
              <w:left w:val="single" w:sz="4" w:space="0" w:color="auto"/>
              <w:bottom w:val="single" w:sz="4" w:space="0" w:color="auto"/>
              <w:right w:val="single" w:sz="4" w:space="0" w:color="auto"/>
            </w:tcBorders>
          </w:tcPr>
          <w:p w14:paraId="1A4D00D4" w14:textId="1BB56A9D" w:rsidR="004041D6" w:rsidRPr="00A51538" w:rsidRDefault="0009590D" w:rsidP="00086BBA">
            <w:pPr>
              <w:spacing w:after="0" w:line="240" w:lineRule="auto"/>
              <w:rPr>
                <w:rFonts w:ascii="Arial" w:hAnsi="Arial" w:cs="Arial"/>
                <w:bCs/>
              </w:rPr>
            </w:pPr>
            <w:r w:rsidRPr="0009590D">
              <w:rPr>
                <w:rFonts w:ascii="Arial" w:hAnsi="Arial" w:cs="Arial"/>
                <w:bCs/>
              </w:rPr>
              <w:t>Modifies the definition of "average of the annual compensation" for a member of the public employees' retirement fund (PERF) who retires after December 31, 2027. Specifies that compensation received in contemplation of retirement is excluded from the average of the annual compensation for particular members of PERF and the Indiana state teachers' retirement fund (TRF). Repeals a provision requiring the board of trustees of the Indiana public retirement system (board) to maintain separate accounts for each unit of local government. Provides that amounts forfeited under the public employees defined contribution plan must be used as determined by the board. Specifies a process by which a fully vested member of the public employees' defined contribution plan or the teachers' defined contribution plan may irrevocably elect to participate in PERF or TRF, as applicable. Modifies the information that must be included in a delinquency notice to a delinquent political subdivision. Modifies the requirements that apply to certain PERF members purchasing and claiming years of service credit in PERF.</w:t>
            </w:r>
            <w:r w:rsidR="00864615" w:rsidRPr="00864615">
              <w:rPr>
                <w:rFonts w:ascii="Roboto" w:hAnsi="Roboto"/>
                <w:color w:val="191919"/>
                <w:shd w:val="clear" w:color="auto" w:fill="FFFFFF"/>
              </w:rPr>
              <w:t xml:space="preserve"> </w:t>
            </w:r>
            <w:r w:rsidR="00864615" w:rsidRPr="00864615">
              <w:rPr>
                <w:rFonts w:ascii="Arial" w:hAnsi="Arial" w:cs="Arial"/>
                <w:bCs/>
              </w:rPr>
              <w:t>Allows a PERF or TRF member's employer to pay all or part of the member's contributions required for purchase of service credit. Allows a wage assignment to be made for the purpose of paying voluntary contributions of an employee of a political subdivision to a tax deferred retirement account. </w:t>
            </w:r>
            <w:r w:rsidR="00C677DC" w:rsidRPr="00C677DC">
              <w:rPr>
                <w:rFonts w:ascii="Arial" w:hAnsi="Arial" w:cs="Arial"/>
                <w:bCs/>
              </w:rPr>
              <w:t xml:space="preserve">Requires, subject to certain limitations, the state to make contributions after December 31, 2026, that match, dollar for dollar, each state employee's deferred compensation contributions, not to exceed $28 per paycheck. Specifies a process by which portions of the funding sources for the retirement medical benefits account must be transferred to the state comptroller for the purpose of making matching contributions. Provides as a default rule that after December 31, 2026, each participant's membership in the retirement medical benefits account is terminated, participant subaccounts are forfeited, and subaccount amounts must be transferred to the state general fund. Requires the state comptroller to transfer certain amounts from the state general fund to each participant's defined contribution plan. Specifies a time frame </w:t>
            </w:r>
            <w:r w:rsidR="00C677DC" w:rsidRPr="00C677DC">
              <w:rPr>
                <w:rFonts w:ascii="Arial" w:hAnsi="Arial" w:cs="Arial"/>
                <w:bCs/>
              </w:rPr>
              <w:lastRenderedPageBreak/>
              <w:t>within which a participant in the retirement medical benefits account may elect to remain a participant. Establishes the 2027 retiree health benefit trust. Provides that the retiree health benefit trust fund will be terminated when certain conditions are met. </w:t>
            </w:r>
          </w:p>
        </w:tc>
        <w:tc>
          <w:tcPr>
            <w:tcW w:w="1530" w:type="dxa"/>
            <w:tcBorders>
              <w:top w:val="single" w:sz="4" w:space="0" w:color="auto"/>
              <w:left w:val="single" w:sz="4" w:space="0" w:color="auto"/>
              <w:bottom w:val="single" w:sz="4" w:space="0" w:color="auto"/>
              <w:right w:val="single" w:sz="4" w:space="0" w:color="auto"/>
            </w:tcBorders>
          </w:tcPr>
          <w:p w14:paraId="17258E26" w14:textId="7651C99E" w:rsidR="004041D6" w:rsidRPr="00A51538" w:rsidRDefault="006E316A">
            <w:pPr>
              <w:spacing w:after="0" w:line="240" w:lineRule="auto"/>
              <w:jc w:val="center"/>
              <w:rPr>
                <w:rFonts w:ascii="Arial" w:hAnsi="Arial" w:cs="Arial"/>
                <w:bCs/>
              </w:rPr>
            </w:pPr>
            <w:r>
              <w:rPr>
                <w:rFonts w:ascii="Arial" w:hAnsi="Arial" w:cs="Arial"/>
                <w:bCs/>
              </w:rPr>
              <w:lastRenderedPageBreak/>
              <w:t>Some effective upon passage and some effective July 1, 2026</w:t>
            </w:r>
          </w:p>
        </w:tc>
      </w:tr>
      <w:tr w:rsidR="00686965" w:rsidRPr="00A51538" w14:paraId="2D386939" w14:textId="77777777" w:rsidTr="00141D6C">
        <w:tc>
          <w:tcPr>
            <w:tcW w:w="1918" w:type="dxa"/>
            <w:tcBorders>
              <w:top w:val="single" w:sz="4" w:space="0" w:color="auto"/>
              <w:left w:val="single" w:sz="4" w:space="0" w:color="auto"/>
              <w:bottom w:val="single" w:sz="4" w:space="0" w:color="auto"/>
              <w:right w:val="single" w:sz="4" w:space="0" w:color="auto"/>
            </w:tcBorders>
          </w:tcPr>
          <w:p w14:paraId="36BADC77" w14:textId="301D7DF4" w:rsidR="00ED5DB8" w:rsidRDefault="004041D6" w:rsidP="000A02A8">
            <w:pPr>
              <w:spacing w:after="0" w:line="240" w:lineRule="auto"/>
              <w:jc w:val="center"/>
              <w:rPr>
                <w:rFonts w:ascii="Arial" w:hAnsi="Arial" w:cs="Arial"/>
              </w:rPr>
            </w:pPr>
            <w:r w:rsidRPr="00A51538">
              <w:rPr>
                <w:rFonts w:ascii="Arial" w:hAnsi="Arial" w:cs="Arial"/>
              </w:rPr>
              <w:t xml:space="preserve"> </w:t>
            </w:r>
            <w:hyperlink r:id="rId11" w:history="1">
              <w:r w:rsidRPr="00E73BA6">
                <w:rPr>
                  <w:rStyle w:val="Hyperlink"/>
                  <w:rFonts w:ascii="Arial" w:hAnsi="Arial" w:cs="Arial"/>
                </w:rPr>
                <w:t>SEA 76</w:t>
              </w:r>
            </w:hyperlink>
            <w:r w:rsidR="00DA4890" w:rsidRPr="00A51538">
              <w:rPr>
                <w:rFonts w:ascii="Arial" w:hAnsi="Arial" w:cs="Arial"/>
              </w:rPr>
              <w:t xml:space="preserve"> </w:t>
            </w:r>
          </w:p>
          <w:p w14:paraId="14B66EB0" w14:textId="77777777" w:rsidR="00E70F2A" w:rsidRDefault="00E70F2A" w:rsidP="000A02A8">
            <w:pPr>
              <w:spacing w:after="0" w:line="240" w:lineRule="auto"/>
              <w:jc w:val="center"/>
              <w:rPr>
                <w:rFonts w:ascii="Arial" w:hAnsi="Arial" w:cs="Arial"/>
                <w:bCs/>
              </w:rPr>
            </w:pPr>
          </w:p>
          <w:p w14:paraId="4AE34A0C" w14:textId="6BDE75FB" w:rsidR="00E70F2A" w:rsidRDefault="00E73BA6" w:rsidP="000A02A8">
            <w:pPr>
              <w:spacing w:after="0" w:line="240" w:lineRule="auto"/>
              <w:jc w:val="center"/>
              <w:rPr>
                <w:rFonts w:ascii="Arial" w:hAnsi="Arial" w:cs="Arial"/>
                <w:bCs/>
              </w:rPr>
            </w:pPr>
            <w:r>
              <w:rPr>
                <w:rFonts w:ascii="Arial" w:hAnsi="Arial" w:cs="Arial"/>
                <w:bCs/>
              </w:rPr>
              <w:t>Immigration Matters</w:t>
            </w:r>
          </w:p>
          <w:p w14:paraId="27B791C1" w14:textId="530A0069" w:rsidR="00E70F2A" w:rsidRPr="00A51538" w:rsidRDefault="00E70F2A" w:rsidP="000A02A8">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485F5B20" w14:textId="47BFE19D" w:rsidR="00686965" w:rsidRPr="00A51538" w:rsidRDefault="00751ED7" w:rsidP="00086BBA">
            <w:pPr>
              <w:spacing w:after="0" w:line="240" w:lineRule="auto"/>
              <w:rPr>
                <w:rFonts w:ascii="Arial" w:hAnsi="Arial" w:cs="Arial"/>
                <w:bCs/>
              </w:rPr>
            </w:pPr>
            <w:r w:rsidRPr="00751ED7">
              <w:rPr>
                <w:rFonts w:ascii="Arial" w:hAnsi="Arial" w:cs="Arial"/>
                <w:bCs/>
              </w:rPr>
              <w:t>Provides that if a law enforcement officer, governmental body, or postsecondary educational institution is made a party to a civil suit and the attorney general determines that the suit has arisen out of certain immigration matters, the attorney general may defend the law enforcement officer, the governmental body, or the postsecondary educational institution if representation is requested and the actions subject to the suit do not violate federal or state law. Provides that the prohibition on governmental bodies or postsecondary educational institutions limiting or restricting the enforcement of federal immigration law applies regardless of whether the enforcement related activity is carried out by a federal, state, or local law enforcement agency. Removes the mens rea standard in the statute concerning governmental bodies or postsecondary institutions violating the citizenship and immigration status information and enforcement of federal laws chapter. Provides that if the attorney general determines that probable cause exists that a governmental entity has not complied with certain requests, the attorney general may bring a court action to: (1) enjoin an act or practice constituting a violation; (2) impose a civil penalty for noncompliance; and (3) and obtain other such relief as is necessary. </w:t>
            </w:r>
            <w:r w:rsidR="004342CA" w:rsidRPr="004342CA">
              <w:rPr>
                <w:rFonts w:ascii="Arial" w:hAnsi="Arial" w:cs="Arial"/>
                <w:bCs/>
              </w:rPr>
              <w:t>Specifies that it is unlawful for an employer to knowingly or intentionally recruit, hire, or continue to employ an unauthorized alien in Indiana. Allows the attorney general to bring an enforcement action against an employer if the attorney general determines that probable cause exists that the employer has violated certain recruitment and hiring restrictions concerning an unauthorized alien. Prohibits an employer from discharging or discriminating against an employee because the employee communicated or cooperated with the attorney general.</w:t>
            </w:r>
          </w:p>
        </w:tc>
        <w:tc>
          <w:tcPr>
            <w:tcW w:w="1530" w:type="dxa"/>
            <w:tcBorders>
              <w:top w:val="single" w:sz="4" w:space="0" w:color="auto"/>
              <w:left w:val="single" w:sz="4" w:space="0" w:color="auto"/>
              <w:bottom w:val="single" w:sz="4" w:space="0" w:color="auto"/>
              <w:right w:val="single" w:sz="4" w:space="0" w:color="auto"/>
            </w:tcBorders>
          </w:tcPr>
          <w:p w14:paraId="0D37B571" w14:textId="3E176D1D" w:rsidR="00686965" w:rsidRPr="00A51538" w:rsidRDefault="006706CD">
            <w:pPr>
              <w:spacing w:after="0" w:line="240" w:lineRule="auto"/>
              <w:jc w:val="center"/>
              <w:rPr>
                <w:rFonts w:ascii="Arial" w:hAnsi="Arial" w:cs="Arial"/>
                <w:bCs/>
              </w:rPr>
            </w:pPr>
            <w:r>
              <w:rPr>
                <w:rFonts w:ascii="Arial" w:hAnsi="Arial" w:cs="Arial"/>
                <w:bCs/>
              </w:rPr>
              <w:t>Some effective upon passage and some effective July 1, 2026</w:t>
            </w:r>
            <w:r w:rsidR="001E39D7" w:rsidRPr="00A51538">
              <w:rPr>
                <w:rFonts w:ascii="Arial" w:hAnsi="Arial" w:cs="Arial"/>
                <w:bCs/>
              </w:rPr>
              <w:t xml:space="preserve"> </w:t>
            </w:r>
          </w:p>
        </w:tc>
      </w:tr>
      <w:tr w:rsidR="00686965" w:rsidRPr="00A51538" w14:paraId="74A9FA2E" w14:textId="77777777" w:rsidTr="00141D6C">
        <w:tc>
          <w:tcPr>
            <w:tcW w:w="1918" w:type="dxa"/>
            <w:tcBorders>
              <w:top w:val="single" w:sz="4" w:space="0" w:color="auto"/>
              <w:left w:val="single" w:sz="4" w:space="0" w:color="auto"/>
              <w:bottom w:val="single" w:sz="4" w:space="0" w:color="auto"/>
              <w:right w:val="single" w:sz="4" w:space="0" w:color="auto"/>
            </w:tcBorders>
          </w:tcPr>
          <w:p w14:paraId="6E8BE264" w14:textId="743B0108" w:rsidR="00E70F2A" w:rsidRDefault="004041D6">
            <w:pPr>
              <w:spacing w:after="0" w:line="240" w:lineRule="auto"/>
              <w:jc w:val="center"/>
              <w:rPr>
                <w:rFonts w:ascii="Arial" w:hAnsi="Arial" w:cs="Arial"/>
              </w:rPr>
            </w:pPr>
            <w:hyperlink r:id="rId12" w:history="1">
              <w:r w:rsidRPr="00693A27">
                <w:rPr>
                  <w:rStyle w:val="Hyperlink"/>
                  <w:rFonts w:ascii="Arial" w:hAnsi="Arial" w:cs="Arial"/>
                </w:rPr>
                <w:t xml:space="preserve">SEA </w:t>
              </w:r>
              <w:r w:rsidR="004B0372" w:rsidRPr="00693A27">
                <w:rPr>
                  <w:rStyle w:val="Hyperlink"/>
                  <w:rFonts w:ascii="Arial" w:hAnsi="Arial" w:cs="Arial"/>
                </w:rPr>
                <w:t xml:space="preserve"> </w:t>
              </w:r>
              <w:r w:rsidRPr="00693A27">
                <w:rPr>
                  <w:rStyle w:val="Hyperlink"/>
                  <w:rFonts w:ascii="Arial" w:hAnsi="Arial" w:cs="Arial"/>
                </w:rPr>
                <w:t>119</w:t>
              </w:r>
            </w:hyperlink>
          </w:p>
          <w:p w14:paraId="4AC41831" w14:textId="77777777" w:rsidR="00E70F2A" w:rsidRDefault="00E70F2A">
            <w:pPr>
              <w:spacing w:after="0" w:line="240" w:lineRule="auto"/>
              <w:jc w:val="center"/>
              <w:rPr>
                <w:rFonts w:ascii="Arial" w:hAnsi="Arial" w:cs="Arial"/>
              </w:rPr>
            </w:pPr>
          </w:p>
          <w:p w14:paraId="64DFA8C1" w14:textId="66CE5C61" w:rsidR="00A172D1" w:rsidRPr="00A51538" w:rsidRDefault="00693A27" w:rsidP="00B4469E">
            <w:pPr>
              <w:spacing w:after="0" w:line="240" w:lineRule="auto"/>
              <w:jc w:val="center"/>
              <w:rPr>
                <w:rFonts w:ascii="Arial" w:hAnsi="Arial" w:cs="Arial"/>
                <w:bCs/>
              </w:rPr>
            </w:pPr>
            <w:r>
              <w:rPr>
                <w:rFonts w:ascii="Arial" w:hAnsi="Arial" w:cs="Arial"/>
                <w:bCs/>
              </w:rPr>
              <w:t>Grooming</w:t>
            </w:r>
          </w:p>
          <w:p w14:paraId="6CA63B8B" w14:textId="0EB4A879" w:rsidR="00E77A06" w:rsidRPr="00A51538" w:rsidRDefault="00E77A06">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40473144" w14:textId="0DE149A4" w:rsidR="00686965" w:rsidRPr="00A51538" w:rsidRDefault="007460B6" w:rsidP="00E811B4">
            <w:pPr>
              <w:spacing w:after="0" w:line="240" w:lineRule="auto"/>
              <w:rPr>
                <w:rFonts w:ascii="Arial" w:hAnsi="Arial" w:cs="Arial"/>
                <w:bCs/>
              </w:rPr>
            </w:pPr>
            <w:r w:rsidRPr="007460B6">
              <w:rPr>
                <w:rFonts w:ascii="Arial" w:hAnsi="Arial" w:cs="Arial"/>
                <w:bCs/>
              </w:rPr>
              <w:t>Adds a facility or event that provides entertainment or programming primarily directed toward a child less than 18 years of age to the list of facilities at which a sexually violent predator or an offender against children may not work or volunteer. Adds entering a facility or location holding an event that provides entertainment or programming primarily directed toward a child less than 18 years of age by a serious sex offender to the crime of unlawful entry by a serious sex offender. </w:t>
            </w:r>
          </w:p>
        </w:tc>
        <w:tc>
          <w:tcPr>
            <w:tcW w:w="1530" w:type="dxa"/>
            <w:tcBorders>
              <w:top w:val="single" w:sz="4" w:space="0" w:color="auto"/>
              <w:left w:val="single" w:sz="4" w:space="0" w:color="auto"/>
              <w:bottom w:val="single" w:sz="4" w:space="0" w:color="auto"/>
              <w:right w:val="single" w:sz="4" w:space="0" w:color="auto"/>
            </w:tcBorders>
          </w:tcPr>
          <w:p w14:paraId="0639DB98" w14:textId="6EF82B15" w:rsidR="002164C7" w:rsidRPr="00A51538" w:rsidRDefault="004D12E5">
            <w:pPr>
              <w:spacing w:after="0" w:line="240" w:lineRule="auto"/>
              <w:jc w:val="center"/>
              <w:rPr>
                <w:rFonts w:ascii="Arial" w:hAnsi="Arial" w:cs="Arial"/>
                <w:bCs/>
              </w:rPr>
            </w:pPr>
            <w:r>
              <w:rPr>
                <w:rFonts w:ascii="Arial" w:hAnsi="Arial" w:cs="Arial"/>
                <w:bCs/>
              </w:rPr>
              <w:t>July 1, 2026</w:t>
            </w:r>
            <w:r w:rsidR="001E39D7" w:rsidRPr="00A51538">
              <w:rPr>
                <w:rFonts w:ascii="Arial" w:hAnsi="Arial" w:cs="Arial"/>
                <w:bCs/>
              </w:rPr>
              <w:t xml:space="preserve"> </w:t>
            </w:r>
          </w:p>
        </w:tc>
      </w:tr>
      <w:tr w:rsidR="00E12D76" w:rsidRPr="00A51538" w14:paraId="0771A064" w14:textId="77777777" w:rsidTr="00141D6C">
        <w:tc>
          <w:tcPr>
            <w:tcW w:w="1918" w:type="dxa"/>
            <w:tcBorders>
              <w:top w:val="single" w:sz="4" w:space="0" w:color="auto"/>
              <w:left w:val="single" w:sz="4" w:space="0" w:color="auto"/>
              <w:bottom w:val="single" w:sz="4" w:space="0" w:color="auto"/>
              <w:right w:val="single" w:sz="4" w:space="0" w:color="auto"/>
            </w:tcBorders>
          </w:tcPr>
          <w:p w14:paraId="4ACD44BB" w14:textId="50E082EE" w:rsidR="00E12D76" w:rsidRDefault="00E12D76">
            <w:pPr>
              <w:spacing w:after="0" w:line="240" w:lineRule="auto"/>
              <w:jc w:val="center"/>
              <w:rPr>
                <w:rFonts w:ascii="Arial" w:hAnsi="Arial" w:cs="Arial"/>
              </w:rPr>
            </w:pPr>
            <w:hyperlink r:id="rId13" w:history="1">
              <w:r w:rsidRPr="00620F01">
                <w:rPr>
                  <w:rStyle w:val="Hyperlink"/>
                  <w:rFonts w:ascii="Arial" w:hAnsi="Arial" w:cs="Arial"/>
                </w:rPr>
                <w:t>SEA 214</w:t>
              </w:r>
            </w:hyperlink>
          </w:p>
          <w:p w14:paraId="0B4B3250" w14:textId="77777777" w:rsidR="00E12D76" w:rsidRDefault="00E12D76">
            <w:pPr>
              <w:spacing w:after="0" w:line="240" w:lineRule="auto"/>
              <w:jc w:val="center"/>
              <w:rPr>
                <w:rFonts w:ascii="Arial" w:hAnsi="Arial" w:cs="Arial"/>
              </w:rPr>
            </w:pPr>
          </w:p>
          <w:p w14:paraId="25B56EE8" w14:textId="5A19E71E" w:rsidR="00E12D76" w:rsidRPr="00A51538" w:rsidRDefault="00E12D76">
            <w:pPr>
              <w:spacing w:after="0" w:line="240" w:lineRule="auto"/>
              <w:jc w:val="center"/>
              <w:rPr>
                <w:rFonts w:ascii="Arial" w:hAnsi="Arial" w:cs="Arial"/>
              </w:rPr>
            </w:pPr>
            <w:r>
              <w:rPr>
                <w:rFonts w:ascii="Arial" w:hAnsi="Arial" w:cs="Arial"/>
              </w:rPr>
              <w:t>Department of Workforce Development</w:t>
            </w:r>
          </w:p>
        </w:tc>
        <w:tc>
          <w:tcPr>
            <w:tcW w:w="6403" w:type="dxa"/>
            <w:tcBorders>
              <w:top w:val="single" w:sz="4" w:space="0" w:color="auto"/>
              <w:left w:val="single" w:sz="4" w:space="0" w:color="auto"/>
              <w:bottom w:val="single" w:sz="4" w:space="0" w:color="auto"/>
              <w:right w:val="single" w:sz="4" w:space="0" w:color="auto"/>
            </w:tcBorders>
          </w:tcPr>
          <w:p w14:paraId="3C6C75DA" w14:textId="26D53B7A" w:rsidR="00E12D76" w:rsidRPr="00205E84" w:rsidRDefault="00620F01" w:rsidP="00D03EFA">
            <w:pPr>
              <w:spacing w:after="0" w:line="240" w:lineRule="auto"/>
              <w:rPr>
                <w:rFonts w:ascii="Arial" w:hAnsi="Arial" w:cs="Arial"/>
                <w:bCs/>
              </w:rPr>
            </w:pPr>
            <w:r w:rsidRPr="00620F01">
              <w:rPr>
                <w:rFonts w:ascii="Arial" w:hAnsi="Arial" w:cs="Arial"/>
                <w:bCs/>
              </w:rPr>
              <w:t xml:space="preserve">Defines or amends certain terms. Codifies certain administrative rules with respect to: (1) experience accounts; (2) reporting; (3) contribution rates and payment; (4) seasonal workers; (5) benefit payments to the deceased; (6) part-time workers; (7) work searches; (8) partial unemployment; (9) the filing of claims; (10) interstate claimants; (11) administrative law </w:t>
            </w:r>
            <w:r w:rsidRPr="00620F01">
              <w:rPr>
                <w:rFonts w:ascii="Arial" w:hAnsi="Arial" w:cs="Arial"/>
                <w:bCs/>
              </w:rPr>
              <w:lastRenderedPageBreak/>
              <w:t>proceedings; and (12) notice. Alters the powers of the department of workforce development with respect to administrative cooperation agreements. </w:t>
            </w:r>
          </w:p>
        </w:tc>
        <w:tc>
          <w:tcPr>
            <w:tcW w:w="1530" w:type="dxa"/>
            <w:tcBorders>
              <w:top w:val="single" w:sz="4" w:space="0" w:color="auto"/>
              <w:left w:val="single" w:sz="4" w:space="0" w:color="auto"/>
              <w:bottom w:val="single" w:sz="4" w:space="0" w:color="auto"/>
              <w:right w:val="single" w:sz="4" w:space="0" w:color="auto"/>
            </w:tcBorders>
          </w:tcPr>
          <w:p w14:paraId="27F1EF2F" w14:textId="7C08AD86" w:rsidR="00E12D76" w:rsidRPr="00A51538" w:rsidRDefault="001C4F03">
            <w:pPr>
              <w:spacing w:after="0" w:line="240" w:lineRule="auto"/>
              <w:jc w:val="center"/>
              <w:rPr>
                <w:rFonts w:ascii="Arial" w:hAnsi="Arial" w:cs="Arial"/>
                <w:bCs/>
              </w:rPr>
            </w:pPr>
            <w:r>
              <w:rPr>
                <w:rFonts w:ascii="Arial" w:hAnsi="Arial" w:cs="Arial"/>
                <w:bCs/>
              </w:rPr>
              <w:lastRenderedPageBreak/>
              <w:t>July 1</w:t>
            </w:r>
            <w:r w:rsidR="00B24E80">
              <w:rPr>
                <w:rFonts w:ascii="Arial" w:hAnsi="Arial" w:cs="Arial"/>
                <w:bCs/>
              </w:rPr>
              <w:t>, 2026</w:t>
            </w:r>
          </w:p>
        </w:tc>
      </w:tr>
      <w:tr w:rsidR="00686965" w:rsidRPr="00A51538" w14:paraId="569A56E8" w14:textId="77777777" w:rsidTr="00141D6C">
        <w:tc>
          <w:tcPr>
            <w:tcW w:w="1918" w:type="dxa"/>
            <w:tcBorders>
              <w:top w:val="single" w:sz="4" w:space="0" w:color="auto"/>
              <w:left w:val="single" w:sz="4" w:space="0" w:color="auto"/>
              <w:bottom w:val="single" w:sz="4" w:space="0" w:color="auto"/>
              <w:right w:val="single" w:sz="4" w:space="0" w:color="auto"/>
            </w:tcBorders>
          </w:tcPr>
          <w:p w14:paraId="7F79510E" w14:textId="3C8D0536" w:rsidR="004172B9" w:rsidRDefault="002D40A7">
            <w:pPr>
              <w:spacing w:after="0" w:line="240" w:lineRule="auto"/>
              <w:jc w:val="center"/>
              <w:rPr>
                <w:rFonts w:ascii="Arial" w:hAnsi="Arial" w:cs="Arial"/>
              </w:rPr>
            </w:pPr>
            <w:r w:rsidRPr="00A51538">
              <w:rPr>
                <w:rFonts w:ascii="Arial" w:hAnsi="Arial" w:cs="Arial"/>
              </w:rPr>
              <w:t xml:space="preserve"> </w:t>
            </w:r>
            <w:hyperlink r:id="rId14" w:history="1">
              <w:r w:rsidRPr="006535A9">
                <w:rPr>
                  <w:rStyle w:val="Hyperlink"/>
                  <w:rFonts w:ascii="Arial" w:hAnsi="Arial" w:cs="Arial"/>
                </w:rPr>
                <w:t>SEA 226</w:t>
              </w:r>
            </w:hyperlink>
            <w:r w:rsidR="001E39D7" w:rsidRPr="00A51538">
              <w:rPr>
                <w:rFonts w:ascii="Arial" w:hAnsi="Arial" w:cs="Arial"/>
              </w:rPr>
              <w:t xml:space="preserve"> </w:t>
            </w:r>
          </w:p>
          <w:p w14:paraId="4074D7F1" w14:textId="77777777" w:rsidR="00E70F2A" w:rsidRDefault="00E70F2A">
            <w:pPr>
              <w:spacing w:after="0" w:line="240" w:lineRule="auto"/>
              <w:jc w:val="center"/>
              <w:rPr>
                <w:rFonts w:ascii="Arial" w:hAnsi="Arial" w:cs="Arial"/>
                <w:bCs/>
              </w:rPr>
            </w:pPr>
          </w:p>
          <w:p w14:paraId="07CDDA97" w14:textId="2B7AF2CB" w:rsidR="00E70F2A" w:rsidRDefault="006535A9">
            <w:pPr>
              <w:spacing w:after="0" w:line="240" w:lineRule="auto"/>
              <w:jc w:val="center"/>
              <w:rPr>
                <w:rFonts w:ascii="Arial" w:hAnsi="Arial" w:cs="Arial"/>
                <w:bCs/>
              </w:rPr>
            </w:pPr>
            <w:r>
              <w:rPr>
                <w:rFonts w:ascii="Arial" w:hAnsi="Arial" w:cs="Arial"/>
                <w:bCs/>
              </w:rPr>
              <w:t>Indiana Department of Administration</w:t>
            </w:r>
          </w:p>
          <w:p w14:paraId="1A851B88" w14:textId="59B9D9AB" w:rsidR="00E70F2A" w:rsidRPr="00A51538" w:rsidRDefault="00E70F2A">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7F7DDD5C" w14:textId="26A49721" w:rsidR="00686965" w:rsidRPr="00A51538" w:rsidRDefault="00205E84" w:rsidP="00D03EFA">
            <w:pPr>
              <w:spacing w:after="0" w:line="240" w:lineRule="auto"/>
              <w:rPr>
                <w:rFonts w:ascii="Arial" w:hAnsi="Arial" w:cs="Arial"/>
                <w:bCs/>
              </w:rPr>
            </w:pPr>
            <w:r w:rsidRPr="00205E84">
              <w:rPr>
                <w:rFonts w:ascii="Arial" w:hAnsi="Arial" w:cs="Arial"/>
                <w:bCs/>
              </w:rPr>
              <w:t xml:space="preserve">Allows the Indiana department of administration (department) to implement category management for purchasing and contracting by state agencies. Amends the nomination and appointment process for a state agency's purchasing representative. Requires the department to establish and maintain an independent verification and validation oversight program for contracts entered into by state agencies. Requires state agencies to submit an annual procurement and purchasing plan to the department and the budget agency. </w:t>
            </w:r>
          </w:p>
        </w:tc>
        <w:tc>
          <w:tcPr>
            <w:tcW w:w="1530" w:type="dxa"/>
            <w:tcBorders>
              <w:top w:val="single" w:sz="4" w:space="0" w:color="auto"/>
              <w:left w:val="single" w:sz="4" w:space="0" w:color="auto"/>
              <w:bottom w:val="single" w:sz="4" w:space="0" w:color="auto"/>
              <w:right w:val="single" w:sz="4" w:space="0" w:color="auto"/>
            </w:tcBorders>
          </w:tcPr>
          <w:p w14:paraId="1AA21207" w14:textId="41AD0BA5" w:rsidR="00686965" w:rsidRPr="00A51538" w:rsidRDefault="00D07BFA">
            <w:pPr>
              <w:spacing w:after="0" w:line="240" w:lineRule="auto"/>
              <w:jc w:val="center"/>
              <w:rPr>
                <w:rFonts w:ascii="Arial" w:hAnsi="Arial" w:cs="Arial"/>
                <w:bCs/>
              </w:rPr>
            </w:pPr>
            <w:r>
              <w:rPr>
                <w:rFonts w:ascii="Arial" w:hAnsi="Arial" w:cs="Arial"/>
                <w:bCs/>
              </w:rPr>
              <w:t>Upon passage</w:t>
            </w:r>
            <w:r w:rsidR="001E39D7" w:rsidRPr="00A51538">
              <w:rPr>
                <w:rFonts w:ascii="Arial" w:hAnsi="Arial" w:cs="Arial"/>
                <w:bCs/>
              </w:rPr>
              <w:t xml:space="preserve"> </w:t>
            </w:r>
          </w:p>
        </w:tc>
      </w:tr>
      <w:tr w:rsidR="00686965" w:rsidRPr="00A51538" w14:paraId="5618D11C" w14:textId="77777777" w:rsidTr="00141D6C">
        <w:tc>
          <w:tcPr>
            <w:tcW w:w="1918" w:type="dxa"/>
            <w:tcBorders>
              <w:top w:val="single" w:sz="4" w:space="0" w:color="auto"/>
              <w:left w:val="single" w:sz="4" w:space="0" w:color="auto"/>
              <w:bottom w:val="single" w:sz="4" w:space="0" w:color="auto"/>
              <w:right w:val="single" w:sz="4" w:space="0" w:color="auto"/>
            </w:tcBorders>
          </w:tcPr>
          <w:p w14:paraId="76C2737F" w14:textId="6CDFB59A" w:rsidR="004172B9" w:rsidRDefault="00DA4890">
            <w:pPr>
              <w:spacing w:after="0" w:line="240" w:lineRule="auto"/>
              <w:jc w:val="center"/>
              <w:rPr>
                <w:rFonts w:ascii="Arial" w:hAnsi="Arial" w:cs="Arial"/>
                <w:bCs/>
              </w:rPr>
            </w:pPr>
            <w:r w:rsidRPr="00A51538">
              <w:rPr>
                <w:rFonts w:ascii="Arial" w:hAnsi="Arial" w:cs="Arial"/>
              </w:rPr>
              <w:t xml:space="preserve"> </w:t>
            </w:r>
            <w:hyperlink r:id="rId15" w:history="1">
              <w:r w:rsidR="002D40A7" w:rsidRPr="00EF4472">
                <w:rPr>
                  <w:rStyle w:val="Hyperlink"/>
                  <w:rFonts w:ascii="Arial" w:hAnsi="Arial" w:cs="Arial"/>
                </w:rPr>
                <w:t>SEA</w:t>
              </w:r>
              <w:r w:rsidRPr="00EF4472">
                <w:rPr>
                  <w:rStyle w:val="Hyperlink"/>
                  <w:rFonts w:ascii="Arial" w:hAnsi="Arial" w:cs="Arial"/>
                  <w:bCs/>
                </w:rPr>
                <w:t xml:space="preserve"> </w:t>
              </w:r>
              <w:r w:rsidR="002D40A7" w:rsidRPr="00EF4472">
                <w:rPr>
                  <w:rStyle w:val="Hyperlink"/>
                  <w:rFonts w:ascii="Arial" w:hAnsi="Arial" w:cs="Arial"/>
                  <w:bCs/>
                </w:rPr>
                <w:t>285</w:t>
              </w:r>
            </w:hyperlink>
          </w:p>
          <w:p w14:paraId="4E723187" w14:textId="77777777" w:rsidR="00E70F2A" w:rsidRDefault="00E70F2A">
            <w:pPr>
              <w:spacing w:after="0" w:line="240" w:lineRule="auto"/>
              <w:jc w:val="center"/>
              <w:rPr>
                <w:rFonts w:ascii="Arial" w:hAnsi="Arial" w:cs="Arial"/>
                <w:bCs/>
              </w:rPr>
            </w:pPr>
          </w:p>
          <w:p w14:paraId="563C7309" w14:textId="1CE552A4" w:rsidR="00E70F2A" w:rsidRDefault="00FE1018">
            <w:pPr>
              <w:spacing w:after="0" w:line="240" w:lineRule="auto"/>
              <w:jc w:val="center"/>
              <w:rPr>
                <w:rFonts w:ascii="Arial" w:hAnsi="Arial" w:cs="Arial"/>
                <w:bCs/>
              </w:rPr>
            </w:pPr>
            <w:r>
              <w:rPr>
                <w:rFonts w:ascii="Arial" w:hAnsi="Arial" w:cs="Arial"/>
                <w:bCs/>
              </w:rPr>
              <w:t>Housing Matters</w:t>
            </w:r>
          </w:p>
          <w:p w14:paraId="1746531F" w14:textId="6B836302" w:rsidR="00E70F2A" w:rsidRPr="00A51538" w:rsidRDefault="00E70F2A">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7FEF856E" w14:textId="060DAD30" w:rsidR="00686965" w:rsidRPr="00A51538" w:rsidRDefault="0039625C" w:rsidP="00382F3F">
            <w:pPr>
              <w:spacing w:after="0" w:line="240" w:lineRule="auto"/>
              <w:rPr>
                <w:rFonts w:ascii="Arial" w:hAnsi="Arial" w:cs="Arial"/>
                <w:bCs/>
              </w:rPr>
            </w:pPr>
            <w:r w:rsidRPr="0039625C">
              <w:rPr>
                <w:rFonts w:ascii="Arial" w:hAnsi="Arial" w:cs="Arial"/>
                <w:bCs/>
              </w:rPr>
              <w:t>Defines "gravely disabled" for purposes of involuntary commitment. Prohibits an individual from camping, sleeping, or using for long term shelter land owned by the state or a political subdivision, unless the land has been authorized for that use by law. Requires a law enforcement officer who discovers a person unlawfully using land owned by the state or a political subdivision for unlawful camping, sleeping, or long term shelter to determine if there are reasonable grounds for an emergency detention of the person, and, if reasonable grounds exist, to proceed under the emergency detention procedure and not the criminal law. Provides that, if there are not grounds for emergency detention and certain elements are met, a person who knowingly or intentionally uses land owned by the state or a political subdivision for unauthorized camping, sleeping, or long term shelter commits a Class C misdemeanor. Creates a defense to the crime if: (1) no beds are available in a shelter or treatment facility located within five miles; or (2) less than six months have passed since the person was released from a facility to which the person was involuntarily committed. Prohibits a political subdivision from adopting or enforcing any policy that prohibits or discourages the enforcement of any order or ordinance prohibiting public camping, sleeping, or other obstruction of a sidewalk. Requires: (1) each local law enforcement agency to provide to the state police department the number of arrests made for violations of the prohibition of street camping; and (2) the state police department to provide this information to the authority. Specifies that the bill does not prohibit a policy, program, or order of a political subdivision that encourages a diversion program or encourages or requires providing housing or shelter in lieu of a citation or arrest. Makes technical corrections.</w:t>
            </w:r>
          </w:p>
        </w:tc>
        <w:tc>
          <w:tcPr>
            <w:tcW w:w="1530" w:type="dxa"/>
            <w:tcBorders>
              <w:top w:val="single" w:sz="4" w:space="0" w:color="auto"/>
              <w:left w:val="single" w:sz="4" w:space="0" w:color="auto"/>
              <w:bottom w:val="single" w:sz="4" w:space="0" w:color="auto"/>
              <w:right w:val="single" w:sz="4" w:space="0" w:color="auto"/>
            </w:tcBorders>
          </w:tcPr>
          <w:p w14:paraId="776EB143" w14:textId="29BD5F82" w:rsidR="00281DB5" w:rsidRPr="00A51538" w:rsidRDefault="001E39D7">
            <w:pPr>
              <w:spacing w:after="0" w:line="240" w:lineRule="auto"/>
              <w:jc w:val="center"/>
              <w:rPr>
                <w:rFonts w:ascii="Arial" w:hAnsi="Arial" w:cs="Arial"/>
                <w:bCs/>
              </w:rPr>
            </w:pPr>
            <w:r w:rsidRPr="00A51538">
              <w:rPr>
                <w:rFonts w:ascii="Arial" w:hAnsi="Arial" w:cs="Arial"/>
                <w:bCs/>
              </w:rPr>
              <w:t xml:space="preserve"> </w:t>
            </w:r>
          </w:p>
          <w:p w14:paraId="22DEBD81" w14:textId="4C1E2DD9" w:rsidR="00281DB5" w:rsidRPr="00A51538" w:rsidRDefault="00392FAA">
            <w:pPr>
              <w:spacing w:after="0" w:line="240" w:lineRule="auto"/>
              <w:jc w:val="center"/>
              <w:rPr>
                <w:rFonts w:ascii="Arial" w:hAnsi="Arial" w:cs="Arial"/>
                <w:bCs/>
              </w:rPr>
            </w:pPr>
            <w:r>
              <w:rPr>
                <w:rFonts w:ascii="Arial" w:hAnsi="Arial" w:cs="Arial"/>
                <w:bCs/>
              </w:rPr>
              <w:t>July 1, 2026</w:t>
            </w:r>
          </w:p>
        </w:tc>
      </w:tr>
      <w:tr w:rsidR="00686965" w:rsidRPr="00A51538" w14:paraId="7526F9EF" w14:textId="77777777" w:rsidTr="00141D6C">
        <w:tc>
          <w:tcPr>
            <w:tcW w:w="1918" w:type="dxa"/>
            <w:tcBorders>
              <w:top w:val="single" w:sz="4" w:space="0" w:color="auto"/>
              <w:left w:val="single" w:sz="4" w:space="0" w:color="auto"/>
              <w:bottom w:val="single" w:sz="4" w:space="0" w:color="auto"/>
              <w:right w:val="single" w:sz="4" w:space="0" w:color="auto"/>
            </w:tcBorders>
          </w:tcPr>
          <w:p w14:paraId="31AC8D5E" w14:textId="46A83AB3" w:rsidR="00DF78DC" w:rsidRDefault="00DA4890">
            <w:pPr>
              <w:spacing w:after="0" w:line="240" w:lineRule="auto"/>
              <w:jc w:val="center"/>
              <w:rPr>
                <w:rFonts w:ascii="Arial" w:hAnsi="Arial" w:cs="Arial"/>
              </w:rPr>
            </w:pPr>
            <w:r w:rsidRPr="00A51538">
              <w:rPr>
                <w:rFonts w:ascii="Arial" w:hAnsi="Arial" w:cs="Arial"/>
              </w:rPr>
              <w:t xml:space="preserve"> </w:t>
            </w:r>
            <w:hyperlink r:id="rId16" w:history="1">
              <w:r w:rsidR="00BF1173" w:rsidRPr="00FE1018">
                <w:rPr>
                  <w:rStyle w:val="Hyperlink"/>
                  <w:rFonts w:ascii="Arial" w:hAnsi="Arial" w:cs="Arial"/>
                </w:rPr>
                <w:t xml:space="preserve">HEA </w:t>
              </w:r>
              <w:r w:rsidR="00687386" w:rsidRPr="00FE1018">
                <w:rPr>
                  <w:rStyle w:val="Hyperlink"/>
                  <w:rFonts w:ascii="Arial" w:hAnsi="Arial" w:cs="Arial"/>
                </w:rPr>
                <w:t>1003</w:t>
              </w:r>
            </w:hyperlink>
          </w:p>
          <w:p w14:paraId="07630D9E" w14:textId="77777777" w:rsidR="00E70F2A" w:rsidRDefault="00E70F2A">
            <w:pPr>
              <w:spacing w:after="0" w:line="240" w:lineRule="auto"/>
              <w:jc w:val="center"/>
              <w:rPr>
                <w:rFonts w:ascii="Arial" w:hAnsi="Arial" w:cs="Arial"/>
                <w:bCs/>
              </w:rPr>
            </w:pPr>
          </w:p>
          <w:p w14:paraId="7D70DEA4" w14:textId="1DEFBDBC" w:rsidR="00E70F2A" w:rsidRDefault="00FE1018">
            <w:pPr>
              <w:spacing w:after="0" w:line="240" w:lineRule="auto"/>
              <w:jc w:val="center"/>
              <w:rPr>
                <w:rFonts w:ascii="Arial" w:hAnsi="Arial" w:cs="Arial"/>
                <w:bCs/>
              </w:rPr>
            </w:pPr>
            <w:r>
              <w:rPr>
                <w:rFonts w:ascii="Arial" w:hAnsi="Arial" w:cs="Arial"/>
                <w:bCs/>
              </w:rPr>
              <w:t>Boards and Commissions</w:t>
            </w:r>
          </w:p>
          <w:p w14:paraId="44CE118E" w14:textId="77777777" w:rsidR="00E70F2A" w:rsidRDefault="00E70F2A">
            <w:pPr>
              <w:spacing w:after="0" w:line="240" w:lineRule="auto"/>
              <w:jc w:val="center"/>
              <w:rPr>
                <w:rFonts w:ascii="Arial" w:hAnsi="Arial" w:cs="Arial"/>
                <w:bCs/>
              </w:rPr>
            </w:pPr>
          </w:p>
          <w:p w14:paraId="529BCC2E" w14:textId="43ECE885" w:rsidR="00C21DBF" w:rsidRPr="00A51538" w:rsidRDefault="00C21DBF" w:rsidP="00FE60B2">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22C89BA1" w14:textId="77777777" w:rsidR="00911E72" w:rsidRDefault="00CD2FD9" w:rsidP="00F6403E">
            <w:pPr>
              <w:spacing w:after="0" w:line="240" w:lineRule="auto"/>
              <w:rPr>
                <w:rFonts w:ascii="Arial" w:hAnsi="Arial" w:cs="Arial"/>
                <w:bCs/>
              </w:rPr>
            </w:pPr>
            <w:r w:rsidRPr="00CD2FD9">
              <w:rPr>
                <w:rFonts w:ascii="Arial" w:hAnsi="Arial" w:cs="Arial"/>
                <w:bCs/>
              </w:rPr>
              <w:t xml:space="preserve">Makes changes to requirements for the readoption of administrative rules. </w:t>
            </w:r>
          </w:p>
          <w:p w14:paraId="2821463F" w14:textId="77777777" w:rsidR="00911E72" w:rsidRDefault="00911E72" w:rsidP="00F6403E">
            <w:pPr>
              <w:spacing w:after="0" w:line="240" w:lineRule="auto"/>
              <w:rPr>
                <w:rFonts w:ascii="Arial" w:hAnsi="Arial" w:cs="Arial"/>
                <w:bCs/>
              </w:rPr>
            </w:pPr>
          </w:p>
          <w:p w14:paraId="08D2E562" w14:textId="300273A8" w:rsidR="00911E72" w:rsidRDefault="00911E72" w:rsidP="00F6403E">
            <w:pPr>
              <w:spacing w:after="0" w:line="240" w:lineRule="auto"/>
              <w:rPr>
                <w:rFonts w:ascii="Arial" w:hAnsi="Arial" w:cs="Arial"/>
                <w:bCs/>
              </w:rPr>
            </w:pPr>
            <w:r>
              <w:rPr>
                <w:rFonts w:ascii="Arial" w:hAnsi="Arial" w:cs="Arial"/>
                <w:bCs/>
              </w:rPr>
              <w:t>Removes the word Historical from the Indiana Library and Historical Board</w:t>
            </w:r>
            <w:r w:rsidR="004059EC">
              <w:rPr>
                <w:rFonts w:ascii="Arial" w:hAnsi="Arial" w:cs="Arial"/>
                <w:bCs/>
              </w:rPr>
              <w:t>.</w:t>
            </w:r>
          </w:p>
          <w:p w14:paraId="19EA297E" w14:textId="77777777" w:rsidR="00034E95" w:rsidRDefault="00034E95" w:rsidP="00F6403E">
            <w:pPr>
              <w:spacing w:after="0" w:line="240" w:lineRule="auto"/>
              <w:rPr>
                <w:rFonts w:ascii="Arial" w:hAnsi="Arial" w:cs="Arial"/>
                <w:bCs/>
              </w:rPr>
            </w:pPr>
          </w:p>
          <w:p w14:paraId="79E30BD8" w14:textId="6987C135" w:rsidR="00034E95" w:rsidRDefault="00911AA5" w:rsidP="00F6403E">
            <w:pPr>
              <w:spacing w:after="0" w:line="240" w:lineRule="auto"/>
              <w:rPr>
                <w:rFonts w:ascii="Arial" w:hAnsi="Arial" w:cs="Arial"/>
                <w:bCs/>
              </w:rPr>
            </w:pPr>
            <w:r>
              <w:rPr>
                <w:rFonts w:ascii="Arial" w:hAnsi="Arial" w:cs="Arial"/>
                <w:bCs/>
              </w:rPr>
              <w:t>Eliminates</w:t>
            </w:r>
            <w:r w:rsidR="00034E95">
              <w:rPr>
                <w:rFonts w:ascii="Arial" w:hAnsi="Arial" w:cs="Arial"/>
                <w:bCs/>
              </w:rPr>
              <w:t xml:space="preserve"> the Indiana State Library Advisory Committee (ISLAC)</w:t>
            </w:r>
          </w:p>
          <w:p w14:paraId="7EEC02DB" w14:textId="77777777" w:rsidR="00911E72" w:rsidRDefault="00911E72" w:rsidP="00F6403E">
            <w:pPr>
              <w:spacing w:after="0" w:line="240" w:lineRule="auto"/>
              <w:rPr>
                <w:rFonts w:ascii="Arial" w:hAnsi="Arial" w:cs="Arial"/>
                <w:bCs/>
              </w:rPr>
            </w:pPr>
          </w:p>
          <w:p w14:paraId="4B7CC056" w14:textId="77777777" w:rsidR="00911AA5" w:rsidRDefault="00911AA5" w:rsidP="00F6403E">
            <w:pPr>
              <w:spacing w:after="0" w:line="240" w:lineRule="auto"/>
              <w:rPr>
                <w:rFonts w:ascii="Arial" w:hAnsi="Arial" w:cs="Arial"/>
                <w:bCs/>
              </w:rPr>
            </w:pPr>
          </w:p>
          <w:p w14:paraId="3F7CDEFC" w14:textId="5E0FFE3B" w:rsidR="00911AA5" w:rsidRDefault="00911AA5" w:rsidP="00F6403E">
            <w:pPr>
              <w:spacing w:after="0" w:line="240" w:lineRule="auto"/>
              <w:rPr>
                <w:rFonts w:ascii="Arial" w:hAnsi="Arial" w:cs="Arial"/>
                <w:bCs/>
              </w:rPr>
            </w:pPr>
            <w:r>
              <w:rPr>
                <w:rFonts w:ascii="Arial" w:hAnsi="Arial" w:cs="Arial"/>
                <w:bCs/>
              </w:rPr>
              <w:t xml:space="preserve">Eliminates the </w:t>
            </w:r>
            <w:r w:rsidR="00061264">
              <w:rPr>
                <w:rFonts w:ascii="Arial" w:hAnsi="Arial" w:cs="Arial"/>
                <w:bCs/>
              </w:rPr>
              <w:t xml:space="preserve">IHB </w:t>
            </w:r>
            <w:r>
              <w:rPr>
                <w:rFonts w:ascii="Arial" w:hAnsi="Arial" w:cs="Arial"/>
                <w:bCs/>
              </w:rPr>
              <w:t>advisory committee for the Oral History Project.</w:t>
            </w:r>
          </w:p>
          <w:p w14:paraId="2CABB983" w14:textId="77777777" w:rsidR="00686965" w:rsidRDefault="00686965" w:rsidP="00F6403E">
            <w:pPr>
              <w:spacing w:after="0" w:line="240" w:lineRule="auto"/>
              <w:rPr>
                <w:rFonts w:ascii="Arial" w:hAnsi="Arial" w:cs="Arial"/>
                <w:bCs/>
              </w:rPr>
            </w:pPr>
          </w:p>
          <w:p w14:paraId="3DF4D6E1" w14:textId="349AE85B" w:rsidR="00CC163C" w:rsidRPr="00A51538" w:rsidRDefault="00CC163C" w:rsidP="00F6403E">
            <w:pPr>
              <w:spacing w:after="0" w:line="240" w:lineRule="auto"/>
              <w:rPr>
                <w:rFonts w:ascii="Arial" w:hAnsi="Arial" w:cs="Arial"/>
                <w:bCs/>
              </w:rPr>
            </w:pPr>
            <w:r>
              <w:rPr>
                <w:rFonts w:ascii="Arial" w:hAnsi="Arial" w:cs="Arial"/>
                <w:bCs/>
              </w:rPr>
              <w:t xml:space="preserve">Makes other changes to boards and commissions and </w:t>
            </w:r>
            <w:r w:rsidR="00CB4C59">
              <w:rPr>
                <w:rFonts w:ascii="Arial" w:hAnsi="Arial" w:cs="Arial"/>
                <w:bCs/>
              </w:rPr>
              <w:t>building and safety codes.</w:t>
            </w:r>
          </w:p>
        </w:tc>
        <w:tc>
          <w:tcPr>
            <w:tcW w:w="1530" w:type="dxa"/>
            <w:tcBorders>
              <w:top w:val="single" w:sz="4" w:space="0" w:color="auto"/>
              <w:left w:val="single" w:sz="4" w:space="0" w:color="auto"/>
              <w:bottom w:val="single" w:sz="4" w:space="0" w:color="auto"/>
              <w:right w:val="single" w:sz="4" w:space="0" w:color="auto"/>
            </w:tcBorders>
          </w:tcPr>
          <w:p w14:paraId="6B736D25" w14:textId="77777777" w:rsidR="004059EC" w:rsidRDefault="005A6D10">
            <w:pPr>
              <w:spacing w:after="0" w:line="240" w:lineRule="auto"/>
              <w:jc w:val="center"/>
              <w:rPr>
                <w:rFonts w:ascii="Arial" w:hAnsi="Arial" w:cs="Arial"/>
                <w:bCs/>
              </w:rPr>
            </w:pPr>
            <w:r>
              <w:rPr>
                <w:rFonts w:ascii="Arial" w:hAnsi="Arial" w:cs="Arial"/>
                <w:bCs/>
              </w:rPr>
              <w:lastRenderedPageBreak/>
              <w:t>July 1, 2027</w:t>
            </w:r>
          </w:p>
          <w:p w14:paraId="1908266A" w14:textId="77777777" w:rsidR="004059EC" w:rsidRDefault="004059EC">
            <w:pPr>
              <w:spacing w:after="0" w:line="240" w:lineRule="auto"/>
              <w:jc w:val="center"/>
              <w:rPr>
                <w:rFonts w:ascii="Arial" w:hAnsi="Arial" w:cs="Arial"/>
                <w:bCs/>
              </w:rPr>
            </w:pPr>
          </w:p>
          <w:p w14:paraId="3C7EFA2C" w14:textId="77777777" w:rsidR="004059EC" w:rsidRDefault="004059EC">
            <w:pPr>
              <w:spacing w:after="0" w:line="240" w:lineRule="auto"/>
              <w:jc w:val="center"/>
              <w:rPr>
                <w:rFonts w:ascii="Arial" w:hAnsi="Arial" w:cs="Arial"/>
                <w:bCs/>
              </w:rPr>
            </w:pPr>
          </w:p>
          <w:p w14:paraId="14EB4DFF" w14:textId="106E9EAE" w:rsidR="004059EC" w:rsidRDefault="004059EC">
            <w:pPr>
              <w:spacing w:after="0" w:line="240" w:lineRule="auto"/>
              <w:jc w:val="center"/>
              <w:rPr>
                <w:rFonts w:ascii="Arial" w:hAnsi="Arial" w:cs="Arial"/>
                <w:bCs/>
              </w:rPr>
            </w:pPr>
            <w:r>
              <w:rPr>
                <w:rFonts w:ascii="Arial" w:hAnsi="Arial" w:cs="Arial"/>
                <w:bCs/>
              </w:rPr>
              <w:t>July 1, 2027</w:t>
            </w:r>
          </w:p>
          <w:p w14:paraId="3090C609" w14:textId="77777777" w:rsidR="004059EC" w:rsidRDefault="004059EC">
            <w:pPr>
              <w:spacing w:after="0" w:line="240" w:lineRule="auto"/>
              <w:jc w:val="center"/>
              <w:rPr>
                <w:rFonts w:ascii="Arial" w:hAnsi="Arial" w:cs="Arial"/>
                <w:bCs/>
              </w:rPr>
            </w:pPr>
          </w:p>
          <w:p w14:paraId="49517915" w14:textId="77777777" w:rsidR="004059EC" w:rsidRDefault="004059EC">
            <w:pPr>
              <w:spacing w:after="0" w:line="240" w:lineRule="auto"/>
              <w:jc w:val="center"/>
              <w:rPr>
                <w:rFonts w:ascii="Arial" w:hAnsi="Arial" w:cs="Arial"/>
                <w:bCs/>
              </w:rPr>
            </w:pPr>
          </w:p>
          <w:p w14:paraId="51348D50" w14:textId="3B1009F3" w:rsidR="004059EC" w:rsidRDefault="00034E95">
            <w:pPr>
              <w:spacing w:after="0" w:line="240" w:lineRule="auto"/>
              <w:jc w:val="center"/>
              <w:rPr>
                <w:rFonts w:ascii="Arial" w:hAnsi="Arial" w:cs="Arial"/>
                <w:bCs/>
              </w:rPr>
            </w:pPr>
            <w:r>
              <w:rPr>
                <w:rFonts w:ascii="Arial" w:hAnsi="Arial" w:cs="Arial"/>
                <w:bCs/>
              </w:rPr>
              <w:t>July 1, 2027</w:t>
            </w:r>
          </w:p>
          <w:p w14:paraId="54BD956D" w14:textId="77777777" w:rsidR="00C733C9" w:rsidRDefault="00C733C9">
            <w:pPr>
              <w:spacing w:after="0" w:line="240" w:lineRule="auto"/>
              <w:jc w:val="center"/>
              <w:rPr>
                <w:rFonts w:ascii="Arial" w:hAnsi="Arial" w:cs="Arial"/>
                <w:bCs/>
              </w:rPr>
            </w:pPr>
          </w:p>
          <w:p w14:paraId="76CE705D" w14:textId="77777777" w:rsidR="00C733C9" w:rsidRDefault="00C733C9">
            <w:pPr>
              <w:spacing w:after="0" w:line="240" w:lineRule="auto"/>
              <w:jc w:val="center"/>
              <w:rPr>
                <w:rFonts w:ascii="Arial" w:hAnsi="Arial" w:cs="Arial"/>
                <w:bCs/>
              </w:rPr>
            </w:pPr>
          </w:p>
          <w:p w14:paraId="30C346B2" w14:textId="77777777" w:rsidR="00C733C9" w:rsidRDefault="00C733C9">
            <w:pPr>
              <w:spacing w:after="0" w:line="240" w:lineRule="auto"/>
              <w:jc w:val="center"/>
              <w:rPr>
                <w:rFonts w:ascii="Arial" w:hAnsi="Arial" w:cs="Arial"/>
                <w:bCs/>
              </w:rPr>
            </w:pPr>
          </w:p>
          <w:p w14:paraId="01C208AC" w14:textId="36FBDFFB" w:rsidR="00C733C9" w:rsidRDefault="00C733C9">
            <w:pPr>
              <w:spacing w:after="0" w:line="240" w:lineRule="auto"/>
              <w:jc w:val="center"/>
              <w:rPr>
                <w:rFonts w:ascii="Arial" w:hAnsi="Arial" w:cs="Arial"/>
                <w:bCs/>
              </w:rPr>
            </w:pPr>
            <w:r>
              <w:rPr>
                <w:rFonts w:ascii="Arial" w:hAnsi="Arial" w:cs="Arial"/>
                <w:bCs/>
              </w:rPr>
              <w:t>July 1, 2026</w:t>
            </w:r>
          </w:p>
          <w:p w14:paraId="74E44B3B" w14:textId="6E502D6B" w:rsidR="00686965" w:rsidRPr="00A51538" w:rsidRDefault="001E39D7">
            <w:pPr>
              <w:spacing w:after="0" w:line="240" w:lineRule="auto"/>
              <w:jc w:val="center"/>
              <w:rPr>
                <w:rFonts w:ascii="Arial" w:hAnsi="Arial" w:cs="Arial"/>
                <w:bCs/>
              </w:rPr>
            </w:pPr>
            <w:r w:rsidRPr="00A51538">
              <w:rPr>
                <w:rFonts w:ascii="Arial" w:hAnsi="Arial" w:cs="Arial"/>
                <w:bCs/>
              </w:rPr>
              <w:t xml:space="preserve"> </w:t>
            </w:r>
          </w:p>
        </w:tc>
      </w:tr>
      <w:tr w:rsidR="00141D6C" w:rsidRPr="00A51538" w14:paraId="44E1D3A3" w14:textId="77777777" w:rsidTr="000C4EA5">
        <w:trPr>
          <w:trHeight w:val="8000"/>
        </w:trPr>
        <w:tc>
          <w:tcPr>
            <w:tcW w:w="1918" w:type="dxa"/>
            <w:tcBorders>
              <w:top w:val="single" w:sz="4" w:space="0" w:color="auto"/>
              <w:left w:val="single" w:sz="4" w:space="0" w:color="auto"/>
              <w:bottom w:val="single" w:sz="4" w:space="0" w:color="auto"/>
              <w:right w:val="single" w:sz="4" w:space="0" w:color="auto"/>
            </w:tcBorders>
          </w:tcPr>
          <w:p w14:paraId="0CCF436C" w14:textId="166D96C6" w:rsidR="00765BCF" w:rsidRDefault="00DA4890" w:rsidP="00503773">
            <w:pPr>
              <w:spacing w:after="0" w:line="240" w:lineRule="auto"/>
              <w:jc w:val="center"/>
              <w:rPr>
                <w:rFonts w:ascii="Arial" w:hAnsi="Arial" w:cs="Arial"/>
              </w:rPr>
            </w:pPr>
            <w:r w:rsidRPr="00A51538">
              <w:rPr>
                <w:rFonts w:ascii="Arial" w:hAnsi="Arial" w:cs="Arial"/>
              </w:rPr>
              <w:lastRenderedPageBreak/>
              <w:t xml:space="preserve"> </w:t>
            </w:r>
            <w:hyperlink r:id="rId17" w:history="1">
              <w:r w:rsidR="00687386" w:rsidRPr="008D5575">
                <w:rPr>
                  <w:rStyle w:val="Hyperlink"/>
                  <w:rFonts w:ascii="Arial" w:hAnsi="Arial" w:cs="Arial"/>
                </w:rPr>
                <w:t>HEA 1210</w:t>
              </w:r>
            </w:hyperlink>
          </w:p>
          <w:p w14:paraId="35744F4B" w14:textId="77777777" w:rsidR="008D5575" w:rsidRDefault="008D5575" w:rsidP="00503773">
            <w:pPr>
              <w:spacing w:after="0" w:line="240" w:lineRule="auto"/>
              <w:jc w:val="center"/>
              <w:rPr>
                <w:rFonts w:ascii="Arial" w:hAnsi="Arial" w:cs="Arial"/>
              </w:rPr>
            </w:pPr>
          </w:p>
          <w:p w14:paraId="4F3F4006" w14:textId="0AAD2188" w:rsidR="00E70F2A" w:rsidRDefault="008D5575" w:rsidP="00503773">
            <w:pPr>
              <w:spacing w:after="0" w:line="240" w:lineRule="auto"/>
              <w:jc w:val="center"/>
              <w:rPr>
                <w:rFonts w:ascii="Arial" w:hAnsi="Arial" w:cs="Arial"/>
              </w:rPr>
            </w:pPr>
            <w:r>
              <w:rPr>
                <w:rFonts w:ascii="Arial" w:hAnsi="Arial" w:cs="Arial"/>
              </w:rPr>
              <w:t>Department of Local Government Finance</w:t>
            </w:r>
          </w:p>
          <w:p w14:paraId="6C3EAD8D" w14:textId="77777777" w:rsidR="00681B5E" w:rsidRDefault="00681B5E" w:rsidP="00503773">
            <w:pPr>
              <w:spacing w:after="0" w:line="240" w:lineRule="auto"/>
              <w:jc w:val="center"/>
              <w:rPr>
                <w:rFonts w:ascii="Arial" w:hAnsi="Arial" w:cs="Arial"/>
                <w:bCs/>
              </w:rPr>
            </w:pPr>
          </w:p>
          <w:p w14:paraId="15E80C85" w14:textId="0D89A405" w:rsidR="00E70F2A" w:rsidRPr="00A51538" w:rsidRDefault="00E70F2A" w:rsidP="00FE60B2">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2CEFCA7C" w14:textId="77777777" w:rsidR="00DC7139" w:rsidRDefault="00293062" w:rsidP="00501446">
            <w:pPr>
              <w:spacing w:after="0" w:line="240" w:lineRule="auto"/>
              <w:rPr>
                <w:rFonts w:ascii="Arial" w:hAnsi="Arial" w:cs="Arial"/>
                <w:bCs/>
              </w:rPr>
            </w:pPr>
            <w:r w:rsidRPr="00293062">
              <w:rPr>
                <w:rFonts w:ascii="Arial" w:hAnsi="Arial" w:cs="Arial"/>
                <w:bCs/>
              </w:rPr>
              <w:t xml:space="preserve">Requires state agencies and political subdivisions to cooperate with the state GIS officer in preparing a statewide base map. </w:t>
            </w:r>
          </w:p>
          <w:p w14:paraId="2236759A" w14:textId="77777777" w:rsidR="00DC7139" w:rsidRDefault="00DC7139" w:rsidP="00501446">
            <w:pPr>
              <w:spacing w:after="0" w:line="240" w:lineRule="auto"/>
              <w:rPr>
                <w:rFonts w:ascii="Arial" w:hAnsi="Arial" w:cs="Arial"/>
                <w:bCs/>
              </w:rPr>
            </w:pPr>
          </w:p>
          <w:p w14:paraId="2527AD9F" w14:textId="77777777" w:rsidR="00DC7139" w:rsidRDefault="00293062" w:rsidP="00501446">
            <w:pPr>
              <w:spacing w:after="0" w:line="240" w:lineRule="auto"/>
              <w:rPr>
                <w:rFonts w:ascii="Arial" w:hAnsi="Arial" w:cs="Arial"/>
                <w:bCs/>
              </w:rPr>
            </w:pPr>
            <w:r w:rsidRPr="00293062">
              <w:rPr>
                <w:rFonts w:ascii="Arial" w:hAnsi="Arial" w:cs="Arial"/>
                <w:bCs/>
              </w:rPr>
              <w:t xml:space="preserve">Eliminates the requirement that the department of local government finance (DLGF) work with the office of technology or another organization that is part of a state educational institution for purposes of posting information on the Indiana transparency website and submitting forms regarding data for local units. </w:t>
            </w:r>
          </w:p>
          <w:p w14:paraId="6F1F207E" w14:textId="77777777" w:rsidR="00DC7139" w:rsidRDefault="00DC7139" w:rsidP="00501446">
            <w:pPr>
              <w:spacing w:after="0" w:line="240" w:lineRule="auto"/>
              <w:rPr>
                <w:rFonts w:ascii="Arial" w:hAnsi="Arial" w:cs="Arial"/>
                <w:bCs/>
              </w:rPr>
            </w:pPr>
          </w:p>
          <w:p w14:paraId="6A2832D3" w14:textId="2676B5D1" w:rsidR="001A7095" w:rsidRDefault="00293062" w:rsidP="00501446">
            <w:pPr>
              <w:spacing w:after="0" w:line="240" w:lineRule="auto"/>
              <w:rPr>
                <w:rFonts w:ascii="Roboto" w:hAnsi="Roboto"/>
                <w:color w:val="191919"/>
                <w:shd w:val="clear" w:color="auto" w:fill="FFFFFF"/>
              </w:rPr>
            </w:pPr>
            <w:r w:rsidRPr="00293062">
              <w:rPr>
                <w:rFonts w:ascii="Arial" w:hAnsi="Arial" w:cs="Arial"/>
                <w:bCs/>
              </w:rPr>
              <w:t>Allows a person to satisfy any notice statute by publishing notice in specified forms of media and modifies related provisions regarding notice by publication.</w:t>
            </w:r>
            <w:r w:rsidR="003E6F1B" w:rsidRPr="003E6F1B">
              <w:rPr>
                <w:rFonts w:ascii="Roboto" w:hAnsi="Roboto"/>
                <w:color w:val="191919"/>
                <w:shd w:val="clear" w:color="auto" w:fill="FFFFFF"/>
              </w:rPr>
              <w:t xml:space="preserve"> </w:t>
            </w:r>
            <w:r w:rsidR="00AE13BB">
              <w:rPr>
                <w:rFonts w:ascii="Roboto" w:hAnsi="Roboto"/>
                <w:color w:val="191919"/>
                <w:shd w:val="clear" w:color="auto" w:fill="FFFFFF"/>
              </w:rPr>
              <w:t>Requires the charge for publication of notice electronically be the same as the charge for print</w:t>
            </w:r>
          </w:p>
          <w:p w14:paraId="6B50CDC2" w14:textId="77777777" w:rsidR="001A7095" w:rsidRDefault="001A7095" w:rsidP="00501446">
            <w:pPr>
              <w:spacing w:after="0" w:line="240" w:lineRule="auto"/>
              <w:rPr>
                <w:rFonts w:ascii="Roboto" w:hAnsi="Roboto"/>
                <w:bCs/>
                <w:color w:val="191919"/>
                <w:shd w:val="clear" w:color="auto" w:fill="FFFFFF"/>
              </w:rPr>
            </w:pPr>
          </w:p>
          <w:p w14:paraId="42928D51" w14:textId="2332B4DA" w:rsidR="00775AF5" w:rsidRDefault="003E6F1B" w:rsidP="00501446">
            <w:pPr>
              <w:spacing w:after="0" w:line="240" w:lineRule="auto"/>
              <w:rPr>
                <w:rFonts w:ascii="Arial" w:hAnsi="Arial" w:cs="Arial"/>
                <w:bCs/>
              </w:rPr>
            </w:pPr>
            <w:r w:rsidRPr="003E6F1B">
              <w:rPr>
                <w:rFonts w:ascii="Arial" w:hAnsi="Arial" w:cs="Arial"/>
                <w:bCs/>
              </w:rPr>
              <w:t xml:space="preserve">Modifies procedures as to the reporting of assessment values of real and personal property and parcel level data. </w:t>
            </w:r>
          </w:p>
          <w:p w14:paraId="54E80918" w14:textId="77777777" w:rsidR="00775AF5" w:rsidRDefault="00775AF5" w:rsidP="00501446">
            <w:pPr>
              <w:spacing w:after="0" w:line="240" w:lineRule="auto"/>
              <w:rPr>
                <w:rFonts w:ascii="Arial" w:hAnsi="Arial" w:cs="Arial"/>
                <w:bCs/>
              </w:rPr>
            </w:pPr>
          </w:p>
          <w:p w14:paraId="38A42EA2" w14:textId="77777777" w:rsidR="006E773D" w:rsidRDefault="003E6F1B" w:rsidP="00501446">
            <w:pPr>
              <w:spacing w:after="0" w:line="240" w:lineRule="auto"/>
              <w:rPr>
                <w:rFonts w:ascii="Arial" w:hAnsi="Arial" w:cs="Arial"/>
                <w:bCs/>
              </w:rPr>
            </w:pPr>
            <w:r w:rsidRPr="003E6F1B">
              <w:rPr>
                <w:rFonts w:ascii="Arial" w:hAnsi="Arial" w:cs="Arial"/>
                <w:bCs/>
              </w:rPr>
              <w:t>Changes the deadline for a county to submit to the DLGF data regarding real property, personal property, and geographic information system information.</w:t>
            </w:r>
            <w:r>
              <w:rPr>
                <w:rFonts w:ascii="Arial" w:hAnsi="Arial" w:cs="Arial"/>
                <w:bCs/>
              </w:rPr>
              <w:t xml:space="preserve"> </w:t>
            </w:r>
            <w:r w:rsidR="006D4B56" w:rsidRPr="006D4B56">
              <w:rPr>
                <w:rFonts w:ascii="Arial" w:hAnsi="Arial" w:cs="Arial"/>
                <w:bCs/>
              </w:rPr>
              <w:t>Provides that certain local property tax credits result in a reduction of property tax collections in a political subdivision in which such a credit is applied.</w:t>
            </w:r>
            <w:r w:rsidR="006D4B56">
              <w:rPr>
                <w:rFonts w:ascii="Arial" w:hAnsi="Arial" w:cs="Arial"/>
                <w:bCs/>
              </w:rPr>
              <w:t xml:space="preserve"> </w:t>
            </w:r>
          </w:p>
          <w:p w14:paraId="773FE424" w14:textId="77777777" w:rsidR="006E773D" w:rsidRDefault="006E773D" w:rsidP="00501446">
            <w:pPr>
              <w:spacing w:after="0" w:line="240" w:lineRule="auto"/>
              <w:rPr>
                <w:rFonts w:ascii="Arial" w:hAnsi="Arial" w:cs="Arial"/>
                <w:bCs/>
              </w:rPr>
            </w:pPr>
          </w:p>
          <w:p w14:paraId="1073DCAC" w14:textId="77777777" w:rsidR="006E773D" w:rsidRDefault="0047299D" w:rsidP="00501446">
            <w:pPr>
              <w:spacing w:after="0" w:line="240" w:lineRule="auto"/>
              <w:rPr>
                <w:rFonts w:ascii="Arial" w:hAnsi="Arial" w:cs="Arial"/>
                <w:bCs/>
              </w:rPr>
            </w:pPr>
            <w:r w:rsidRPr="0047299D">
              <w:rPr>
                <w:rFonts w:ascii="Arial" w:hAnsi="Arial" w:cs="Arial"/>
                <w:bCs/>
              </w:rPr>
              <w:t xml:space="preserve">Requires the DLGF to annually publish on the Indiana Register the adjusted cost estimate threshold for certain local public work projects. </w:t>
            </w:r>
          </w:p>
          <w:p w14:paraId="48D86545" w14:textId="77777777" w:rsidR="006E773D" w:rsidRDefault="006E773D" w:rsidP="00501446">
            <w:pPr>
              <w:spacing w:after="0" w:line="240" w:lineRule="auto"/>
              <w:rPr>
                <w:rFonts w:ascii="Arial" w:hAnsi="Arial" w:cs="Arial"/>
                <w:bCs/>
              </w:rPr>
            </w:pPr>
          </w:p>
          <w:p w14:paraId="31C74361" w14:textId="77777777" w:rsidR="006E773D" w:rsidRDefault="0047299D" w:rsidP="00501446">
            <w:pPr>
              <w:spacing w:after="0" w:line="240" w:lineRule="auto"/>
              <w:rPr>
                <w:rFonts w:ascii="Arial" w:hAnsi="Arial" w:cs="Arial"/>
                <w:bCs/>
              </w:rPr>
            </w:pPr>
            <w:r w:rsidRPr="0047299D">
              <w:rPr>
                <w:rFonts w:ascii="Arial" w:hAnsi="Arial" w:cs="Arial"/>
                <w:bCs/>
              </w:rPr>
              <w:t xml:space="preserve">Provides a real and personal property tax exemption for Indiana nonprofit senior living communities beginning with property taxes that are first due and payable in 2027. </w:t>
            </w:r>
          </w:p>
          <w:p w14:paraId="31801B62" w14:textId="77777777" w:rsidR="006E773D" w:rsidRDefault="006E773D" w:rsidP="00501446">
            <w:pPr>
              <w:spacing w:after="0" w:line="240" w:lineRule="auto"/>
              <w:rPr>
                <w:rFonts w:ascii="Arial" w:hAnsi="Arial" w:cs="Arial"/>
                <w:bCs/>
              </w:rPr>
            </w:pPr>
          </w:p>
          <w:p w14:paraId="1CE547AC" w14:textId="77777777" w:rsidR="006E773D" w:rsidRDefault="0047299D" w:rsidP="00501446">
            <w:pPr>
              <w:spacing w:after="0" w:line="240" w:lineRule="auto"/>
              <w:rPr>
                <w:rFonts w:ascii="Arial" w:hAnsi="Arial" w:cs="Arial"/>
                <w:bCs/>
              </w:rPr>
            </w:pPr>
            <w:r w:rsidRPr="0047299D">
              <w:rPr>
                <w:rFonts w:ascii="Arial" w:hAnsi="Arial" w:cs="Arial"/>
                <w:bCs/>
              </w:rPr>
              <w:t xml:space="preserve">Adds the Indiana Historical Society, Inc. to a list of organizations exempt from property taxation. </w:t>
            </w:r>
          </w:p>
          <w:p w14:paraId="1C778435" w14:textId="77777777" w:rsidR="006E773D" w:rsidRDefault="006E773D" w:rsidP="00501446">
            <w:pPr>
              <w:spacing w:after="0" w:line="240" w:lineRule="auto"/>
              <w:rPr>
                <w:rFonts w:ascii="Arial" w:hAnsi="Arial" w:cs="Arial"/>
                <w:bCs/>
              </w:rPr>
            </w:pPr>
          </w:p>
          <w:p w14:paraId="6A00C2AD" w14:textId="77777777" w:rsidR="00C227B1" w:rsidRDefault="0047299D" w:rsidP="00501446">
            <w:pPr>
              <w:spacing w:after="0" w:line="240" w:lineRule="auto"/>
              <w:rPr>
                <w:rFonts w:ascii="Arial" w:hAnsi="Arial" w:cs="Arial"/>
                <w:bCs/>
              </w:rPr>
            </w:pPr>
            <w:r w:rsidRPr="0047299D">
              <w:rPr>
                <w:rFonts w:ascii="Arial" w:hAnsi="Arial" w:cs="Arial"/>
                <w:bCs/>
              </w:rPr>
              <w:t xml:space="preserve">Allows certain taxpayers to retroactively file a property tax exemption application. Increases the amount of the property tax deduction for a model residence and a residence in inventory to 100% of the assessed value of the property for each deduction. Increases the number of model residences and residences in inventory from three to ten that may be </w:t>
            </w:r>
            <w:r w:rsidRPr="0047299D">
              <w:rPr>
                <w:rFonts w:ascii="Arial" w:hAnsi="Arial" w:cs="Arial"/>
                <w:bCs/>
              </w:rPr>
              <w:lastRenderedPageBreak/>
              <w:t xml:space="preserve">claimed for purposes of those property tax deductions. Requires an individual to reside on the real property, mobile home, or manufactured home to be eligible for the over 65 property tax credit. Increases the property tax deduction for a veteran who is totally disabled to 100% of the assessed value of the individual's real property (instead of $14,000). Expires property tax deductions for certain veterans, and instead provides a property tax liability credit. Restores the property tax deduction available to a surviving spouse of a World War I veteran that was limited by SEA 1-2025. Provides, if a taxpayer claims the homestead deduction for property that is not eligible for the deduction, that the taxpayer shall (instead of may) be liable for any additional taxes that would have been due on homestead property plus a civil penalty. Requires the county auditor to include in a notice of tax due a 10% fine as a penalty for claiming the homestead deduction falsely, which is in addition to all other penalties for which the taxpayer is liable. </w:t>
            </w:r>
          </w:p>
          <w:p w14:paraId="47332F65" w14:textId="77777777" w:rsidR="00C227B1" w:rsidRDefault="00C227B1" w:rsidP="00501446">
            <w:pPr>
              <w:spacing w:after="0" w:line="240" w:lineRule="auto"/>
              <w:rPr>
                <w:rFonts w:ascii="Arial" w:hAnsi="Arial" w:cs="Arial"/>
                <w:bCs/>
              </w:rPr>
            </w:pPr>
          </w:p>
          <w:p w14:paraId="5D8566DA" w14:textId="77777777" w:rsidR="00C227B1" w:rsidRDefault="0047299D" w:rsidP="00501446">
            <w:pPr>
              <w:spacing w:after="0" w:line="240" w:lineRule="auto"/>
              <w:rPr>
                <w:rFonts w:ascii="Arial" w:hAnsi="Arial" w:cs="Arial"/>
                <w:bCs/>
              </w:rPr>
            </w:pPr>
            <w:r w:rsidRPr="0047299D">
              <w:rPr>
                <w:rFonts w:ascii="Arial" w:hAnsi="Arial" w:cs="Arial"/>
                <w:bCs/>
              </w:rPr>
              <w:t xml:space="preserve">Allows the executive of Miami Township in Cass County to submit a petition to the DLGF requesting an increase in the township's maximum permissible ad valorem property tax levy for property taxes first due and payable in 2027. </w:t>
            </w:r>
          </w:p>
          <w:p w14:paraId="4403E80A" w14:textId="77777777" w:rsidR="00C227B1" w:rsidRDefault="00C227B1" w:rsidP="00501446">
            <w:pPr>
              <w:spacing w:after="0" w:line="240" w:lineRule="auto"/>
              <w:rPr>
                <w:rFonts w:ascii="Arial" w:hAnsi="Arial" w:cs="Arial"/>
                <w:bCs/>
              </w:rPr>
            </w:pPr>
          </w:p>
          <w:p w14:paraId="72F2A478" w14:textId="77777777" w:rsidR="00C227B1" w:rsidRDefault="0047299D" w:rsidP="00501446">
            <w:pPr>
              <w:spacing w:after="0" w:line="240" w:lineRule="auto"/>
              <w:rPr>
                <w:rFonts w:ascii="Arial" w:hAnsi="Arial" w:cs="Arial"/>
                <w:bCs/>
              </w:rPr>
            </w:pPr>
            <w:r w:rsidRPr="0047299D">
              <w:rPr>
                <w:rFonts w:ascii="Arial" w:hAnsi="Arial" w:cs="Arial"/>
                <w:bCs/>
              </w:rPr>
              <w:t xml:space="preserve">Requires the Hancock County fiscal body to adopt a resolution to allow a one time transfer of money from the library property tax replacement fund. </w:t>
            </w:r>
          </w:p>
          <w:p w14:paraId="4DA45E19" w14:textId="77777777" w:rsidR="00C227B1" w:rsidRDefault="00C227B1" w:rsidP="00501446">
            <w:pPr>
              <w:spacing w:after="0" w:line="240" w:lineRule="auto"/>
              <w:rPr>
                <w:rFonts w:ascii="Arial" w:hAnsi="Arial" w:cs="Arial"/>
                <w:bCs/>
              </w:rPr>
            </w:pPr>
          </w:p>
          <w:p w14:paraId="0234F794" w14:textId="652ABF7A" w:rsidR="00141D6C" w:rsidRPr="00A51538" w:rsidRDefault="0047299D" w:rsidP="00501446">
            <w:pPr>
              <w:spacing w:after="0" w:line="240" w:lineRule="auto"/>
              <w:rPr>
                <w:rFonts w:ascii="Arial" w:hAnsi="Arial" w:cs="Arial"/>
                <w:bCs/>
              </w:rPr>
            </w:pPr>
            <w:r w:rsidRPr="0047299D">
              <w:rPr>
                <w:rFonts w:ascii="Arial" w:hAnsi="Arial" w:cs="Arial"/>
                <w:bCs/>
              </w:rPr>
              <w:t>Provides that the DLGF may not approve the budget for a political subdivision until an attestation statement concerning the uploading of contracts is submitted. </w:t>
            </w:r>
          </w:p>
        </w:tc>
        <w:tc>
          <w:tcPr>
            <w:tcW w:w="1530" w:type="dxa"/>
            <w:tcBorders>
              <w:top w:val="single" w:sz="4" w:space="0" w:color="auto"/>
              <w:left w:val="single" w:sz="4" w:space="0" w:color="auto"/>
              <w:bottom w:val="single" w:sz="4" w:space="0" w:color="auto"/>
              <w:right w:val="single" w:sz="4" w:space="0" w:color="auto"/>
            </w:tcBorders>
          </w:tcPr>
          <w:p w14:paraId="49BE2196" w14:textId="261BBD0E" w:rsidR="00141D6C" w:rsidRDefault="0062165D" w:rsidP="00503773">
            <w:pPr>
              <w:spacing w:after="0" w:line="240" w:lineRule="auto"/>
              <w:jc w:val="center"/>
              <w:rPr>
                <w:bCs/>
              </w:rPr>
            </w:pPr>
            <w:r>
              <w:rPr>
                <w:bCs/>
              </w:rPr>
              <w:lastRenderedPageBreak/>
              <w:t>July 1, 2026</w:t>
            </w:r>
          </w:p>
          <w:p w14:paraId="1102FEE6" w14:textId="77777777" w:rsidR="002E453B" w:rsidRDefault="002E453B" w:rsidP="00503773">
            <w:pPr>
              <w:spacing w:after="0" w:line="240" w:lineRule="auto"/>
              <w:jc w:val="center"/>
              <w:rPr>
                <w:rStyle w:val="Hyperlink"/>
                <w:bCs/>
              </w:rPr>
            </w:pPr>
          </w:p>
          <w:p w14:paraId="11E489E1" w14:textId="77777777" w:rsidR="002E453B" w:rsidRDefault="002E453B" w:rsidP="00503773">
            <w:pPr>
              <w:spacing w:after="0" w:line="240" w:lineRule="auto"/>
              <w:jc w:val="center"/>
              <w:rPr>
                <w:rStyle w:val="Hyperlink"/>
                <w:bCs/>
              </w:rPr>
            </w:pPr>
          </w:p>
          <w:p w14:paraId="5B76DF01" w14:textId="77777777" w:rsidR="002E453B" w:rsidRDefault="002E453B" w:rsidP="00503773">
            <w:pPr>
              <w:spacing w:after="0" w:line="240" w:lineRule="auto"/>
              <w:jc w:val="center"/>
              <w:rPr>
                <w:rStyle w:val="Hyperlink"/>
                <w:rFonts w:ascii="Arial" w:hAnsi="Arial" w:cs="Arial"/>
              </w:rPr>
            </w:pPr>
          </w:p>
          <w:p w14:paraId="66289E04" w14:textId="7190A8D7" w:rsidR="0062165D" w:rsidRDefault="00C4700F" w:rsidP="0062165D">
            <w:pPr>
              <w:jc w:val="center"/>
              <w:rPr>
                <w:rFonts w:ascii="Arial" w:hAnsi="Arial" w:cs="Arial"/>
              </w:rPr>
            </w:pPr>
            <w:r>
              <w:rPr>
                <w:rFonts w:ascii="Arial" w:hAnsi="Arial" w:cs="Arial"/>
              </w:rPr>
              <w:t>July 1, 2026</w:t>
            </w:r>
          </w:p>
          <w:p w14:paraId="073CEE61" w14:textId="77777777" w:rsidR="00AE13BB" w:rsidRDefault="00AE13BB" w:rsidP="0062165D">
            <w:pPr>
              <w:jc w:val="center"/>
              <w:rPr>
                <w:rFonts w:ascii="Arial" w:hAnsi="Arial" w:cs="Arial"/>
              </w:rPr>
            </w:pPr>
          </w:p>
          <w:p w14:paraId="3E78C603" w14:textId="77777777" w:rsidR="00AE13BB" w:rsidRDefault="00AE13BB" w:rsidP="0062165D">
            <w:pPr>
              <w:jc w:val="center"/>
              <w:rPr>
                <w:rFonts w:ascii="Arial" w:hAnsi="Arial" w:cs="Arial"/>
              </w:rPr>
            </w:pPr>
          </w:p>
          <w:p w14:paraId="40167B0F" w14:textId="77777777" w:rsidR="00AE13BB" w:rsidRDefault="00AE13BB" w:rsidP="0062165D">
            <w:pPr>
              <w:jc w:val="center"/>
              <w:rPr>
                <w:rFonts w:ascii="Arial" w:hAnsi="Arial" w:cs="Arial"/>
              </w:rPr>
            </w:pPr>
          </w:p>
          <w:p w14:paraId="00521E5D" w14:textId="77777777" w:rsidR="00AE13BB" w:rsidRDefault="00AE13BB" w:rsidP="0062165D">
            <w:pPr>
              <w:jc w:val="center"/>
              <w:rPr>
                <w:rFonts w:ascii="Arial" w:hAnsi="Arial" w:cs="Arial"/>
              </w:rPr>
            </w:pPr>
            <w:r>
              <w:rPr>
                <w:rFonts w:ascii="Arial" w:hAnsi="Arial" w:cs="Arial"/>
              </w:rPr>
              <w:t>July 1, 2027</w:t>
            </w:r>
          </w:p>
          <w:p w14:paraId="29620EDA" w14:textId="77777777" w:rsidR="00C4700F" w:rsidRDefault="00C4700F" w:rsidP="0062165D">
            <w:pPr>
              <w:jc w:val="center"/>
              <w:rPr>
                <w:rFonts w:ascii="Arial" w:hAnsi="Arial" w:cs="Arial"/>
              </w:rPr>
            </w:pPr>
          </w:p>
          <w:p w14:paraId="0FD6A363" w14:textId="77777777" w:rsidR="00C4700F" w:rsidRDefault="00C4700F" w:rsidP="0062165D">
            <w:pPr>
              <w:jc w:val="center"/>
              <w:rPr>
                <w:rFonts w:ascii="Arial" w:hAnsi="Arial" w:cs="Arial"/>
              </w:rPr>
            </w:pPr>
          </w:p>
          <w:p w14:paraId="0C576BFA" w14:textId="36202719" w:rsidR="00C4700F" w:rsidRDefault="00785930" w:rsidP="0062165D">
            <w:pPr>
              <w:jc w:val="center"/>
              <w:rPr>
                <w:rFonts w:ascii="Arial" w:hAnsi="Arial" w:cs="Arial"/>
              </w:rPr>
            </w:pPr>
            <w:r>
              <w:rPr>
                <w:rFonts w:ascii="Arial" w:hAnsi="Arial" w:cs="Arial"/>
              </w:rPr>
              <w:t>Retroactive to 1/1/2026</w:t>
            </w:r>
          </w:p>
          <w:p w14:paraId="71007D5A" w14:textId="77777777" w:rsidR="004C6A2B" w:rsidRDefault="004C6A2B" w:rsidP="0062165D">
            <w:pPr>
              <w:jc w:val="center"/>
              <w:rPr>
                <w:rFonts w:ascii="Arial" w:hAnsi="Arial" w:cs="Arial"/>
              </w:rPr>
            </w:pPr>
          </w:p>
          <w:p w14:paraId="70C3C87D" w14:textId="77777777" w:rsidR="00C4700F" w:rsidRDefault="006B2516" w:rsidP="0062165D">
            <w:pPr>
              <w:jc w:val="center"/>
              <w:rPr>
                <w:rFonts w:ascii="Arial" w:hAnsi="Arial" w:cs="Arial"/>
              </w:rPr>
            </w:pPr>
            <w:r>
              <w:rPr>
                <w:rFonts w:ascii="Arial" w:hAnsi="Arial" w:cs="Arial"/>
              </w:rPr>
              <w:t>Retroactive to 1/1/2026</w:t>
            </w:r>
          </w:p>
          <w:p w14:paraId="733E4449" w14:textId="77777777" w:rsidR="00B251FB" w:rsidRDefault="00B251FB" w:rsidP="0062165D">
            <w:pPr>
              <w:jc w:val="center"/>
              <w:rPr>
                <w:rFonts w:ascii="Arial" w:hAnsi="Arial" w:cs="Arial"/>
              </w:rPr>
            </w:pPr>
          </w:p>
          <w:p w14:paraId="0DF51D3F" w14:textId="77777777" w:rsidR="00B251FB" w:rsidRDefault="00B251FB" w:rsidP="0062165D">
            <w:pPr>
              <w:jc w:val="center"/>
              <w:rPr>
                <w:rFonts w:ascii="Arial" w:hAnsi="Arial" w:cs="Arial"/>
              </w:rPr>
            </w:pPr>
          </w:p>
          <w:p w14:paraId="11CA27E8" w14:textId="77777777" w:rsidR="00B251FB" w:rsidRDefault="00B251FB" w:rsidP="0062165D">
            <w:pPr>
              <w:jc w:val="center"/>
              <w:rPr>
                <w:rFonts w:ascii="Arial" w:hAnsi="Arial" w:cs="Arial"/>
              </w:rPr>
            </w:pPr>
            <w:r>
              <w:rPr>
                <w:rFonts w:ascii="Arial" w:hAnsi="Arial" w:cs="Arial"/>
              </w:rPr>
              <w:t>Retroactive to 1/1/2026</w:t>
            </w:r>
          </w:p>
          <w:p w14:paraId="35B1025B" w14:textId="77777777" w:rsidR="00EF4E60" w:rsidRDefault="00EF4E60" w:rsidP="00EF4E60">
            <w:pPr>
              <w:rPr>
                <w:rFonts w:ascii="Arial" w:hAnsi="Arial" w:cs="Arial"/>
              </w:rPr>
            </w:pPr>
          </w:p>
          <w:p w14:paraId="09FF0075" w14:textId="77777777" w:rsidR="00EF4E60" w:rsidRDefault="00EF4E60" w:rsidP="00EF4E60">
            <w:pPr>
              <w:rPr>
                <w:rFonts w:ascii="Arial" w:hAnsi="Arial" w:cs="Arial"/>
              </w:rPr>
            </w:pPr>
            <w:r>
              <w:rPr>
                <w:rFonts w:ascii="Arial" w:hAnsi="Arial" w:cs="Arial"/>
              </w:rPr>
              <w:t>Retroactive</w:t>
            </w:r>
            <w:r>
              <w:rPr>
                <w:rFonts w:ascii="Arial" w:hAnsi="Arial" w:cs="Arial"/>
              </w:rPr>
              <w:t xml:space="preserve"> </w:t>
            </w:r>
            <w:r>
              <w:rPr>
                <w:rFonts w:ascii="Arial" w:hAnsi="Arial" w:cs="Arial"/>
              </w:rPr>
              <w:t>to 1/1/2026</w:t>
            </w:r>
          </w:p>
          <w:p w14:paraId="11151C1B" w14:textId="71E3E969" w:rsidR="00B2356A" w:rsidRDefault="00B2356A" w:rsidP="00EF4E60">
            <w:pPr>
              <w:rPr>
                <w:rFonts w:ascii="Arial" w:hAnsi="Arial" w:cs="Arial"/>
              </w:rPr>
            </w:pPr>
            <w:r>
              <w:rPr>
                <w:rFonts w:ascii="Arial" w:hAnsi="Arial" w:cs="Arial"/>
              </w:rPr>
              <w:t>Retroactive to 1/1/2026</w:t>
            </w:r>
          </w:p>
          <w:p w14:paraId="3A13D700" w14:textId="77777777" w:rsidR="00B2356A" w:rsidRDefault="00B2356A" w:rsidP="00EF4E60">
            <w:pPr>
              <w:rPr>
                <w:rFonts w:ascii="Arial" w:hAnsi="Arial" w:cs="Arial"/>
              </w:rPr>
            </w:pPr>
          </w:p>
          <w:p w14:paraId="6EA43641" w14:textId="77777777" w:rsidR="00B2356A" w:rsidRDefault="009233F1" w:rsidP="00EF4E60">
            <w:pPr>
              <w:rPr>
                <w:rFonts w:ascii="Arial" w:hAnsi="Arial" w:cs="Arial"/>
              </w:rPr>
            </w:pPr>
            <w:r>
              <w:rPr>
                <w:rFonts w:ascii="Arial" w:hAnsi="Arial" w:cs="Arial"/>
              </w:rPr>
              <w:t>Retroactive to 1/1/2026</w:t>
            </w:r>
          </w:p>
          <w:p w14:paraId="351B8BC3" w14:textId="77777777" w:rsidR="00ED5516" w:rsidRDefault="00ED5516" w:rsidP="00EF4E60">
            <w:pPr>
              <w:rPr>
                <w:rFonts w:ascii="Arial" w:hAnsi="Arial" w:cs="Arial"/>
              </w:rPr>
            </w:pPr>
          </w:p>
          <w:p w14:paraId="7568F13C" w14:textId="77777777" w:rsidR="00ED5516" w:rsidRDefault="00ED5516" w:rsidP="00EF4E60">
            <w:pPr>
              <w:rPr>
                <w:rFonts w:ascii="Arial" w:hAnsi="Arial" w:cs="Arial"/>
              </w:rPr>
            </w:pPr>
          </w:p>
          <w:p w14:paraId="2AEB74F6" w14:textId="77777777" w:rsidR="00ED5516" w:rsidRDefault="00ED5516" w:rsidP="00EF4E60">
            <w:pPr>
              <w:rPr>
                <w:rFonts w:ascii="Arial" w:hAnsi="Arial" w:cs="Arial"/>
              </w:rPr>
            </w:pPr>
          </w:p>
          <w:p w14:paraId="6C7DA3B7" w14:textId="77777777" w:rsidR="00ED5516" w:rsidRDefault="00ED5516" w:rsidP="00EF4E60">
            <w:pPr>
              <w:rPr>
                <w:rFonts w:ascii="Arial" w:hAnsi="Arial" w:cs="Arial"/>
              </w:rPr>
            </w:pPr>
          </w:p>
          <w:p w14:paraId="02174D93" w14:textId="77777777" w:rsidR="00ED5516" w:rsidRDefault="00ED5516" w:rsidP="00EF4E60">
            <w:pPr>
              <w:rPr>
                <w:rFonts w:ascii="Arial" w:hAnsi="Arial" w:cs="Arial"/>
              </w:rPr>
            </w:pPr>
          </w:p>
          <w:p w14:paraId="69673217" w14:textId="77777777" w:rsidR="00ED5516" w:rsidRDefault="00ED5516" w:rsidP="00EF4E60">
            <w:pPr>
              <w:rPr>
                <w:rFonts w:ascii="Arial" w:hAnsi="Arial" w:cs="Arial"/>
              </w:rPr>
            </w:pPr>
          </w:p>
          <w:p w14:paraId="20E0ECA8" w14:textId="77777777" w:rsidR="00ED5516" w:rsidRDefault="00ED5516" w:rsidP="00EF4E60">
            <w:pPr>
              <w:rPr>
                <w:rFonts w:ascii="Arial" w:hAnsi="Arial" w:cs="Arial"/>
              </w:rPr>
            </w:pPr>
          </w:p>
          <w:p w14:paraId="0ED780C6" w14:textId="77777777" w:rsidR="00ED5516" w:rsidRDefault="00ED5516" w:rsidP="00EF4E60">
            <w:pPr>
              <w:rPr>
                <w:rFonts w:ascii="Arial" w:hAnsi="Arial" w:cs="Arial"/>
              </w:rPr>
            </w:pPr>
          </w:p>
          <w:p w14:paraId="066AD225" w14:textId="77777777" w:rsidR="00ED5516" w:rsidRDefault="00ED5516" w:rsidP="00EF4E60">
            <w:pPr>
              <w:rPr>
                <w:rFonts w:ascii="Arial" w:hAnsi="Arial" w:cs="Arial"/>
              </w:rPr>
            </w:pPr>
          </w:p>
          <w:p w14:paraId="39C27E7E" w14:textId="77777777" w:rsidR="00ED5516" w:rsidRDefault="00ED5516" w:rsidP="00EF4E60">
            <w:pPr>
              <w:rPr>
                <w:rFonts w:ascii="Arial" w:hAnsi="Arial" w:cs="Arial"/>
              </w:rPr>
            </w:pPr>
          </w:p>
          <w:p w14:paraId="1F13EB1B" w14:textId="77777777" w:rsidR="00ED5516" w:rsidRDefault="00ED5516" w:rsidP="00EF4E60">
            <w:pPr>
              <w:rPr>
                <w:rFonts w:ascii="Arial" w:hAnsi="Arial" w:cs="Arial"/>
              </w:rPr>
            </w:pPr>
          </w:p>
          <w:p w14:paraId="5DB21C4B" w14:textId="77777777" w:rsidR="00ED5516" w:rsidRDefault="00ED5516" w:rsidP="00EF4E60">
            <w:pPr>
              <w:rPr>
                <w:rFonts w:ascii="Arial" w:hAnsi="Arial" w:cs="Arial"/>
              </w:rPr>
            </w:pPr>
          </w:p>
          <w:p w14:paraId="7A59ADAD" w14:textId="6E3E748F" w:rsidR="00ED5516" w:rsidRDefault="00ED5516" w:rsidP="00ED5516">
            <w:pPr>
              <w:jc w:val="center"/>
              <w:rPr>
                <w:rFonts w:ascii="Arial" w:hAnsi="Arial" w:cs="Arial"/>
              </w:rPr>
            </w:pPr>
            <w:r>
              <w:rPr>
                <w:rFonts w:ascii="Arial" w:hAnsi="Arial" w:cs="Arial"/>
              </w:rPr>
              <w:t>Upon Passage</w:t>
            </w:r>
          </w:p>
          <w:p w14:paraId="1896A60F" w14:textId="77777777" w:rsidR="00ED5516" w:rsidRDefault="00ED5516" w:rsidP="00EF4E60">
            <w:pPr>
              <w:rPr>
                <w:rFonts w:ascii="Arial" w:hAnsi="Arial" w:cs="Arial"/>
              </w:rPr>
            </w:pPr>
          </w:p>
          <w:p w14:paraId="078EBF37" w14:textId="0FAF6917" w:rsidR="00ED5516" w:rsidRDefault="009A5C81" w:rsidP="00EF4E60">
            <w:pPr>
              <w:rPr>
                <w:rFonts w:ascii="Arial" w:hAnsi="Arial" w:cs="Arial"/>
              </w:rPr>
            </w:pPr>
            <w:r>
              <w:rPr>
                <w:rFonts w:ascii="Arial" w:hAnsi="Arial" w:cs="Arial"/>
              </w:rPr>
              <w:t>July 1, 2028</w:t>
            </w:r>
          </w:p>
          <w:p w14:paraId="0079EFF4" w14:textId="77777777" w:rsidR="009A5C81" w:rsidRDefault="009A5C81" w:rsidP="00EF4E60">
            <w:pPr>
              <w:rPr>
                <w:rFonts w:ascii="Arial" w:hAnsi="Arial" w:cs="Arial"/>
              </w:rPr>
            </w:pPr>
          </w:p>
          <w:p w14:paraId="0041E277" w14:textId="77777777" w:rsidR="009A5C81" w:rsidRDefault="009A5C81" w:rsidP="00EF4E60">
            <w:pPr>
              <w:rPr>
                <w:rFonts w:ascii="Arial" w:hAnsi="Arial" w:cs="Arial"/>
              </w:rPr>
            </w:pPr>
          </w:p>
          <w:p w14:paraId="450AA828" w14:textId="444B27FD" w:rsidR="00ED5516" w:rsidRPr="0062165D" w:rsidRDefault="00746E62" w:rsidP="00EF4E60">
            <w:pPr>
              <w:rPr>
                <w:rFonts w:ascii="Arial" w:hAnsi="Arial" w:cs="Arial"/>
              </w:rPr>
            </w:pPr>
            <w:r>
              <w:rPr>
                <w:rFonts w:ascii="Arial" w:hAnsi="Arial" w:cs="Arial"/>
              </w:rPr>
              <w:t>July 1, 2026</w:t>
            </w:r>
          </w:p>
        </w:tc>
      </w:tr>
      <w:tr w:rsidR="00141D6C" w:rsidRPr="00A51538" w14:paraId="6F17DEC6" w14:textId="77777777" w:rsidTr="00141D6C">
        <w:tc>
          <w:tcPr>
            <w:tcW w:w="1918" w:type="dxa"/>
            <w:tcBorders>
              <w:top w:val="single" w:sz="4" w:space="0" w:color="auto"/>
              <w:left w:val="single" w:sz="4" w:space="0" w:color="auto"/>
              <w:bottom w:val="single" w:sz="4" w:space="0" w:color="auto"/>
              <w:right w:val="single" w:sz="4" w:space="0" w:color="auto"/>
            </w:tcBorders>
          </w:tcPr>
          <w:p w14:paraId="281EA754" w14:textId="71C992F4" w:rsidR="00BA12CC" w:rsidRDefault="00687386" w:rsidP="00503773">
            <w:pPr>
              <w:spacing w:after="0" w:line="240" w:lineRule="auto"/>
              <w:jc w:val="center"/>
              <w:rPr>
                <w:rFonts w:ascii="Arial" w:hAnsi="Arial" w:cs="Arial"/>
              </w:rPr>
            </w:pPr>
            <w:hyperlink r:id="rId18" w:history="1">
              <w:r w:rsidRPr="00963191">
                <w:rPr>
                  <w:rStyle w:val="Hyperlink"/>
                  <w:rFonts w:ascii="Arial" w:hAnsi="Arial" w:cs="Arial"/>
                </w:rPr>
                <w:t>HEA 1230</w:t>
              </w:r>
            </w:hyperlink>
            <w:r w:rsidR="00DA4890" w:rsidRPr="00A51538">
              <w:rPr>
                <w:rFonts w:ascii="Arial" w:hAnsi="Arial" w:cs="Arial"/>
              </w:rPr>
              <w:t xml:space="preserve"> </w:t>
            </w:r>
          </w:p>
          <w:p w14:paraId="742645CC" w14:textId="77777777" w:rsidR="00E70F2A" w:rsidRDefault="00E70F2A" w:rsidP="00503773">
            <w:pPr>
              <w:spacing w:after="0" w:line="240" w:lineRule="auto"/>
              <w:jc w:val="center"/>
              <w:rPr>
                <w:rFonts w:ascii="Arial" w:hAnsi="Arial" w:cs="Arial"/>
                <w:bCs/>
              </w:rPr>
            </w:pPr>
          </w:p>
          <w:p w14:paraId="5DE6D935" w14:textId="43D77C1C" w:rsidR="00E70F2A" w:rsidRDefault="00963191" w:rsidP="00503773">
            <w:pPr>
              <w:spacing w:after="0" w:line="240" w:lineRule="auto"/>
              <w:jc w:val="center"/>
              <w:rPr>
                <w:rFonts w:ascii="Arial" w:hAnsi="Arial" w:cs="Arial"/>
                <w:bCs/>
              </w:rPr>
            </w:pPr>
            <w:r>
              <w:rPr>
                <w:rFonts w:ascii="Arial" w:hAnsi="Arial" w:cs="Arial"/>
                <w:bCs/>
              </w:rPr>
              <w:t>Professional Licensing Agency</w:t>
            </w:r>
          </w:p>
          <w:p w14:paraId="2680DB2C" w14:textId="2A6DDB83" w:rsidR="00E70F2A" w:rsidRPr="00A51538" w:rsidRDefault="00E70F2A" w:rsidP="00503773">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38650159" w14:textId="62BE2F07" w:rsidR="00141D6C" w:rsidRPr="00A51538" w:rsidRDefault="00353AA4" w:rsidP="00BA12CC">
            <w:pPr>
              <w:spacing w:after="0" w:line="240" w:lineRule="auto"/>
              <w:rPr>
                <w:rFonts w:ascii="Arial" w:hAnsi="Arial" w:cs="Arial"/>
                <w:bCs/>
              </w:rPr>
            </w:pPr>
            <w:r w:rsidRPr="00353AA4">
              <w:rPr>
                <w:rFonts w:ascii="Arial" w:hAnsi="Arial" w:cs="Arial"/>
                <w:bCs/>
              </w:rPr>
              <w:t xml:space="preserve">Provides that a state agency must determine if an alleged violator </w:t>
            </w:r>
            <w:r w:rsidR="00296141">
              <w:rPr>
                <w:rFonts w:ascii="Arial" w:hAnsi="Arial" w:cs="Arial"/>
                <w:bCs/>
              </w:rPr>
              <w:t xml:space="preserve">of a state rule or statue </w:t>
            </w:r>
            <w:r w:rsidRPr="00353AA4">
              <w:rPr>
                <w:rFonts w:ascii="Arial" w:hAnsi="Arial" w:cs="Arial"/>
                <w:bCs/>
              </w:rPr>
              <w:t xml:space="preserve">has substantially corrected the violation and notify </w:t>
            </w:r>
            <w:r w:rsidR="00296141">
              <w:rPr>
                <w:rFonts w:ascii="Arial" w:hAnsi="Arial" w:cs="Arial"/>
                <w:bCs/>
              </w:rPr>
              <w:t>the</w:t>
            </w:r>
            <w:r w:rsidRPr="00353AA4">
              <w:rPr>
                <w:rFonts w:ascii="Arial" w:hAnsi="Arial" w:cs="Arial"/>
                <w:bCs/>
              </w:rPr>
              <w:t xml:space="preserve"> alleged violator whether the alleged violator is in substantial compliance with </w:t>
            </w:r>
            <w:r w:rsidR="00296141">
              <w:rPr>
                <w:rFonts w:ascii="Arial" w:hAnsi="Arial" w:cs="Arial"/>
                <w:bCs/>
              </w:rPr>
              <w:t>the</w:t>
            </w:r>
            <w:r w:rsidRPr="00353AA4">
              <w:rPr>
                <w:rFonts w:ascii="Arial" w:hAnsi="Arial" w:cs="Arial"/>
                <w:bCs/>
              </w:rPr>
              <w:t xml:space="preserve"> state rule or state statute not more than 90 days after certain occurrences (current law provides for 30 days). </w:t>
            </w:r>
          </w:p>
        </w:tc>
        <w:tc>
          <w:tcPr>
            <w:tcW w:w="1530" w:type="dxa"/>
            <w:tcBorders>
              <w:top w:val="single" w:sz="4" w:space="0" w:color="auto"/>
              <w:left w:val="single" w:sz="4" w:space="0" w:color="auto"/>
              <w:bottom w:val="single" w:sz="4" w:space="0" w:color="auto"/>
              <w:right w:val="single" w:sz="4" w:space="0" w:color="auto"/>
            </w:tcBorders>
          </w:tcPr>
          <w:p w14:paraId="15F18F6C" w14:textId="6DF89BED" w:rsidR="00141D6C" w:rsidRPr="00A51538" w:rsidRDefault="006E1B37" w:rsidP="00503773">
            <w:pPr>
              <w:spacing w:after="0" w:line="240" w:lineRule="auto"/>
              <w:jc w:val="center"/>
              <w:rPr>
                <w:rFonts w:ascii="Arial" w:hAnsi="Arial" w:cs="Arial"/>
                <w:bCs/>
              </w:rPr>
            </w:pPr>
            <w:r>
              <w:rPr>
                <w:rFonts w:ascii="Arial" w:hAnsi="Arial" w:cs="Arial"/>
                <w:bCs/>
              </w:rPr>
              <w:t>July 1, 2026</w:t>
            </w:r>
            <w:r w:rsidR="001E39D7" w:rsidRPr="00A51538">
              <w:rPr>
                <w:rFonts w:ascii="Arial" w:hAnsi="Arial" w:cs="Arial"/>
                <w:bCs/>
              </w:rPr>
              <w:t xml:space="preserve"> </w:t>
            </w:r>
          </w:p>
        </w:tc>
      </w:tr>
      <w:tr w:rsidR="00141D6C" w:rsidRPr="00A51538" w14:paraId="1BD24ED4" w14:textId="77777777" w:rsidTr="00141D6C">
        <w:tc>
          <w:tcPr>
            <w:tcW w:w="1918" w:type="dxa"/>
            <w:tcBorders>
              <w:top w:val="single" w:sz="4" w:space="0" w:color="auto"/>
              <w:left w:val="single" w:sz="4" w:space="0" w:color="auto"/>
              <w:bottom w:val="single" w:sz="4" w:space="0" w:color="auto"/>
              <w:right w:val="single" w:sz="4" w:space="0" w:color="auto"/>
            </w:tcBorders>
          </w:tcPr>
          <w:p w14:paraId="18D93783" w14:textId="4404661A" w:rsidR="00437C3A" w:rsidRDefault="00A200FC" w:rsidP="00503773">
            <w:pPr>
              <w:spacing w:after="0" w:line="240" w:lineRule="auto"/>
              <w:jc w:val="center"/>
              <w:rPr>
                <w:rFonts w:ascii="Arial" w:hAnsi="Arial" w:cs="Arial"/>
                <w:bCs/>
              </w:rPr>
            </w:pPr>
            <w:hyperlink r:id="rId19" w:history="1">
              <w:r w:rsidRPr="0071087A">
                <w:rPr>
                  <w:rStyle w:val="Hyperlink"/>
                  <w:rFonts w:ascii="Arial" w:hAnsi="Arial" w:cs="Arial"/>
                  <w:bCs/>
                </w:rPr>
                <w:t>HEA1360</w:t>
              </w:r>
            </w:hyperlink>
          </w:p>
          <w:p w14:paraId="2A9A3A1A" w14:textId="77777777" w:rsidR="0071087A" w:rsidRDefault="0071087A" w:rsidP="00503773">
            <w:pPr>
              <w:spacing w:after="0" w:line="240" w:lineRule="auto"/>
              <w:jc w:val="center"/>
              <w:rPr>
                <w:rFonts w:ascii="Arial" w:hAnsi="Arial" w:cs="Arial"/>
                <w:bCs/>
              </w:rPr>
            </w:pPr>
          </w:p>
          <w:p w14:paraId="00824571" w14:textId="05F99C91" w:rsidR="0071087A" w:rsidRDefault="00046EB6" w:rsidP="00503773">
            <w:pPr>
              <w:spacing w:after="0" w:line="240" w:lineRule="auto"/>
              <w:jc w:val="center"/>
              <w:rPr>
                <w:rFonts w:ascii="Arial" w:hAnsi="Arial" w:cs="Arial"/>
                <w:bCs/>
              </w:rPr>
            </w:pPr>
            <w:r>
              <w:rPr>
                <w:rFonts w:ascii="Arial" w:hAnsi="Arial" w:cs="Arial"/>
                <w:bCs/>
              </w:rPr>
              <w:t>Access to Public Records</w:t>
            </w:r>
          </w:p>
          <w:p w14:paraId="2D53D9AD" w14:textId="77777777" w:rsidR="00E70F2A" w:rsidRDefault="00E70F2A" w:rsidP="00503773">
            <w:pPr>
              <w:spacing w:after="0" w:line="240" w:lineRule="auto"/>
              <w:jc w:val="center"/>
              <w:rPr>
                <w:rFonts w:ascii="Arial" w:hAnsi="Arial" w:cs="Arial"/>
                <w:bCs/>
              </w:rPr>
            </w:pPr>
          </w:p>
          <w:p w14:paraId="1A3EF391" w14:textId="77777777" w:rsidR="00E70F2A" w:rsidRDefault="00E70F2A" w:rsidP="00503773">
            <w:pPr>
              <w:spacing w:after="0" w:line="240" w:lineRule="auto"/>
              <w:jc w:val="center"/>
              <w:rPr>
                <w:rFonts w:ascii="Arial" w:hAnsi="Arial" w:cs="Arial"/>
                <w:bCs/>
              </w:rPr>
            </w:pPr>
          </w:p>
          <w:p w14:paraId="01CA4925" w14:textId="278AB7E9" w:rsidR="00E70F2A" w:rsidRPr="00A51538" w:rsidRDefault="00E70F2A" w:rsidP="00503773">
            <w:pPr>
              <w:spacing w:after="0" w:line="240" w:lineRule="auto"/>
              <w:jc w:val="center"/>
              <w:rPr>
                <w:rFonts w:ascii="Arial" w:hAnsi="Arial" w:cs="Arial"/>
                <w:bCs/>
              </w:rPr>
            </w:pPr>
          </w:p>
        </w:tc>
        <w:tc>
          <w:tcPr>
            <w:tcW w:w="6403" w:type="dxa"/>
            <w:tcBorders>
              <w:top w:val="single" w:sz="4" w:space="0" w:color="auto"/>
              <w:left w:val="single" w:sz="4" w:space="0" w:color="auto"/>
              <w:bottom w:val="single" w:sz="4" w:space="0" w:color="auto"/>
              <w:right w:val="single" w:sz="4" w:space="0" w:color="auto"/>
            </w:tcBorders>
          </w:tcPr>
          <w:p w14:paraId="4864C39E" w14:textId="0276DD9E" w:rsidR="00437C3A" w:rsidRPr="00A51538" w:rsidRDefault="007F39E0" w:rsidP="00E219D2">
            <w:pPr>
              <w:spacing w:after="0" w:line="240" w:lineRule="auto"/>
              <w:rPr>
                <w:rFonts w:ascii="Arial" w:hAnsi="Arial" w:cs="Arial"/>
                <w:bCs/>
              </w:rPr>
            </w:pPr>
            <w:r w:rsidRPr="007F39E0">
              <w:rPr>
                <w:rFonts w:ascii="Arial" w:hAnsi="Arial" w:cs="Arial"/>
                <w:bCs/>
              </w:rPr>
              <w:t xml:space="preserve">Allows a public agency to establish and maintain an electronic portal for submission of public records requests that: (1) incorporates CAPTCHA or an equivalent mechanism for ensuring that a requestor is a human; (2) requires verification of a requestor's physical address; (3) indicates to the public agency whether the requestor is a resident of Indiana; and (4) automatically tracks and reports submissions suspected to be automated or to have originated from known sources of phishing or data scraping. Provides that a public agency may deny a public record request if the request: (1) is made by a person that is a party to pending or ongoing litigation; and (2) is duplicative of a discovery request made by the person in the pending or ongoing litigation. Provides that: (1) a public agency </w:t>
            </w:r>
            <w:r w:rsidRPr="007F39E0">
              <w:rPr>
                <w:rFonts w:ascii="Arial" w:hAnsi="Arial" w:cs="Arial"/>
                <w:bCs/>
              </w:rPr>
              <w:lastRenderedPageBreak/>
              <w:t>may decline to respond to a public records request if the public agency suspects: (A) the request to be data scraping or phishing activity; or (B) that responding to the request electronically may: (i) expose the public agency's electronic systems or data to unauthorized access or alteration; or (ii) otherwise jeopardize the security of the public agency's electronic systems or data; and (2) if the public agency declines to respond to the request, the public agency must report: (A) the request; and (B) the public agency's reason for declining to respond to the request; to the public access counselor. Allows a public agency to collect a supplemental fee for processing public records requests submitted by non-Indiana residents or out-of-state entities. Allows a public agency to give priority in fulfilling public records requests to: (1) Indiana residents; and (2) requests submitted for civic, journalistic, academic, or personal use. Requires public agencies to report to the public access counselor regarding public records requests suspected of being automated, data scraping activity, or phishing activity (suspect public records requests). Provides that the general assembly may establish reasonable and narrowly tailored procedural safeguards to preserve the integrity and availability of public agency resources. Requires the public access counselor to: (1) take specified actions with regard to identifying excessive and suspect public records requests; and (2) include in the public access counselor's annual report: (A) information regarding the volume and nature of public records requests received by public agencies, including information regarding suspect public records requests reported by public agencies; and (B) recommendations to the general assembly regarding statutory or administrative remedies to excessive and suspect public records requests. </w:t>
            </w:r>
            <w:r w:rsidR="001E39D7" w:rsidRPr="00A51538">
              <w:rPr>
                <w:rFonts w:ascii="Arial" w:hAnsi="Arial" w:cs="Arial"/>
                <w:bCs/>
              </w:rPr>
              <w:t xml:space="preserve"> </w:t>
            </w:r>
          </w:p>
        </w:tc>
        <w:tc>
          <w:tcPr>
            <w:tcW w:w="1530" w:type="dxa"/>
            <w:tcBorders>
              <w:top w:val="single" w:sz="4" w:space="0" w:color="auto"/>
              <w:left w:val="single" w:sz="4" w:space="0" w:color="auto"/>
              <w:bottom w:val="single" w:sz="4" w:space="0" w:color="auto"/>
              <w:right w:val="single" w:sz="4" w:space="0" w:color="auto"/>
            </w:tcBorders>
          </w:tcPr>
          <w:p w14:paraId="5CB16090" w14:textId="2C595A22" w:rsidR="00263D02" w:rsidRPr="00A51538" w:rsidRDefault="00D27CA8" w:rsidP="00503773">
            <w:pPr>
              <w:spacing w:after="0" w:line="240" w:lineRule="auto"/>
              <w:jc w:val="center"/>
              <w:rPr>
                <w:rFonts w:ascii="Arial" w:hAnsi="Arial" w:cs="Arial"/>
                <w:bCs/>
              </w:rPr>
            </w:pPr>
            <w:r>
              <w:rPr>
                <w:rFonts w:ascii="Arial" w:hAnsi="Arial" w:cs="Arial"/>
                <w:bCs/>
              </w:rPr>
              <w:lastRenderedPageBreak/>
              <w:t>July 1, 2026</w:t>
            </w:r>
            <w:r w:rsidR="001E39D7" w:rsidRPr="00A51538">
              <w:rPr>
                <w:rFonts w:ascii="Arial" w:hAnsi="Arial" w:cs="Arial"/>
                <w:bCs/>
              </w:rPr>
              <w:t xml:space="preserve"> </w:t>
            </w:r>
          </w:p>
        </w:tc>
      </w:tr>
      <w:tr w:rsidR="006B3C9F" w:rsidRPr="00A51538" w14:paraId="2A32ABB8" w14:textId="77777777" w:rsidTr="00141D6C">
        <w:tc>
          <w:tcPr>
            <w:tcW w:w="1918" w:type="dxa"/>
            <w:tcBorders>
              <w:top w:val="single" w:sz="4" w:space="0" w:color="auto"/>
              <w:left w:val="single" w:sz="4" w:space="0" w:color="auto"/>
              <w:bottom w:val="single" w:sz="4" w:space="0" w:color="auto"/>
              <w:right w:val="single" w:sz="4" w:space="0" w:color="auto"/>
            </w:tcBorders>
          </w:tcPr>
          <w:p w14:paraId="1416026A" w14:textId="4B63A8A8" w:rsidR="006B3C9F" w:rsidRDefault="009E5E45" w:rsidP="00503773">
            <w:pPr>
              <w:spacing w:after="0" w:line="240" w:lineRule="auto"/>
              <w:jc w:val="center"/>
              <w:rPr>
                <w:rFonts w:ascii="Arial" w:hAnsi="Arial" w:cs="Arial"/>
                <w:bCs/>
              </w:rPr>
            </w:pPr>
            <w:hyperlink r:id="rId20" w:history="1">
              <w:r w:rsidRPr="009E5E45">
                <w:rPr>
                  <w:rStyle w:val="Hyperlink"/>
                  <w:rFonts w:ascii="Arial" w:hAnsi="Arial" w:cs="Arial"/>
                  <w:bCs/>
                </w:rPr>
                <w:t>1406</w:t>
              </w:r>
            </w:hyperlink>
          </w:p>
          <w:p w14:paraId="376B5196" w14:textId="77777777" w:rsidR="009E5E45" w:rsidRDefault="009E5E45" w:rsidP="00503773">
            <w:pPr>
              <w:spacing w:after="0" w:line="240" w:lineRule="auto"/>
              <w:jc w:val="center"/>
              <w:rPr>
                <w:rFonts w:ascii="Arial" w:hAnsi="Arial" w:cs="Arial"/>
                <w:bCs/>
              </w:rPr>
            </w:pPr>
          </w:p>
          <w:p w14:paraId="587B3CE2" w14:textId="0D7CBC8B" w:rsidR="009E5E45" w:rsidRDefault="009E5E45" w:rsidP="00503773">
            <w:pPr>
              <w:spacing w:after="0" w:line="240" w:lineRule="auto"/>
              <w:jc w:val="center"/>
              <w:rPr>
                <w:rFonts w:ascii="Arial" w:hAnsi="Arial" w:cs="Arial"/>
                <w:bCs/>
              </w:rPr>
            </w:pPr>
            <w:r>
              <w:rPr>
                <w:rFonts w:ascii="Arial" w:hAnsi="Arial" w:cs="Arial"/>
                <w:bCs/>
              </w:rPr>
              <w:t>Tax and Fiscal Matters</w:t>
            </w:r>
          </w:p>
        </w:tc>
        <w:tc>
          <w:tcPr>
            <w:tcW w:w="6403" w:type="dxa"/>
            <w:tcBorders>
              <w:top w:val="single" w:sz="4" w:space="0" w:color="auto"/>
              <w:left w:val="single" w:sz="4" w:space="0" w:color="auto"/>
              <w:bottom w:val="single" w:sz="4" w:space="0" w:color="auto"/>
              <w:right w:val="single" w:sz="4" w:space="0" w:color="auto"/>
            </w:tcBorders>
          </w:tcPr>
          <w:p w14:paraId="0ADB7D5A" w14:textId="5B7B7445" w:rsidR="006B3C9F" w:rsidRPr="007F39E0" w:rsidRDefault="00696ED1" w:rsidP="00E219D2">
            <w:pPr>
              <w:spacing w:after="0" w:line="240" w:lineRule="auto"/>
              <w:rPr>
                <w:rFonts w:ascii="Arial" w:hAnsi="Arial" w:cs="Arial"/>
                <w:bCs/>
              </w:rPr>
            </w:pPr>
            <w:r w:rsidRPr="00696ED1">
              <w:rPr>
                <w:rFonts w:ascii="Arial" w:hAnsi="Arial" w:cs="Arial"/>
                <w:bCs/>
              </w:rPr>
              <w:t>Amends the percentage increase in a public library's proposed budget that determines whether the public library's proposed budget is subject to binding review by the applicable county, city, or town fiscal body.</w:t>
            </w:r>
            <w:r w:rsidR="00086F36">
              <w:rPr>
                <w:rFonts w:ascii="Arial" w:hAnsi="Arial" w:cs="Arial"/>
                <w:bCs/>
              </w:rPr>
              <w:t xml:space="preserve"> </w:t>
            </w:r>
            <w:r w:rsidR="00331B2B">
              <w:rPr>
                <w:rFonts w:ascii="Arial" w:hAnsi="Arial" w:cs="Arial"/>
                <w:bCs/>
              </w:rPr>
              <w:t xml:space="preserve">There is now a lower threshold which could sweep more libraries into binding </w:t>
            </w:r>
            <w:r w:rsidR="003D52F2">
              <w:rPr>
                <w:rFonts w:ascii="Arial" w:hAnsi="Arial" w:cs="Arial"/>
                <w:bCs/>
              </w:rPr>
              <w:t xml:space="preserve">budget </w:t>
            </w:r>
            <w:r w:rsidR="00331B2B">
              <w:rPr>
                <w:rFonts w:ascii="Arial" w:hAnsi="Arial" w:cs="Arial"/>
                <w:bCs/>
              </w:rPr>
              <w:t xml:space="preserve">review. </w:t>
            </w:r>
            <w:r w:rsidR="00A05375">
              <w:rPr>
                <w:rFonts w:ascii="Arial" w:hAnsi="Arial" w:cs="Arial"/>
                <w:bCs/>
              </w:rPr>
              <w:t>Provides that i</w:t>
            </w:r>
            <w:r w:rsidR="00A05375" w:rsidRPr="00A05375">
              <w:rPr>
                <w:rFonts w:ascii="Arial" w:hAnsi="Arial" w:cs="Arial"/>
                <w:bCs/>
              </w:rPr>
              <w:t>f a library fails to file its budget on time, its next</w:t>
            </w:r>
            <w:r w:rsidR="00A05375" w:rsidRPr="00A05375">
              <w:rPr>
                <w:rFonts w:ascii="Cambria Math" w:hAnsi="Cambria Math" w:cs="Cambria Math"/>
                <w:bCs/>
              </w:rPr>
              <w:t>‑</w:t>
            </w:r>
            <w:r w:rsidR="00A05375" w:rsidRPr="00A05375">
              <w:rPr>
                <w:rFonts w:ascii="Arial" w:hAnsi="Arial" w:cs="Arial"/>
                <w:bCs/>
              </w:rPr>
              <w:t>year maximum levy is reduced more severely.</w:t>
            </w:r>
            <w:r w:rsidR="008C54FB">
              <w:rPr>
                <w:rFonts w:ascii="Arial" w:hAnsi="Arial" w:cs="Arial"/>
                <w:bCs/>
              </w:rPr>
              <w:t xml:space="preserve"> Various updates affecting property valuation</w:t>
            </w:r>
            <w:r w:rsidR="00D5407C">
              <w:rPr>
                <w:rFonts w:ascii="Arial" w:hAnsi="Arial" w:cs="Arial"/>
                <w:bCs/>
              </w:rPr>
              <w:t xml:space="preserve"> rules.</w:t>
            </w:r>
          </w:p>
        </w:tc>
        <w:tc>
          <w:tcPr>
            <w:tcW w:w="1530" w:type="dxa"/>
            <w:tcBorders>
              <w:top w:val="single" w:sz="4" w:space="0" w:color="auto"/>
              <w:left w:val="single" w:sz="4" w:space="0" w:color="auto"/>
              <w:bottom w:val="single" w:sz="4" w:space="0" w:color="auto"/>
              <w:right w:val="single" w:sz="4" w:space="0" w:color="auto"/>
            </w:tcBorders>
          </w:tcPr>
          <w:p w14:paraId="2164919B" w14:textId="30D6DAFF" w:rsidR="006B3C9F" w:rsidRPr="00A51538" w:rsidRDefault="000B3423" w:rsidP="00503773">
            <w:pPr>
              <w:spacing w:after="0" w:line="240" w:lineRule="auto"/>
              <w:jc w:val="center"/>
              <w:rPr>
                <w:rFonts w:ascii="Arial" w:hAnsi="Arial" w:cs="Arial"/>
                <w:bCs/>
              </w:rPr>
            </w:pPr>
            <w:r>
              <w:rPr>
                <w:rFonts w:ascii="Arial" w:hAnsi="Arial" w:cs="Arial"/>
                <w:bCs/>
              </w:rPr>
              <w:t>July 1, 2026</w:t>
            </w:r>
          </w:p>
        </w:tc>
      </w:tr>
    </w:tbl>
    <w:p w14:paraId="17DBE939" w14:textId="77777777" w:rsidR="007A766A" w:rsidRPr="00A51538" w:rsidRDefault="007A766A">
      <w:pPr>
        <w:rPr>
          <w:rFonts w:ascii="Arial" w:hAnsi="Arial" w:cs="Arial"/>
          <w:bCs/>
        </w:rPr>
      </w:pPr>
    </w:p>
    <w:sectPr w:rsidR="007A766A" w:rsidRPr="00A5153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A3D2C" w14:textId="77777777" w:rsidR="0047524D" w:rsidRDefault="0047524D" w:rsidP="00B23DD8">
      <w:pPr>
        <w:spacing w:after="0" w:line="240" w:lineRule="auto"/>
      </w:pPr>
      <w:r>
        <w:separator/>
      </w:r>
    </w:p>
  </w:endnote>
  <w:endnote w:type="continuationSeparator" w:id="0">
    <w:p w14:paraId="4231B975" w14:textId="77777777" w:rsidR="0047524D" w:rsidRDefault="0047524D" w:rsidP="00B2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D7D3" w14:textId="344F1B41" w:rsidR="00B23DD8" w:rsidRDefault="00B23DD8" w:rsidP="00B23DD8">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AD1C" w14:textId="77777777" w:rsidR="0047524D" w:rsidRDefault="0047524D" w:rsidP="00B23DD8">
      <w:pPr>
        <w:spacing w:after="0" w:line="240" w:lineRule="auto"/>
      </w:pPr>
      <w:r>
        <w:separator/>
      </w:r>
    </w:p>
  </w:footnote>
  <w:footnote w:type="continuationSeparator" w:id="0">
    <w:p w14:paraId="4857A875" w14:textId="77777777" w:rsidR="0047524D" w:rsidRDefault="0047524D" w:rsidP="00B2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674B6"/>
    <w:multiLevelType w:val="hybridMultilevel"/>
    <w:tmpl w:val="854296D0"/>
    <w:lvl w:ilvl="0" w:tplc="2C5661A6">
      <w:numFmt w:val="bullet"/>
      <w:lvlText w:val="-"/>
      <w:lvlJc w:val="left"/>
      <w:pPr>
        <w:ind w:left="720" w:hanging="360"/>
      </w:pPr>
      <w:rPr>
        <w:rFonts w:ascii="Century Gothic" w:eastAsia="Calibri" w:hAnsi="Century Gothic"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95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8C"/>
    <w:rsid w:val="00005286"/>
    <w:rsid w:val="00020D04"/>
    <w:rsid w:val="00027192"/>
    <w:rsid w:val="00032D94"/>
    <w:rsid w:val="00034E95"/>
    <w:rsid w:val="0003561F"/>
    <w:rsid w:val="00040041"/>
    <w:rsid w:val="00046EB6"/>
    <w:rsid w:val="0004742B"/>
    <w:rsid w:val="000477A7"/>
    <w:rsid w:val="00052D15"/>
    <w:rsid w:val="00053C97"/>
    <w:rsid w:val="00061264"/>
    <w:rsid w:val="00061ED0"/>
    <w:rsid w:val="000630D3"/>
    <w:rsid w:val="000661C4"/>
    <w:rsid w:val="000677F1"/>
    <w:rsid w:val="00086897"/>
    <w:rsid w:val="00086BBA"/>
    <w:rsid w:val="00086F36"/>
    <w:rsid w:val="0009590D"/>
    <w:rsid w:val="00095FFD"/>
    <w:rsid w:val="000A02A8"/>
    <w:rsid w:val="000B0DD0"/>
    <w:rsid w:val="000B20C6"/>
    <w:rsid w:val="000B3423"/>
    <w:rsid w:val="000C4EA5"/>
    <w:rsid w:val="000E3C18"/>
    <w:rsid w:val="000F0396"/>
    <w:rsid w:val="001320C5"/>
    <w:rsid w:val="00136164"/>
    <w:rsid w:val="00141D6C"/>
    <w:rsid w:val="0014260E"/>
    <w:rsid w:val="00145648"/>
    <w:rsid w:val="00162CEA"/>
    <w:rsid w:val="001725EC"/>
    <w:rsid w:val="001778DF"/>
    <w:rsid w:val="00193ED4"/>
    <w:rsid w:val="001A5068"/>
    <w:rsid w:val="001A7095"/>
    <w:rsid w:val="001B413B"/>
    <w:rsid w:val="001B5A7A"/>
    <w:rsid w:val="001C4DB3"/>
    <w:rsid w:val="001C4F03"/>
    <w:rsid w:val="001C66AF"/>
    <w:rsid w:val="001E39D7"/>
    <w:rsid w:val="0020152F"/>
    <w:rsid w:val="00202682"/>
    <w:rsid w:val="00205B6C"/>
    <w:rsid w:val="00205E84"/>
    <w:rsid w:val="00212950"/>
    <w:rsid w:val="00212CC4"/>
    <w:rsid w:val="002164C7"/>
    <w:rsid w:val="002434E8"/>
    <w:rsid w:val="00245ED5"/>
    <w:rsid w:val="0024786A"/>
    <w:rsid w:val="002607E0"/>
    <w:rsid w:val="00263D02"/>
    <w:rsid w:val="0026633D"/>
    <w:rsid w:val="00267ACC"/>
    <w:rsid w:val="002715F6"/>
    <w:rsid w:val="00281DB5"/>
    <w:rsid w:val="002824F4"/>
    <w:rsid w:val="00293062"/>
    <w:rsid w:val="00296141"/>
    <w:rsid w:val="002C430A"/>
    <w:rsid w:val="002D20D5"/>
    <w:rsid w:val="002D40A7"/>
    <w:rsid w:val="002E453B"/>
    <w:rsid w:val="002E5CEA"/>
    <w:rsid w:val="002F05A4"/>
    <w:rsid w:val="003234C3"/>
    <w:rsid w:val="0033085E"/>
    <w:rsid w:val="00331B2B"/>
    <w:rsid w:val="0033317A"/>
    <w:rsid w:val="00333D13"/>
    <w:rsid w:val="003343A6"/>
    <w:rsid w:val="00342B95"/>
    <w:rsid w:val="00345E61"/>
    <w:rsid w:val="00347F9A"/>
    <w:rsid w:val="00353AA4"/>
    <w:rsid w:val="00365E79"/>
    <w:rsid w:val="00382F3F"/>
    <w:rsid w:val="00385C3C"/>
    <w:rsid w:val="00386B7B"/>
    <w:rsid w:val="00392FAA"/>
    <w:rsid w:val="0039625C"/>
    <w:rsid w:val="00397229"/>
    <w:rsid w:val="003B066D"/>
    <w:rsid w:val="003C14D6"/>
    <w:rsid w:val="003C546F"/>
    <w:rsid w:val="003D52F2"/>
    <w:rsid w:val="003E3131"/>
    <w:rsid w:val="003E6F1B"/>
    <w:rsid w:val="003F38DC"/>
    <w:rsid w:val="003F6FD1"/>
    <w:rsid w:val="00402C96"/>
    <w:rsid w:val="004041D6"/>
    <w:rsid w:val="004059EC"/>
    <w:rsid w:val="00416320"/>
    <w:rsid w:val="004172B9"/>
    <w:rsid w:val="004244C8"/>
    <w:rsid w:val="004342CA"/>
    <w:rsid w:val="00437C3A"/>
    <w:rsid w:val="00442EEE"/>
    <w:rsid w:val="00452369"/>
    <w:rsid w:val="0047299D"/>
    <w:rsid w:val="0047524D"/>
    <w:rsid w:val="004B0372"/>
    <w:rsid w:val="004C1110"/>
    <w:rsid w:val="004C6A2B"/>
    <w:rsid w:val="004D12E5"/>
    <w:rsid w:val="004D65BF"/>
    <w:rsid w:val="004E5BCE"/>
    <w:rsid w:val="004F2FC4"/>
    <w:rsid w:val="004F480B"/>
    <w:rsid w:val="00501446"/>
    <w:rsid w:val="00501BE1"/>
    <w:rsid w:val="0050291A"/>
    <w:rsid w:val="0051580C"/>
    <w:rsid w:val="00522F94"/>
    <w:rsid w:val="005502EF"/>
    <w:rsid w:val="00557C35"/>
    <w:rsid w:val="00557CF6"/>
    <w:rsid w:val="00564C49"/>
    <w:rsid w:val="00571C63"/>
    <w:rsid w:val="005A1084"/>
    <w:rsid w:val="005A1D1E"/>
    <w:rsid w:val="005A64B5"/>
    <w:rsid w:val="005A6D10"/>
    <w:rsid w:val="005C3AF7"/>
    <w:rsid w:val="005C5FD3"/>
    <w:rsid w:val="005C66D5"/>
    <w:rsid w:val="005D2CF8"/>
    <w:rsid w:val="00604FD9"/>
    <w:rsid w:val="00616FE7"/>
    <w:rsid w:val="00620F01"/>
    <w:rsid w:val="0062165D"/>
    <w:rsid w:val="00630227"/>
    <w:rsid w:val="00633ADD"/>
    <w:rsid w:val="00634A50"/>
    <w:rsid w:val="00641476"/>
    <w:rsid w:val="006535A9"/>
    <w:rsid w:val="00655860"/>
    <w:rsid w:val="00662C07"/>
    <w:rsid w:val="006655BC"/>
    <w:rsid w:val="006706CD"/>
    <w:rsid w:val="006742B9"/>
    <w:rsid w:val="00674C6A"/>
    <w:rsid w:val="00675F28"/>
    <w:rsid w:val="00680654"/>
    <w:rsid w:val="00681B5E"/>
    <w:rsid w:val="00681E9C"/>
    <w:rsid w:val="00686965"/>
    <w:rsid w:val="00687386"/>
    <w:rsid w:val="006902FF"/>
    <w:rsid w:val="00693A27"/>
    <w:rsid w:val="00696ED1"/>
    <w:rsid w:val="006A1132"/>
    <w:rsid w:val="006A587A"/>
    <w:rsid w:val="006A7C2C"/>
    <w:rsid w:val="006B2516"/>
    <w:rsid w:val="006B3C9F"/>
    <w:rsid w:val="006B7EFF"/>
    <w:rsid w:val="006D25DA"/>
    <w:rsid w:val="006D4B56"/>
    <w:rsid w:val="006E1B37"/>
    <w:rsid w:val="006E316A"/>
    <w:rsid w:val="006E755E"/>
    <w:rsid w:val="006E773D"/>
    <w:rsid w:val="006F0526"/>
    <w:rsid w:val="0071087A"/>
    <w:rsid w:val="007151CC"/>
    <w:rsid w:val="00732277"/>
    <w:rsid w:val="007350C7"/>
    <w:rsid w:val="007420DB"/>
    <w:rsid w:val="007460B6"/>
    <w:rsid w:val="0074625B"/>
    <w:rsid w:val="00746E62"/>
    <w:rsid w:val="00751ED7"/>
    <w:rsid w:val="00752B31"/>
    <w:rsid w:val="00760660"/>
    <w:rsid w:val="00765BCF"/>
    <w:rsid w:val="00775AF5"/>
    <w:rsid w:val="0077799B"/>
    <w:rsid w:val="00782532"/>
    <w:rsid w:val="00784538"/>
    <w:rsid w:val="00785930"/>
    <w:rsid w:val="007A766A"/>
    <w:rsid w:val="007B3F5C"/>
    <w:rsid w:val="007F0F9E"/>
    <w:rsid w:val="007F39E0"/>
    <w:rsid w:val="007F6D2B"/>
    <w:rsid w:val="0080098C"/>
    <w:rsid w:val="0080726F"/>
    <w:rsid w:val="0081439D"/>
    <w:rsid w:val="008407E2"/>
    <w:rsid w:val="00856EC6"/>
    <w:rsid w:val="008579F9"/>
    <w:rsid w:val="00857E4D"/>
    <w:rsid w:val="00864615"/>
    <w:rsid w:val="008721D6"/>
    <w:rsid w:val="008740E1"/>
    <w:rsid w:val="0088777D"/>
    <w:rsid w:val="008913B1"/>
    <w:rsid w:val="008B7E38"/>
    <w:rsid w:val="008C295B"/>
    <w:rsid w:val="008C3032"/>
    <w:rsid w:val="008C54FB"/>
    <w:rsid w:val="008D40D1"/>
    <w:rsid w:val="008D5575"/>
    <w:rsid w:val="008E04F7"/>
    <w:rsid w:val="008E3515"/>
    <w:rsid w:val="00911AA5"/>
    <w:rsid w:val="00911E72"/>
    <w:rsid w:val="0091454B"/>
    <w:rsid w:val="009233F1"/>
    <w:rsid w:val="009334EB"/>
    <w:rsid w:val="009346AF"/>
    <w:rsid w:val="00945D53"/>
    <w:rsid w:val="00954B24"/>
    <w:rsid w:val="00963191"/>
    <w:rsid w:val="00972E86"/>
    <w:rsid w:val="00973305"/>
    <w:rsid w:val="00973926"/>
    <w:rsid w:val="009763B1"/>
    <w:rsid w:val="0099507D"/>
    <w:rsid w:val="009A5C81"/>
    <w:rsid w:val="009B1427"/>
    <w:rsid w:val="009C295D"/>
    <w:rsid w:val="009D70EB"/>
    <w:rsid w:val="009E5E45"/>
    <w:rsid w:val="00A00BB4"/>
    <w:rsid w:val="00A04579"/>
    <w:rsid w:val="00A05375"/>
    <w:rsid w:val="00A06C6F"/>
    <w:rsid w:val="00A11BA9"/>
    <w:rsid w:val="00A143C3"/>
    <w:rsid w:val="00A16201"/>
    <w:rsid w:val="00A172D1"/>
    <w:rsid w:val="00A200FC"/>
    <w:rsid w:val="00A2013D"/>
    <w:rsid w:val="00A20970"/>
    <w:rsid w:val="00A51538"/>
    <w:rsid w:val="00A762E2"/>
    <w:rsid w:val="00A82157"/>
    <w:rsid w:val="00AA1607"/>
    <w:rsid w:val="00AA52A7"/>
    <w:rsid w:val="00AB4B02"/>
    <w:rsid w:val="00AD3070"/>
    <w:rsid w:val="00AD759A"/>
    <w:rsid w:val="00AE13BB"/>
    <w:rsid w:val="00B2356A"/>
    <w:rsid w:val="00B23C5D"/>
    <w:rsid w:val="00B23DD8"/>
    <w:rsid w:val="00B24E80"/>
    <w:rsid w:val="00B251FB"/>
    <w:rsid w:val="00B36F8A"/>
    <w:rsid w:val="00B3760E"/>
    <w:rsid w:val="00B4469E"/>
    <w:rsid w:val="00B56289"/>
    <w:rsid w:val="00B7577F"/>
    <w:rsid w:val="00B833C9"/>
    <w:rsid w:val="00B9488C"/>
    <w:rsid w:val="00B9594B"/>
    <w:rsid w:val="00BA12CC"/>
    <w:rsid w:val="00BB0338"/>
    <w:rsid w:val="00BB141E"/>
    <w:rsid w:val="00BB6AA6"/>
    <w:rsid w:val="00BB7650"/>
    <w:rsid w:val="00BC5D16"/>
    <w:rsid w:val="00BD19B3"/>
    <w:rsid w:val="00BD56B1"/>
    <w:rsid w:val="00BD6623"/>
    <w:rsid w:val="00BD6804"/>
    <w:rsid w:val="00BF1173"/>
    <w:rsid w:val="00C01B33"/>
    <w:rsid w:val="00C208BF"/>
    <w:rsid w:val="00C20C91"/>
    <w:rsid w:val="00C21CF8"/>
    <w:rsid w:val="00C21DBF"/>
    <w:rsid w:val="00C221C3"/>
    <w:rsid w:val="00C227B1"/>
    <w:rsid w:val="00C37858"/>
    <w:rsid w:val="00C4700F"/>
    <w:rsid w:val="00C53D74"/>
    <w:rsid w:val="00C5405B"/>
    <w:rsid w:val="00C677DC"/>
    <w:rsid w:val="00C72D92"/>
    <w:rsid w:val="00C733C9"/>
    <w:rsid w:val="00C84015"/>
    <w:rsid w:val="00C92E88"/>
    <w:rsid w:val="00C955F8"/>
    <w:rsid w:val="00C96306"/>
    <w:rsid w:val="00CB4C59"/>
    <w:rsid w:val="00CB58D6"/>
    <w:rsid w:val="00CC163C"/>
    <w:rsid w:val="00CD072A"/>
    <w:rsid w:val="00CD2FD9"/>
    <w:rsid w:val="00D03EFA"/>
    <w:rsid w:val="00D07BFA"/>
    <w:rsid w:val="00D14D02"/>
    <w:rsid w:val="00D27CA8"/>
    <w:rsid w:val="00D33993"/>
    <w:rsid w:val="00D447DC"/>
    <w:rsid w:val="00D471A1"/>
    <w:rsid w:val="00D5407C"/>
    <w:rsid w:val="00D61CDA"/>
    <w:rsid w:val="00D835E8"/>
    <w:rsid w:val="00D877B3"/>
    <w:rsid w:val="00D905E4"/>
    <w:rsid w:val="00D91B44"/>
    <w:rsid w:val="00D94722"/>
    <w:rsid w:val="00DA4890"/>
    <w:rsid w:val="00DB56EB"/>
    <w:rsid w:val="00DC7139"/>
    <w:rsid w:val="00DE4BB1"/>
    <w:rsid w:val="00DE62A8"/>
    <w:rsid w:val="00DF5AED"/>
    <w:rsid w:val="00DF78DC"/>
    <w:rsid w:val="00E00543"/>
    <w:rsid w:val="00E10DA7"/>
    <w:rsid w:val="00E12D76"/>
    <w:rsid w:val="00E219D2"/>
    <w:rsid w:val="00E26A22"/>
    <w:rsid w:val="00E30F1E"/>
    <w:rsid w:val="00E462C1"/>
    <w:rsid w:val="00E62C10"/>
    <w:rsid w:val="00E63DDA"/>
    <w:rsid w:val="00E66A87"/>
    <w:rsid w:val="00E67FA9"/>
    <w:rsid w:val="00E70F2A"/>
    <w:rsid w:val="00E732F4"/>
    <w:rsid w:val="00E73BA6"/>
    <w:rsid w:val="00E77508"/>
    <w:rsid w:val="00E77A06"/>
    <w:rsid w:val="00E811B4"/>
    <w:rsid w:val="00E81F2B"/>
    <w:rsid w:val="00EA0076"/>
    <w:rsid w:val="00EB03BE"/>
    <w:rsid w:val="00EB22AF"/>
    <w:rsid w:val="00EB677C"/>
    <w:rsid w:val="00ED5516"/>
    <w:rsid w:val="00ED5DB8"/>
    <w:rsid w:val="00EE12C1"/>
    <w:rsid w:val="00EE2595"/>
    <w:rsid w:val="00EE77D1"/>
    <w:rsid w:val="00EF1AD0"/>
    <w:rsid w:val="00EF4472"/>
    <w:rsid w:val="00EF4E60"/>
    <w:rsid w:val="00EF5543"/>
    <w:rsid w:val="00F12923"/>
    <w:rsid w:val="00F239DE"/>
    <w:rsid w:val="00F31737"/>
    <w:rsid w:val="00F328A7"/>
    <w:rsid w:val="00F3667A"/>
    <w:rsid w:val="00F466EF"/>
    <w:rsid w:val="00F56321"/>
    <w:rsid w:val="00F5686F"/>
    <w:rsid w:val="00F6403E"/>
    <w:rsid w:val="00F64F92"/>
    <w:rsid w:val="00F67F1E"/>
    <w:rsid w:val="00F70A8C"/>
    <w:rsid w:val="00F80522"/>
    <w:rsid w:val="00F82B5E"/>
    <w:rsid w:val="00F9701C"/>
    <w:rsid w:val="00FA4818"/>
    <w:rsid w:val="00FB10E2"/>
    <w:rsid w:val="00FD11A7"/>
    <w:rsid w:val="00FD4CE0"/>
    <w:rsid w:val="00FE1018"/>
    <w:rsid w:val="00FE60B2"/>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17A1"/>
  <w15:chartTrackingRefBased/>
  <w15:docId w15:val="{C717CD0E-496E-4697-B538-1DA5E67B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8C"/>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0A8C"/>
    <w:rPr>
      <w:color w:val="0563C1"/>
      <w:u w:val="single"/>
    </w:rPr>
  </w:style>
  <w:style w:type="paragraph" w:styleId="ListParagraph">
    <w:name w:val="List Paragraph"/>
    <w:basedOn w:val="Normal"/>
    <w:uiPriority w:val="34"/>
    <w:qFormat/>
    <w:rsid w:val="009346AF"/>
    <w:pPr>
      <w:ind w:left="720"/>
      <w:contextualSpacing/>
    </w:pPr>
  </w:style>
  <w:style w:type="character" w:styleId="UnresolvedMention">
    <w:name w:val="Unresolved Mention"/>
    <w:basedOn w:val="DefaultParagraphFont"/>
    <w:uiPriority w:val="99"/>
    <w:semiHidden/>
    <w:unhideWhenUsed/>
    <w:rsid w:val="00FF7E70"/>
    <w:rPr>
      <w:color w:val="605E5C"/>
      <w:shd w:val="clear" w:color="auto" w:fill="E1DFDD"/>
    </w:rPr>
  </w:style>
  <w:style w:type="paragraph" w:styleId="Header">
    <w:name w:val="header"/>
    <w:basedOn w:val="Normal"/>
    <w:link w:val="HeaderChar"/>
    <w:uiPriority w:val="99"/>
    <w:unhideWhenUsed/>
    <w:rsid w:val="00B23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DD8"/>
    <w:rPr>
      <w:rFonts w:ascii="Calibri" w:eastAsia="Calibri" w:hAnsi="Calibri" w:cs="Times New Roman"/>
      <w:kern w:val="0"/>
      <w14:ligatures w14:val="none"/>
    </w:rPr>
  </w:style>
  <w:style w:type="paragraph" w:styleId="Footer">
    <w:name w:val="footer"/>
    <w:basedOn w:val="Normal"/>
    <w:link w:val="FooterChar"/>
    <w:uiPriority w:val="99"/>
    <w:unhideWhenUsed/>
    <w:rsid w:val="00B23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DD8"/>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086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ga.in.gov/legislative/2026/bills/senate/214/details" TargetMode="External"/><Relationship Id="rId18" Type="http://schemas.openxmlformats.org/officeDocument/2006/relationships/hyperlink" Target="https://iga.in.gov/legislative/2026/bills/house/1230/detail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ga.in.gov/legislative/2026/bills/senate/119/details" TargetMode="External"/><Relationship Id="rId17" Type="http://schemas.openxmlformats.org/officeDocument/2006/relationships/hyperlink" Target="https://iga.in.gov/legislative/2026/bills/house/1210/details" TargetMode="External"/><Relationship Id="rId2" Type="http://schemas.openxmlformats.org/officeDocument/2006/relationships/numbering" Target="numbering.xml"/><Relationship Id="rId16" Type="http://schemas.openxmlformats.org/officeDocument/2006/relationships/hyperlink" Target="https://iga.in.gov/legislative/2026/bills/house/1003/details" TargetMode="External"/><Relationship Id="rId20" Type="http://schemas.openxmlformats.org/officeDocument/2006/relationships/hyperlink" Target="https://iga.in.gov/legislative/2026/bills/house/1406/deta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in.gov/legislative/2026/bills/senate/76/details" TargetMode="External"/><Relationship Id="rId5" Type="http://schemas.openxmlformats.org/officeDocument/2006/relationships/webSettings" Target="webSettings.xml"/><Relationship Id="rId15" Type="http://schemas.openxmlformats.org/officeDocument/2006/relationships/hyperlink" Target="https://iga.in.gov/legislative/2026/bills/senate/285/details" TargetMode="External"/><Relationship Id="rId23" Type="http://schemas.openxmlformats.org/officeDocument/2006/relationships/theme" Target="theme/theme1.xml"/><Relationship Id="rId10" Type="http://schemas.openxmlformats.org/officeDocument/2006/relationships/hyperlink" Target="https://iga.in.gov/legislative/2026/bills/senate/14/details" TargetMode="External"/><Relationship Id="rId19" Type="http://schemas.openxmlformats.org/officeDocument/2006/relationships/hyperlink" Target="https://iga.in.gov/legislative/2026/bills/house/1360/details" TargetMode="External"/><Relationship Id="rId4" Type="http://schemas.openxmlformats.org/officeDocument/2006/relationships/settings" Target="settings.xml"/><Relationship Id="rId9" Type="http://schemas.openxmlformats.org/officeDocument/2006/relationships/hyperlink" Target="https://iga.in.gov/legislative/2026/bills/senate/4/details" TargetMode="External"/><Relationship Id="rId14" Type="http://schemas.openxmlformats.org/officeDocument/2006/relationships/hyperlink" Target="https://iga.in.gov/legislative/2026/bills/senate/226/detai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3187-2FC2-462C-B5B6-A6DE6AC98B4C}">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4498</TotalTime>
  <Pages>6</Pages>
  <Words>2726</Words>
  <Characters>14994</Characters>
  <Application>Microsoft Office Word</Application>
  <DocSecurity>0</DocSecurity>
  <Lines>416</Lines>
  <Paragraphs>78</Paragraphs>
  <ScaleCrop>false</ScaleCrop>
  <Company>Indiana Office of Technology</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Sylvia</dc:creator>
  <cp:keywords/>
  <dc:description/>
  <cp:lastModifiedBy>Watson, Sylvia</cp:lastModifiedBy>
  <cp:revision>117</cp:revision>
  <cp:lastPrinted>2023-06-16T16:49:00Z</cp:lastPrinted>
  <dcterms:created xsi:type="dcterms:W3CDTF">2026-03-09T19:30:00Z</dcterms:created>
  <dcterms:modified xsi:type="dcterms:W3CDTF">2026-04-14T22:21:00Z</dcterms:modified>
</cp:coreProperties>
</file>