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41E9" w14:textId="7B2517C2" w:rsidR="00F70A8C" w:rsidRPr="003C3DEA" w:rsidRDefault="00F70A8C" w:rsidP="00F70A8C">
      <w:pPr>
        <w:spacing w:after="0" w:line="240" w:lineRule="auto"/>
        <w:jc w:val="center"/>
        <w:rPr>
          <w:rFonts w:ascii="Century Gothic" w:hAnsi="Century Gothic"/>
          <w:b/>
          <w:sz w:val="56"/>
          <w:szCs w:val="56"/>
        </w:rPr>
      </w:pPr>
      <w:r w:rsidRPr="003C3DEA">
        <w:rPr>
          <w:noProof/>
          <w:sz w:val="56"/>
          <w:szCs w:val="56"/>
        </w:rPr>
        <w:drawing>
          <wp:anchor distT="0" distB="0" distL="114300" distR="114300" simplePos="0" relativeHeight="251658240" behindDoc="1" locked="0" layoutInCell="1" allowOverlap="1" wp14:anchorId="5B262DFE" wp14:editId="0DB92065">
            <wp:simplePos x="0" y="0"/>
            <wp:positionH relativeFrom="column">
              <wp:posOffset>499745</wp:posOffset>
            </wp:positionH>
            <wp:positionV relativeFrom="paragraph">
              <wp:posOffset>-69838</wp:posOffset>
            </wp:positionV>
            <wp:extent cx="682900" cy="695437"/>
            <wp:effectExtent l="0" t="0" r="3175" b="0"/>
            <wp:wrapNone/>
            <wp:docPr id="1" name="Picture 1" descr="This is a chart of each bill that passed in the 2025 legislative session that affects state or local government.&#10;SEA 1&#10;SEA 5&#10;SEA 143&#10;SEA 371&#10;SEA 472&#10;HEA 1001&#10;HEA 1033&#10;HEA 1134&#10;HEA 1198&#10;HEA 1412&#10;HEA 1427&#10;HEA 1509&#10;HEA 1559&#10;HEA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chart of each bill that passed in the 2025 legislative session that affects state or local government.&#10;SEA 1&#10;SEA 5&#10;SEA 143&#10;SEA 371&#10;SEA 472&#10;HEA 1001&#10;HEA 1033&#10;HEA 1134&#10;HEA 1198&#10;HEA 1412&#10;HEA 1427&#10;HEA 1509&#10;HEA 1559&#10;HEA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900" cy="695437"/>
                    </a:xfrm>
                    <a:prstGeom prst="rect">
                      <a:avLst/>
                    </a:prstGeom>
                    <a:noFill/>
                  </pic:spPr>
                </pic:pic>
              </a:graphicData>
            </a:graphic>
            <wp14:sizeRelH relativeFrom="page">
              <wp14:pctWidth>0</wp14:pctWidth>
            </wp14:sizeRelH>
            <wp14:sizeRelV relativeFrom="page">
              <wp14:pctHeight>0</wp14:pctHeight>
            </wp14:sizeRelV>
          </wp:anchor>
        </w:drawing>
      </w:r>
      <w:r w:rsidRPr="003C3DEA">
        <w:rPr>
          <w:rFonts w:ascii="Century Gothic" w:hAnsi="Century Gothic"/>
          <w:b/>
          <w:sz w:val="56"/>
          <w:szCs w:val="56"/>
        </w:rPr>
        <w:t xml:space="preserve">   202</w:t>
      </w:r>
      <w:r w:rsidR="00D40584" w:rsidRPr="003C3DEA">
        <w:rPr>
          <w:rFonts w:ascii="Century Gothic" w:hAnsi="Century Gothic"/>
          <w:b/>
          <w:sz w:val="56"/>
          <w:szCs w:val="56"/>
        </w:rPr>
        <w:t>5</w:t>
      </w:r>
      <w:r w:rsidRPr="003C3DEA">
        <w:rPr>
          <w:rFonts w:ascii="Century Gothic" w:hAnsi="Century Gothic"/>
          <w:b/>
          <w:sz w:val="56"/>
          <w:szCs w:val="56"/>
        </w:rPr>
        <w:t xml:space="preserve"> Legislation</w:t>
      </w:r>
    </w:p>
    <w:p w14:paraId="5E508346" w14:textId="77777777" w:rsidR="00F70A8C" w:rsidRDefault="00F70A8C" w:rsidP="00F70A8C">
      <w:pPr>
        <w:spacing w:after="0" w:line="240" w:lineRule="auto"/>
        <w:rPr>
          <w:rFonts w:ascii="Century Gothic" w:hAnsi="Century Gothic"/>
          <w:b/>
          <w:sz w:val="36"/>
          <w:szCs w:val="36"/>
        </w:rPr>
      </w:pPr>
      <w:r>
        <w:rPr>
          <w:rFonts w:ascii="Century Gothic" w:hAnsi="Century Gothic"/>
          <w:sz w:val="16"/>
          <w:szCs w:val="16"/>
        </w:rPr>
        <w:t xml:space="preserve">                                                    Click on the Enrolled Act numbers to get to the full text of the bill</w:t>
      </w:r>
    </w:p>
    <w:p w14:paraId="51C90964" w14:textId="77777777" w:rsidR="00F70A8C" w:rsidRDefault="00F70A8C" w:rsidP="00F70A8C">
      <w:pPr>
        <w:spacing w:after="0" w:line="240" w:lineRule="auto"/>
        <w:rPr>
          <w:rFonts w:ascii="Century Gothic" w:hAnsi="Century Gothic"/>
        </w:rPr>
      </w:pPr>
    </w:p>
    <w:p w14:paraId="728D4E78" w14:textId="77777777" w:rsidR="00F70A8C" w:rsidRDefault="00F70A8C" w:rsidP="00F70A8C">
      <w:pPr>
        <w:spacing w:after="0" w:line="240" w:lineRule="auto"/>
        <w:jc w:val="center"/>
        <w:rPr>
          <w:rFonts w:ascii="Century Gothic" w:hAnsi="Century Gothic"/>
          <w:b/>
          <w:sz w:val="20"/>
          <w:szCs w:val="20"/>
        </w:rPr>
      </w:pPr>
    </w:p>
    <w:tbl>
      <w:tblPr>
        <w:tblW w:w="98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6403"/>
        <w:gridCol w:w="1530"/>
      </w:tblGrid>
      <w:tr w:rsidR="00F70A8C" w14:paraId="72E558B9" w14:textId="77777777" w:rsidTr="00141D6C">
        <w:tc>
          <w:tcPr>
            <w:tcW w:w="1918" w:type="dxa"/>
            <w:tcBorders>
              <w:top w:val="single" w:sz="4" w:space="0" w:color="auto"/>
              <w:left w:val="single" w:sz="4" w:space="0" w:color="auto"/>
              <w:bottom w:val="single" w:sz="4" w:space="0" w:color="auto"/>
              <w:right w:val="single" w:sz="4" w:space="0" w:color="auto"/>
            </w:tcBorders>
            <w:shd w:val="clear" w:color="auto" w:fill="FFF2CC"/>
            <w:hideMark/>
          </w:tcPr>
          <w:p w14:paraId="3208345A" w14:textId="77777777" w:rsidR="00F70A8C" w:rsidRDefault="00F70A8C">
            <w:pPr>
              <w:spacing w:after="0" w:line="240" w:lineRule="auto"/>
              <w:jc w:val="center"/>
              <w:rPr>
                <w:rFonts w:ascii="Century Gothic" w:hAnsi="Century Gothic"/>
                <w:b/>
                <w:sz w:val="20"/>
                <w:szCs w:val="20"/>
              </w:rPr>
            </w:pPr>
            <w:r>
              <w:rPr>
                <w:rFonts w:ascii="Century Gothic" w:hAnsi="Century Gothic"/>
                <w:b/>
                <w:sz w:val="20"/>
                <w:szCs w:val="20"/>
              </w:rPr>
              <w:t>Enrolled Act</w:t>
            </w:r>
          </w:p>
        </w:tc>
        <w:tc>
          <w:tcPr>
            <w:tcW w:w="6403" w:type="dxa"/>
            <w:tcBorders>
              <w:top w:val="single" w:sz="4" w:space="0" w:color="auto"/>
              <w:left w:val="single" w:sz="4" w:space="0" w:color="auto"/>
              <w:bottom w:val="single" w:sz="4" w:space="0" w:color="auto"/>
              <w:right w:val="single" w:sz="4" w:space="0" w:color="auto"/>
            </w:tcBorders>
            <w:shd w:val="clear" w:color="auto" w:fill="FFF2CC"/>
            <w:hideMark/>
          </w:tcPr>
          <w:p w14:paraId="7FCD23C1" w14:textId="77777777" w:rsidR="00F70A8C" w:rsidRDefault="00F70A8C">
            <w:pPr>
              <w:spacing w:after="0" w:line="240" w:lineRule="auto"/>
              <w:jc w:val="center"/>
              <w:rPr>
                <w:rFonts w:ascii="Century Gothic" w:hAnsi="Century Gothic"/>
                <w:b/>
                <w:sz w:val="20"/>
                <w:szCs w:val="20"/>
              </w:rPr>
            </w:pPr>
            <w:r>
              <w:rPr>
                <w:rFonts w:ascii="Century Gothic" w:hAnsi="Century Gothic"/>
                <w:b/>
                <w:sz w:val="20"/>
                <w:szCs w:val="20"/>
              </w:rPr>
              <w:t>Synopsys of Applicable Provisions</w:t>
            </w:r>
          </w:p>
          <w:p w14:paraId="26CAF32F" w14:textId="77777777" w:rsidR="000F0396" w:rsidRPr="000F0396" w:rsidRDefault="000F0396">
            <w:pPr>
              <w:spacing w:after="0" w:line="240" w:lineRule="auto"/>
              <w:jc w:val="center"/>
              <w:rPr>
                <w:rFonts w:ascii="Century Gothic" w:hAnsi="Century Gothic"/>
                <w:b/>
                <w:sz w:val="16"/>
                <w:szCs w:val="16"/>
              </w:rPr>
            </w:pPr>
          </w:p>
          <w:p w14:paraId="619C5649" w14:textId="45A709EF" w:rsidR="00F12923" w:rsidRDefault="00F12923">
            <w:pPr>
              <w:spacing w:after="0" w:line="240" w:lineRule="auto"/>
              <w:jc w:val="center"/>
              <w:rPr>
                <w:rFonts w:ascii="Century Gothic" w:hAnsi="Century Gothic"/>
                <w:b/>
                <w:sz w:val="20"/>
                <w:szCs w:val="20"/>
              </w:rPr>
            </w:pPr>
            <w:r>
              <w:rPr>
                <w:rFonts w:ascii="Century Gothic" w:hAnsi="Century Gothic"/>
                <w:sz w:val="15"/>
                <w:szCs w:val="15"/>
              </w:rPr>
              <w:t xml:space="preserve">Sections of the iga.IN.gov digest irrelevant to libraries have been excluded  </w:t>
            </w:r>
          </w:p>
          <w:p w14:paraId="7BE192C1" w14:textId="74E7B10A" w:rsidR="00F70A8C" w:rsidRDefault="00F70A8C">
            <w:pPr>
              <w:spacing w:after="0" w:line="240" w:lineRule="auto"/>
              <w:jc w:val="center"/>
              <w:rPr>
                <w:rFonts w:ascii="Century Gothic" w:hAnsi="Century Gothic"/>
                <w:sz w:val="15"/>
                <w:szCs w:val="15"/>
              </w:rPr>
            </w:pPr>
            <w:r>
              <w:rPr>
                <w:rFonts w:ascii="Century Gothic" w:hAnsi="Century Gothic"/>
                <w:sz w:val="15"/>
                <w:szCs w:val="15"/>
              </w:rPr>
              <w:t xml:space="preserve">Additional text </w:t>
            </w:r>
            <w:r w:rsidR="000F0396">
              <w:rPr>
                <w:rFonts w:ascii="Century Gothic" w:hAnsi="Century Gothic"/>
                <w:sz w:val="15"/>
                <w:szCs w:val="15"/>
              </w:rPr>
              <w:t>may be</w:t>
            </w:r>
            <w:r>
              <w:rPr>
                <w:rFonts w:ascii="Century Gothic" w:hAnsi="Century Gothic"/>
                <w:sz w:val="15"/>
                <w:szCs w:val="15"/>
              </w:rPr>
              <w:t xml:space="preserve"> added in some sections to supplement the iga.IN.gov digest</w:t>
            </w:r>
          </w:p>
          <w:p w14:paraId="0C89A590" w14:textId="5D0E0D40" w:rsidR="00F9701C" w:rsidRDefault="00F9701C">
            <w:pPr>
              <w:spacing w:after="0" w:line="240" w:lineRule="auto"/>
              <w:jc w:val="center"/>
              <w:rPr>
                <w:rFonts w:ascii="Century Gothic" w:hAnsi="Century Gothic"/>
                <w:sz w:val="15"/>
                <w:szCs w:val="15"/>
              </w:rPr>
            </w:pPr>
            <w:r>
              <w:rPr>
                <w:rFonts w:ascii="Century Gothic" w:hAnsi="Century Gothic"/>
                <w:sz w:val="15"/>
                <w:szCs w:val="15"/>
              </w:rPr>
              <w:t xml:space="preserve">The bill digests are high level summaries, </w:t>
            </w:r>
            <w:r w:rsidR="008721D6">
              <w:rPr>
                <w:rFonts w:ascii="Century Gothic" w:hAnsi="Century Gothic"/>
                <w:sz w:val="15"/>
                <w:szCs w:val="15"/>
              </w:rPr>
              <w:t xml:space="preserve">read </w:t>
            </w:r>
            <w:r w:rsidR="00D40584">
              <w:rPr>
                <w:rFonts w:ascii="Century Gothic" w:hAnsi="Century Gothic"/>
                <w:sz w:val="15"/>
                <w:szCs w:val="15"/>
              </w:rPr>
              <w:t xml:space="preserve">the </w:t>
            </w:r>
            <w:r>
              <w:rPr>
                <w:rFonts w:ascii="Century Gothic" w:hAnsi="Century Gothic"/>
                <w:sz w:val="15"/>
                <w:szCs w:val="15"/>
              </w:rPr>
              <w:t>actual bill for more information.</w:t>
            </w:r>
          </w:p>
          <w:p w14:paraId="7CBF810A" w14:textId="77777777" w:rsidR="000F0396" w:rsidRDefault="000F0396">
            <w:pPr>
              <w:spacing w:after="0" w:line="240" w:lineRule="auto"/>
              <w:jc w:val="center"/>
              <w:rPr>
                <w:rFonts w:ascii="Century Gothic" w:hAnsi="Century Gothic"/>
                <w:sz w:val="15"/>
                <w:szCs w:val="15"/>
              </w:rPr>
            </w:pPr>
          </w:p>
          <w:p w14:paraId="17C7E8D5" w14:textId="17363FEB" w:rsidR="00F70A8C" w:rsidRDefault="00F70A8C">
            <w:pPr>
              <w:spacing w:after="0" w:line="240" w:lineRule="auto"/>
              <w:jc w:val="center"/>
              <w:rPr>
                <w:rFonts w:ascii="Century Gothic" w:hAnsi="Century Gothic"/>
                <w:sz w:val="15"/>
                <w:szCs w:val="15"/>
              </w:rPr>
            </w:pPr>
          </w:p>
        </w:tc>
        <w:tc>
          <w:tcPr>
            <w:tcW w:w="1530" w:type="dxa"/>
            <w:tcBorders>
              <w:top w:val="single" w:sz="4" w:space="0" w:color="auto"/>
              <w:left w:val="single" w:sz="4" w:space="0" w:color="auto"/>
              <w:bottom w:val="single" w:sz="4" w:space="0" w:color="auto"/>
              <w:right w:val="single" w:sz="4" w:space="0" w:color="auto"/>
            </w:tcBorders>
            <w:shd w:val="clear" w:color="auto" w:fill="FFF2CC"/>
            <w:hideMark/>
          </w:tcPr>
          <w:p w14:paraId="6B3BEA73" w14:textId="77777777" w:rsidR="00F70A8C" w:rsidRDefault="00F70A8C">
            <w:pPr>
              <w:spacing w:after="0" w:line="240" w:lineRule="auto"/>
              <w:jc w:val="center"/>
              <w:rPr>
                <w:rFonts w:ascii="Century Gothic" w:hAnsi="Century Gothic"/>
                <w:b/>
                <w:sz w:val="20"/>
                <w:szCs w:val="20"/>
              </w:rPr>
            </w:pPr>
            <w:r>
              <w:rPr>
                <w:rFonts w:ascii="Century Gothic" w:hAnsi="Century Gothic"/>
                <w:b/>
                <w:sz w:val="20"/>
                <w:szCs w:val="20"/>
              </w:rPr>
              <w:t>Effective</w:t>
            </w:r>
          </w:p>
          <w:p w14:paraId="749E2B05" w14:textId="77777777" w:rsidR="00F70A8C" w:rsidRDefault="00F70A8C">
            <w:pPr>
              <w:spacing w:after="0" w:line="240" w:lineRule="auto"/>
              <w:jc w:val="center"/>
              <w:rPr>
                <w:rFonts w:ascii="Century Gothic" w:hAnsi="Century Gothic"/>
                <w:b/>
                <w:sz w:val="20"/>
                <w:szCs w:val="20"/>
              </w:rPr>
            </w:pPr>
            <w:r>
              <w:rPr>
                <w:rFonts w:ascii="Century Gothic" w:hAnsi="Century Gothic"/>
                <w:b/>
                <w:sz w:val="20"/>
                <w:szCs w:val="20"/>
              </w:rPr>
              <w:t>Date</w:t>
            </w:r>
          </w:p>
        </w:tc>
      </w:tr>
      <w:tr w:rsidR="00312DE4" w:rsidRPr="00A172D1" w14:paraId="0A65243D" w14:textId="77777777" w:rsidTr="00141D6C">
        <w:tc>
          <w:tcPr>
            <w:tcW w:w="1918" w:type="dxa"/>
            <w:tcBorders>
              <w:top w:val="single" w:sz="4" w:space="0" w:color="auto"/>
              <w:left w:val="single" w:sz="4" w:space="0" w:color="auto"/>
              <w:bottom w:val="single" w:sz="4" w:space="0" w:color="auto"/>
              <w:right w:val="single" w:sz="4" w:space="0" w:color="auto"/>
            </w:tcBorders>
          </w:tcPr>
          <w:p w14:paraId="3DEA9434" w14:textId="77777777" w:rsidR="00312DE4" w:rsidRDefault="00312DE4" w:rsidP="00312DE4">
            <w:pPr>
              <w:spacing w:after="0" w:line="240" w:lineRule="auto"/>
              <w:jc w:val="center"/>
              <w:rPr>
                <w:rFonts w:ascii="Century Gothic" w:hAnsi="Century Gothic"/>
                <w:bCs/>
                <w:sz w:val="20"/>
                <w:szCs w:val="20"/>
              </w:rPr>
            </w:pPr>
            <w:hyperlink r:id="rId8" w:history="1">
              <w:r w:rsidRPr="009B32B9">
                <w:rPr>
                  <w:rStyle w:val="Hyperlink"/>
                  <w:rFonts w:ascii="Century Gothic" w:hAnsi="Century Gothic"/>
                  <w:bCs/>
                  <w:sz w:val="20"/>
                  <w:szCs w:val="20"/>
                </w:rPr>
                <w:t>SEA 1</w:t>
              </w:r>
            </w:hyperlink>
          </w:p>
          <w:p w14:paraId="6B4474B7" w14:textId="77777777" w:rsidR="00312DE4" w:rsidRDefault="00312DE4" w:rsidP="00312DE4">
            <w:pPr>
              <w:spacing w:after="0" w:line="240" w:lineRule="auto"/>
              <w:jc w:val="center"/>
              <w:rPr>
                <w:rFonts w:ascii="Century Gothic" w:hAnsi="Century Gothic"/>
                <w:bCs/>
                <w:sz w:val="20"/>
                <w:szCs w:val="20"/>
              </w:rPr>
            </w:pPr>
          </w:p>
          <w:p w14:paraId="00BCCDEF" w14:textId="3C3E8AEA" w:rsidR="00312DE4" w:rsidRDefault="00312DE4" w:rsidP="00312DE4">
            <w:pPr>
              <w:spacing w:after="0" w:line="240" w:lineRule="auto"/>
              <w:jc w:val="center"/>
              <w:rPr>
                <w:rFonts w:ascii="Century Gothic" w:hAnsi="Century Gothic"/>
                <w:bCs/>
                <w:sz w:val="20"/>
                <w:szCs w:val="20"/>
              </w:rPr>
            </w:pPr>
            <w:r>
              <w:rPr>
                <w:rFonts w:ascii="Century Gothic" w:hAnsi="Century Gothic"/>
                <w:bCs/>
                <w:sz w:val="20"/>
                <w:szCs w:val="20"/>
              </w:rPr>
              <w:t>Local Government Finance</w:t>
            </w:r>
          </w:p>
        </w:tc>
        <w:tc>
          <w:tcPr>
            <w:tcW w:w="6403" w:type="dxa"/>
            <w:tcBorders>
              <w:top w:val="single" w:sz="4" w:space="0" w:color="auto"/>
              <w:left w:val="single" w:sz="4" w:space="0" w:color="auto"/>
              <w:bottom w:val="single" w:sz="4" w:space="0" w:color="auto"/>
              <w:right w:val="single" w:sz="4" w:space="0" w:color="auto"/>
            </w:tcBorders>
          </w:tcPr>
          <w:p w14:paraId="6FE8CB9A" w14:textId="2E027B7C" w:rsidR="00B050A6"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t xml:space="preserve">Places restrictions on the issuance of certain general obligation bonds. Amends a capitalization rate percentage under the statewide agricultural land base rate determination. Provides that the percentage cap used to determine the maximum levy growth quotient is 4% in 2026. Provides that, notwithstanding any growth in a political subdivision's assessed value (AV) in the previous year, a political subdivision's ad valorem property tax levy shall not exceed the ad valorem property tax levy for its last preceding annual budget, unless the fiscal body of the political subdivision adopts an affirmative tax rate and tax levy increase by ordinance following a separate public hearing. Requires a resulting decrease in tax rates for each political subdivision in which there was an increase in the political subdivision's AV in the previous year, subject to any affirmative tax rate and tax levy increase adopted by the fiscal body of the political subdivision. Phases out the authority for the department of local government finance (department) to permit an excess tax levy that is based on AV growth, school transportation costs, and other circumstances. Retains the provisions that permit an excess tax levy if the civil taxing unit cannot carry out its governmental functions in the case of annexation, a natural disaster, an accident, or an emergency. </w:t>
            </w:r>
          </w:p>
          <w:p w14:paraId="01D215BB" w14:textId="77777777" w:rsidR="00B050A6" w:rsidRDefault="00B050A6" w:rsidP="00312DE4">
            <w:pPr>
              <w:spacing w:after="0" w:line="240" w:lineRule="auto"/>
              <w:rPr>
                <w:rFonts w:ascii="Century Gothic" w:hAnsi="Century Gothic"/>
                <w:bCs/>
                <w:sz w:val="20"/>
                <w:szCs w:val="20"/>
              </w:rPr>
            </w:pPr>
          </w:p>
          <w:p w14:paraId="5AA5F9C5" w14:textId="77777777" w:rsidR="00AB2D1F"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t xml:space="preserve">Phases down the homestead standard deduction over five years to zero beginning for taxes due and payable in 2031. Phases in an increase in the supplemental homestead deduction to 2/3 of the AV of the homestead. Phases in an AV deduction for all property that is subject to the 2% circuit breaker credit for excessive property taxes for assessment dates beginning in 2025 up to a 1/3 AV deduction for taxes due and payable in 2031, and each taxable year thereafter. </w:t>
            </w:r>
            <w:proofErr w:type="gramStart"/>
            <w:r w:rsidRPr="00F02C43">
              <w:rPr>
                <w:rFonts w:ascii="Century Gothic" w:hAnsi="Century Gothic"/>
                <w:bCs/>
                <w:sz w:val="20"/>
                <w:szCs w:val="20"/>
              </w:rPr>
              <w:t>Expires</w:t>
            </w:r>
            <w:proofErr w:type="gramEnd"/>
            <w:r w:rsidRPr="00F02C43">
              <w:rPr>
                <w:rFonts w:ascii="Century Gothic" w:hAnsi="Century Gothic"/>
                <w:bCs/>
                <w:sz w:val="20"/>
                <w:szCs w:val="20"/>
              </w:rPr>
              <w:t xml:space="preserve"> certain property tax deductions allowed in current </w:t>
            </w:r>
            <w:proofErr w:type="gramStart"/>
            <w:r w:rsidRPr="00F02C43">
              <w:rPr>
                <w:rFonts w:ascii="Century Gothic" w:hAnsi="Century Gothic"/>
                <w:bCs/>
                <w:sz w:val="20"/>
                <w:szCs w:val="20"/>
              </w:rPr>
              <w:t>law, and</w:t>
            </w:r>
            <w:proofErr w:type="gramEnd"/>
            <w:r w:rsidRPr="00F02C43">
              <w:rPr>
                <w:rFonts w:ascii="Century Gothic" w:hAnsi="Century Gothic"/>
                <w:bCs/>
                <w:sz w:val="20"/>
                <w:szCs w:val="20"/>
              </w:rPr>
              <w:t xml:space="preserve"> instead allows a credit against local property taxes in certain instances. </w:t>
            </w:r>
          </w:p>
          <w:p w14:paraId="3EFCF43F" w14:textId="77777777" w:rsidR="00AB2D1F" w:rsidRDefault="00AB2D1F" w:rsidP="00312DE4">
            <w:pPr>
              <w:spacing w:after="0" w:line="240" w:lineRule="auto"/>
              <w:rPr>
                <w:rFonts w:ascii="Century Gothic" w:hAnsi="Century Gothic"/>
                <w:bCs/>
                <w:sz w:val="20"/>
                <w:szCs w:val="20"/>
              </w:rPr>
            </w:pPr>
          </w:p>
          <w:p w14:paraId="2EE8CFB3" w14:textId="2C6BCF50" w:rsidR="00125553" w:rsidRDefault="00312DE4" w:rsidP="00312DE4">
            <w:pPr>
              <w:spacing w:after="0" w:line="240" w:lineRule="auto"/>
              <w:rPr>
                <w:rFonts w:ascii="Century Gothic" w:hAnsi="Century Gothic"/>
                <w:bCs/>
                <w:sz w:val="20"/>
                <w:szCs w:val="20"/>
              </w:rPr>
            </w:pPr>
            <w:proofErr w:type="gramStart"/>
            <w:r w:rsidRPr="00F02C43">
              <w:rPr>
                <w:rFonts w:ascii="Century Gothic" w:hAnsi="Century Gothic"/>
                <w:bCs/>
                <w:sz w:val="20"/>
                <w:szCs w:val="20"/>
              </w:rPr>
              <w:t>Makes</w:t>
            </w:r>
            <w:proofErr w:type="gramEnd"/>
            <w:r w:rsidRPr="00F02C43">
              <w:rPr>
                <w:rFonts w:ascii="Century Gothic" w:hAnsi="Century Gothic"/>
                <w:bCs/>
                <w:sz w:val="20"/>
                <w:szCs w:val="20"/>
              </w:rPr>
              <w:t xml:space="preserve"> certain changes to the qualification requirements and credit amount for the over 65 circuit breaker credit. Provides a supplemental homestead tax credit for property taxes for a person's homestead if the person qualifies for a standard homestead deduction for the same homestead property. </w:t>
            </w:r>
          </w:p>
          <w:p w14:paraId="03809088" w14:textId="77777777" w:rsidR="00125553" w:rsidRDefault="00125553" w:rsidP="00312DE4">
            <w:pPr>
              <w:spacing w:after="0" w:line="240" w:lineRule="auto"/>
              <w:rPr>
                <w:rFonts w:ascii="Century Gothic" w:hAnsi="Century Gothic"/>
                <w:bCs/>
                <w:sz w:val="20"/>
                <w:szCs w:val="20"/>
              </w:rPr>
            </w:pPr>
          </w:p>
          <w:p w14:paraId="1518D536" w14:textId="77777777" w:rsidR="002C7FC0"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lastRenderedPageBreak/>
              <w:t xml:space="preserve">Provides that specified referendums may be placed on the ballot only at a general election. Amends the ballot language for controlled project, school operating, and school public safety referendums. Provides that a school corporation may not adopt a resolution to place a controlled project referendum on the ballot during the second calendar year after the final calendar year in which a previously approved controlled project referendum levy is imposed. Modifies the threshold amounts used for determining whether a political subdivision's project is a controlled project and whether the petition and remonstrance process or the referendum process applies based on the political subdivision's total debt service tax rate. </w:t>
            </w:r>
          </w:p>
          <w:p w14:paraId="5974BB66" w14:textId="77777777" w:rsidR="002C7FC0" w:rsidRDefault="002C7FC0" w:rsidP="00312DE4">
            <w:pPr>
              <w:spacing w:after="0" w:line="240" w:lineRule="auto"/>
              <w:rPr>
                <w:rFonts w:ascii="Century Gothic" w:hAnsi="Century Gothic"/>
                <w:bCs/>
                <w:sz w:val="20"/>
                <w:szCs w:val="20"/>
              </w:rPr>
            </w:pPr>
          </w:p>
          <w:p w14:paraId="4872F470" w14:textId="77777777" w:rsidR="002E432F"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t xml:space="preserve">Adds provisions to authorize a county fiscal body to adopt an ordinance to establish a property tax payment deferral program (program). Provides that a qualified individual participating in the program may defer the payment of part of the property taxes that would otherwise be due on a homestead. Provides that property taxes deferred under the program are due after the occurrence of a deferral termination event. Provides that the maximum amount of taxes that may be deferred cumulatively year over year may not exceed $10,000. </w:t>
            </w:r>
          </w:p>
          <w:p w14:paraId="2833D0C2" w14:textId="77777777" w:rsidR="002E432F" w:rsidRDefault="002E432F" w:rsidP="00312DE4">
            <w:pPr>
              <w:spacing w:after="0" w:line="240" w:lineRule="auto"/>
              <w:rPr>
                <w:rFonts w:ascii="Century Gothic" w:hAnsi="Century Gothic"/>
                <w:bCs/>
                <w:sz w:val="20"/>
                <w:szCs w:val="20"/>
              </w:rPr>
            </w:pPr>
          </w:p>
          <w:p w14:paraId="23F662BC" w14:textId="0F82B849" w:rsidR="00B2735F"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t xml:space="preserve">Increases, beginning in 2028, the maximum local income tax (LIT) expenditure rate for all counties to 2.9%. Authorizes a city or town to impose a municipal LIT rate beginning in 2028 not to exceed 1.2%. Provides that within a county's total expenditure rate, the county may adopt: (1) up to a 1.2% rate for county general purpose revenue; (2) up to a 0.4% rate for fire protection and emergency medical services; (3) up to a 0.2% rate for nonmunicipal civil taxing unit general purpose revenue; and (4) up to 1.2% for certain cities and towns that are not eligible to adopt a municipal LIT rate. Eliminates provisions that provide for a distribution of LIT expenditure rate revenue to schools and civil taxing units in counties that imposed a rate under the prior county adjusted gross income tax. Authorizes a county fiscal body to impose a local income tax expenditure rate to provide property tax relief for property tax liability attributable to homesteads in the county before January 1, 2028. </w:t>
            </w:r>
          </w:p>
          <w:p w14:paraId="4E3A6C73" w14:textId="77777777" w:rsidR="00B2735F" w:rsidRDefault="00B2735F" w:rsidP="00312DE4">
            <w:pPr>
              <w:spacing w:after="0" w:line="240" w:lineRule="auto"/>
              <w:rPr>
                <w:rFonts w:ascii="Century Gothic" w:hAnsi="Century Gothic"/>
                <w:bCs/>
                <w:sz w:val="20"/>
                <w:szCs w:val="20"/>
              </w:rPr>
            </w:pPr>
          </w:p>
          <w:p w14:paraId="7B195048" w14:textId="77777777" w:rsidR="00E56F5C" w:rsidRDefault="00B2735F" w:rsidP="00312DE4">
            <w:pPr>
              <w:spacing w:after="0" w:line="240" w:lineRule="auto"/>
              <w:rPr>
                <w:rFonts w:ascii="Century Gothic" w:hAnsi="Century Gothic"/>
                <w:bCs/>
                <w:sz w:val="20"/>
                <w:szCs w:val="20"/>
              </w:rPr>
            </w:pPr>
            <w:r>
              <w:rPr>
                <w:rFonts w:ascii="Century Gothic" w:hAnsi="Century Gothic"/>
                <w:bCs/>
                <w:sz w:val="20"/>
                <w:szCs w:val="20"/>
              </w:rPr>
              <w:t>E</w:t>
            </w:r>
            <w:r w:rsidR="00312DE4" w:rsidRPr="00F02C43">
              <w:rPr>
                <w:rFonts w:ascii="Century Gothic" w:hAnsi="Century Gothic"/>
                <w:bCs/>
                <w:sz w:val="20"/>
                <w:szCs w:val="20"/>
              </w:rPr>
              <w:t xml:space="preserve">xpires the authority to impose a property tax relief rate under the LIT and </w:t>
            </w:r>
            <w:proofErr w:type="gramStart"/>
            <w:r w:rsidR="00312DE4" w:rsidRPr="00F02C43">
              <w:rPr>
                <w:rFonts w:ascii="Century Gothic" w:hAnsi="Century Gothic"/>
                <w:bCs/>
                <w:sz w:val="20"/>
                <w:szCs w:val="20"/>
              </w:rPr>
              <w:t>repeals</w:t>
            </w:r>
            <w:proofErr w:type="gramEnd"/>
            <w:r w:rsidR="00312DE4" w:rsidRPr="00F02C43">
              <w:rPr>
                <w:rFonts w:ascii="Century Gothic" w:hAnsi="Century Gothic"/>
                <w:bCs/>
                <w:sz w:val="20"/>
                <w:szCs w:val="20"/>
              </w:rPr>
              <w:t xml:space="preserve"> the levy freeze rate. Provides that, </w:t>
            </w:r>
            <w:proofErr w:type="gramStart"/>
            <w:r w:rsidR="00312DE4" w:rsidRPr="00F02C43">
              <w:rPr>
                <w:rFonts w:ascii="Century Gothic" w:hAnsi="Century Gothic"/>
                <w:bCs/>
                <w:sz w:val="20"/>
                <w:szCs w:val="20"/>
              </w:rPr>
              <w:t>in order to</w:t>
            </w:r>
            <w:proofErr w:type="gramEnd"/>
            <w:r w:rsidR="00312DE4" w:rsidRPr="00F02C43">
              <w:rPr>
                <w:rFonts w:ascii="Century Gothic" w:hAnsi="Century Gothic"/>
                <w:bCs/>
                <w:sz w:val="20"/>
                <w:szCs w:val="20"/>
              </w:rPr>
              <w:t xml:space="preserve"> continue to impose an expenditure tax rate after 2027, each county must adopt a new ordinance on or before October 1, 2027, to impose the rate. Provides that, for counties that fail to adopt an ordinance to renew an existing expenditure tax rate in 2027, the expenditure tax rate for the county in 2028 shall be the minimum tax rate necessary for existing debt service. Specifies that this does not prevent the county from renewing, </w:t>
            </w:r>
            <w:r w:rsidR="00312DE4" w:rsidRPr="00F02C43">
              <w:rPr>
                <w:rFonts w:ascii="Century Gothic" w:hAnsi="Century Gothic"/>
                <w:bCs/>
                <w:sz w:val="20"/>
                <w:szCs w:val="20"/>
              </w:rPr>
              <w:lastRenderedPageBreak/>
              <w:t xml:space="preserve">imposing, or modifying an expenditure tax rate in subsequent years. </w:t>
            </w:r>
          </w:p>
          <w:p w14:paraId="0120D361" w14:textId="77777777" w:rsidR="00E56F5C" w:rsidRDefault="00E56F5C" w:rsidP="00312DE4">
            <w:pPr>
              <w:spacing w:after="0" w:line="240" w:lineRule="auto"/>
              <w:rPr>
                <w:rFonts w:ascii="Century Gothic" w:hAnsi="Century Gothic"/>
                <w:bCs/>
                <w:sz w:val="20"/>
                <w:szCs w:val="20"/>
              </w:rPr>
            </w:pPr>
          </w:p>
          <w:p w14:paraId="2410888C" w14:textId="1529D6C4" w:rsidR="00F328C5"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t xml:space="preserve">Eliminates local income tax councils beginning July 1, 2027, and instead provides that the county fiscal body is the adopting body in all counties for purposes of the county LIT, and the city or town fiscal body is the adopting body in the case of a municipal LIT. Establishes the state and local income tax holding account within the state general fund for purposes of LIT distributions. Requires the budget agency to maintain an accounting for each county imposing a county LIT based on annual returns filed by or for county taxpayers (same as current law). Requires undistributed amounts so accounted to be held for purposes of the state and local income tax holding account beginning after December 31, 2026. (Under current law, undistributed amounts are required to be held in reserve separate from the state general fund.) </w:t>
            </w:r>
          </w:p>
          <w:p w14:paraId="78387D1D" w14:textId="77777777" w:rsidR="00F328C5" w:rsidRDefault="00F328C5" w:rsidP="00312DE4">
            <w:pPr>
              <w:spacing w:after="0" w:line="240" w:lineRule="auto"/>
              <w:rPr>
                <w:rFonts w:ascii="Century Gothic" w:hAnsi="Century Gothic"/>
                <w:bCs/>
                <w:sz w:val="20"/>
                <w:szCs w:val="20"/>
              </w:rPr>
            </w:pPr>
          </w:p>
          <w:p w14:paraId="5B242FB4" w14:textId="77777777" w:rsidR="00F328C5"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t xml:space="preserve">Requires the budget agency to present each December to the budget committee a report of the following: (1) An estimate of the monthly certified distribution amounts for the immediately succeeding calendar year. (2) A description of the method used to determine the monthly estimates. Beginning in 2028, </w:t>
            </w:r>
            <w:proofErr w:type="gramStart"/>
            <w:r w:rsidRPr="00F02C43">
              <w:rPr>
                <w:rFonts w:ascii="Century Gothic" w:hAnsi="Century Gothic"/>
                <w:bCs/>
                <w:sz w:val="20"/>
                <w:szCs w:val="20"/>
              </w:rPr>
              <w:t>requires the budget agency to make</w:t>
            </w:r>
            <w:proofErr w:type="gramEnd"/>
            <w:r w:rsidRPr="00F02C43">
              <w:rPr>
                <w:rFonts w:ascii="Century Gothic" w:hAnsi="Century Gothic"/>
                <w:bCs/>
                <w:sz w:val="20"/>
                <w:szCs w:val="20"/>
              </w:rPr>
              <w:t xml:space="preserve"> monthly transfers to the state and local income tax holding account of the amount determined for the month in the budget agency's report to the budget committee. Repeals a provision that requires the budget agency to adjust the certified distribution of a county for the succeeding year following a tax rate change. </w:t>
            </w:r>
          </w:p>
          <w:p w14:paraId="3C95ED98" w14:textId="77777777" w:rsidR="00F328C5" w:rsidRDefault="00F328C5" w:rsidP="00312DE4">
            <w:pPr>
              <w:spacing w:after="0" w:line="240" w:lineRule="auto"/>
              <w:rPr>
                <w:rFonts w:ascii="Century Gothic" w:hAnsi="Century Gothic"/>
                <w:bCs/>
                <w:sz w:val="20"/>
                <w:szCs w:val="20"/>
              </w:rPr>
            </w:pPr>
          </w:p>
          <w:p w14:paraId="663501CB" w14:textId="555ACC2F" w:rsidR="00312DE4" w:rsidRPr="00CC0B1A" w:rsidRDefault="00312DE4" w:rsidP="00312DE4">
            <w:pPr>
              <w:spacing w:after="0" w:line="240" w:lineRule="auto"/>
              <w:rPr>
                <w:rFonts w:ascii="Century Gothic" w:hAnsi="Century Gothic"/>
                <w:bCs/>
                <w:sz w:val="20"/>
                <w:szCs w:val="20"/>
              </w:rPr>
            </w:pPr>
            <w:r w:rsidRPr="00F02C43">
              <w:rPr>
                <w:rFonts w:ascii="Century Gothic" w:hAnsi="Century Gothic"/>
                <w:bCs/>
                <w:sz w:val="20"/>
                <w:szCs w:val="20"/>
              </w:rPr>
              <w:t xml:space="preserve">Requires the department to develop and maintain a property tax transparency portal through which taxpayers may: (1) compare the property tax liability in their current tax statement compared to their potential property tax liability based on changes under a proposed tax rate; and (2) </w:t>
            </w:r>
            <w:proofErr w:type="gramStart"/>
            <w:r w:rsidRPr="00F02C43">
              <w:rPr>
                <w:rFonts w:ascii="Century Gothic" w:hAnsi="Century Gothic"/>
                <w:bCs/>
                <w:sz w:val="20"/>
                <w:szCs w:val="20"/>
              </w:rPr>
              <w:t>provide taxpayer</w:t>
            </w:r>
            <w:proofErr w:type="gramEnd"/>
            <w:r w:rsidRPr="00F02C43">
              <w:rPr>
                <w:rFonts w:ascii="Century Gothic" w:hAnsi="Century Gothic"/>
                <w:bCs/>
                <w:sz w:val="20"/>
                <w:szCs w:val="20"/>
              </w:rPr>
              <w:t xml:space="preserve"> feedback to the department. </w:t>
            </w:r>
          </w:p>
        </w:tc>
        <w:tc>
          <w:tcPr>
            <w:tcW w:w="1530" w:type="dxa"/>
            <w:tcBorders>
              <w:top w:val="single" w:sz="4" w:space="0" w:color="auto"/>
              <w:left w:val="single" w:sz="4" w:space="0" w:color="auto"/>
              <w:bottom w:val="single" w:sz="4" w:space="0" w:color="auto"/>
              <w:right w:val="single" w:sz="4" w:space="0" w:color="auto"/>
            </w:tcBorders>
          </w:tcPr>
          <w:p w14:paraId="0A18B679" w14:textId="58D57450" w:rsidR="00C46DE0" w:rsidRDefault="00C46DE0" w:rsidP="00613ECE">
            <w:pPr>
              <w:spacing w:after="0" w:line="240" w:lineRule="auto"/>
              <w:jc w:val="both"/>
              <w:rPr>
                <w:rFonts w:ascii="Century Gothic" w:hAnsi="Century Gothic"/>
                <w:bCs/>
                <w:sz w:val="20"/>
                <w:szCs w:val="20"/>
              </w:rPr>
            </w:pPr>
            <w:r>
              <w:rPr>
                <w:rFonts w:ascii="Century Gothic" w:hAnsi="Century Gothic"/>
                <w:bCs/>
                <w:sz w:val="20"/>
                <w:szCs w:val="20"/>
              </w:rPr>
              <w:lastRenderedPageBreak/>
              <w:t>U</w:t>
            </w:r>
            <w:r w:rsidR="00240842">
              <w:rPr>
                <w:rFonts w:ascii="Century Gothic" w:hAnsi="Century Gothic"/>
                <w:bCs/>
                <w:sz w:val="20"/>
                <w:szCs w:val="20"/>
              </w:rPr>
              <w:t>pon passage</w:t>
            </w:r>
          </w:p>
          <w:p w14:paraId="09571200" w14:textId="77777777" w:rsidR="00C46DE0" w:rsidRDefault="00C46DE0" w:rsidP="00613ECE">
            <w:pPr>
              <w:spacing w:after="0" w:line="240" w:lineRule="auto"/>
              <w:jc w:val="both"/>
              <w:rPr>
                <w:rFonts w:ascii="Century Gothic" w:hAnsi="Century Gothic"/>
                <w:bCs/>
                <w:sz w:val="20"/>
                <w:szCs w:val="20"/>
              </w:rPr>
            </w:pPr>
          </w:p>
          <w:p w14:paraId="5F95E4BA" w14:textId="77777777" w:rsidR="00C46DE0" w:rsidRDefault="00C46DE0" w:rsidP="00613ECE">
            <w:pPr>
              <w:spacing w:after="0" w:line="240" w:lineRule="auto"/>
              <w:jc w:val="both"/>
              <w:rPr>
                <w:rFonts w:ascii="Century Gothic" w:hAnsi="Century Gothic"/>
                <w:bCs/>
                <w:sz w:val="20"/>
                <w:szCs w:val="20"/>
              </w:rPr>
            </w:pPr>
          </w:p>
          <w:p w14:paraId="5B470E6E" w14:textId="77777777" w:rsidR="00C46DE0" w:rsidRDefault="00C46DE0" w:rsidP="00613ECE">
            <w:pPr>
              <w:spacing w:after="0" w:line="240" w:lineRule="auto"/>
              <w:jc w:val="both"/>
              <w:rPr>
                <w:rFonts w:ascii="Century Gothic" w:hAnsi="Century Gothic"/>
                <w:bCs/>
                <w:sz w:val="20"/>
                <w:szCs w:val="20"/>
              </w:rPr>
            </w:pPr>
          </w:p>
          <w:p w14:paraId="62719F0E" w14:textId="77777777" w:rsidR="00C46DE0" w:rsidRDefault="00C46DE0" w:rsidP="00613ECE">
            <w:pPr>
              <w:spacing w:after="0" w:line="240" w:lineRule="auto"/>
              <w:jc w:val="both"/>
              <w:rPr>
                <w:rFonts w:ascii="Century Gothic" w:hAnsi="Century Gothic"/>
                <w:bCs/>
                <w:sz w:val="20"/>
                <w:szCs w:val="20"/>
              </w:rPr>
            </w:pPr>
          </w:p>
          <w:p w14:paraId="79A3EE6B" w14:textId="77777777" w:rsidR="00C46DE0" w:rsidRDefault="00C46DE0" w:rsidP="00613ECE">
            <w:pPr>
              <w:spacing w:after="0" w:line="240" w:lineRule="auto"/>
              <w:jc w:val="both"/>
              <w:rPr>
                <w:rFonts w:ascii="Century Gothic" w:hAnsi="Century Gothic"/>
                <w:bCs/>
                <w:sz w:val="20"/>
                <w:szCs w:val="20"/>
              </w:rPr>
            </w:pPr>
          </w:p>
          <w:p w14:paraId="5B55B091" w14:textId="77777777" w:rsidR="00C46DE0" w:rsidRDefault="00C46DE0" w:rsidP="00613ECE">
            <w:pPr>
              <w:spacing w:after="0" w:line="240" w:lineRule="auto"/>
              <w:jc w:val="both"/>
              <w:rPr>
                <w:rFonts w:ascii="Century Gothic" w:hAnsi="Century Gothic"/>
                <w:bCs/>
                <w:sz w:val="20"/>
                <w:szCs w:val="20"/>
              </w:rPr>
            </w:pPr>
          </w:p>
          <w:p w14:paraId="62DF621D" w14:textId="77777777" w:rsidR="00C46DE0" w:rsidRDefault="00C46DE0" w:rsidP="00613ECE">
            <w:pPr>
              <w:spacing w:after="0" w:line="240" w:lineRule="auto"/>
              <w:jc w:val="both"/>
              <w:rPr>
                <w:rFonts w:ascii="Century Gothic" w:hAnsi="Century Gothic"/>
                <w:bCs/>
                <w:sz w:val="20"/>
                <w:szCs w:val="20"/>
              </w:rPr>
            </w:pPr>
          </w:p>
          <w:p w14:paraId="2AF9DFB1" w14:textId="77777777" w:rsidR="00C46DE0" w:rsidRDefault="00C46DE0" w:rsidP="00613ECE">
            <w:pPr>
              <w:spacing w:after="0" w:line="240" w:lineRule="auto"/>
              <w:jc w:val="both"/>
              <w:rPr>
                <w:rFonts w:ascii="Century Gothic" w:hAnsi="Century Gothic"/>
                <w:bCs/>
                <w:sz w:val="20"/>
                <w:szCs w:val="20"/>
              </w:rPr>
            </w:pPr>
          </w:p>
          <w:p w14:paraId="65291F27" w14:textId="77777777" w:rsidR="00C46DE0" w:rsidRDefault="00C46DE0" w:rsidP="00613ECE">
            <w:pPr>
              <w:spacing w:after="0" w:line="240" w:lineRule="auto"/>
              <w:jc w:val="both"/>
              <w:rPr>
                <w:rFonts w:ascii="Century Gothic" w:hAnsi="Century Gothic"/>
                <w:bCs/>
                <w:sz w:val="20"/>
                <w:szCs w:val="20"/>
              </w:rPr>
            </w:pPr>
          </w:p>
          <w:p w14:paraId="21929DD9" w14:textId="77777777" w:rsidR="00C46DE0" w:rsidRDefault="00C46DE0" w:rsidP="00613ECE">
            <w:pPr>
              <w:spacing w:after="0" w:line="240" w:lineRule="auto"/>
              <w:jc w:val="both"/>
              <w:rPr>
                <w:rFonts w:ascii="Century Gothic" w:hAnsi="Century Gothic"/>
                <w:bCs/>
                <w:sz w:val="20"/>
                <w:szCs w:val="20"/>
              </w:rPr>
            </w:pPr>
          </w:p>
          <w:p w14:paraId="3B1B6D1F" w14:textId="77777777" w:rsidR="00AB2D1F" w:rsidRDefault="00AB2D1F" w:rsidP="00613ECE">
            <w:pPr>
              <w:spacing w:after="0" w:line="240" w:lineRule="auto"/>
              <w:jc w:val="both"/>
              <w:rPr>
                <w:rFonts w:ascii="Century Gothic" w:hAnsi="Century Gothic"/>
                <w:bCs/>
                <w:sz w:val="20"/>
                <w:szCs w:val="20"/>
              </w:rPr>
            </w:pPr>
          </w:p>
          <w:p w14:paraId="7DB9592A" w14:textId="77777777" w:rsidR="00561960" w:rsidRDefault="00561960" w:rsidP="00613ECE">
            <w:pPr>
              <w:spacing w:after="0" w:line="240" w:lineRule="auto"/>
              <w:jc w:val="both"/>
              <w:rPr>
                <w:rFonts w:ascii="Century Gothic" w:hAnsi="Century Gothic"/>
                <w:bCs/>
                <w:sz w:val="20"/>
                <w:szCs w:val="20"/>
              </w:rPr>
            </w:pPr>
          </w:p>
          <w:p w14:paraId="24050D49" w14:textId="77777777" w:rsidR="00AB2D1F" w:rsidRDefault="00AB2D1F" w:rsidP="00613ECE">
            <w:pPr>
              <w:spacing w:after="0" w:line="240" w:lineRule="auto"/>
              <w:jc w:val="both"/>
              <w:rPr>
                <w:rFonts w:ascii="Century Gothic" w:hAnsi="Century Gothic"/>
                <w:bCs/>
                <w:sz w:val="20"/>
                <w:szCs w:val="20"/>
              </w:rPr>
            </w:pPr>
          </w:p>
          <w:p w14:paraId="2AB3B280" w14:textId="77777777" w:rsidR="00AB2D1F" w:rsidRDefault="00AB2D1F" w:rsidP="00613ECE">
            <w:pPr>
              <w:spacing w:after="0" w:line="240" w:lineRule="auto"/>
              <w:jc w:val="both"/>
              <w:rPr>
                <w:rFonts w:ascii="Century Gothic" w:hAnsi="Century Gothic"/>
                <w:bCs/>
                <w:sz w:val="20"/>
                <w:szCs w:val="20"/>
              </w:rPr>
            </w:pPr>
          </w:p>
          <w:p w14:paraId="3376A76C" w14:textId="77777777" w:rsidR="00AB2D1F" w:rsidRDefault="00AB2D1F" w:rsidP="00613ECE">
            <w:pPr>
              <w:spacing w:after="0" w:line="240" w:lineRule="auto"/>
              <w:jc w:val="both"/>
              <w:rPr>
                <w:rFonts w:ascii="Century Gothic" w:hAnsi="Century Gothic"/>
                <w:bCs/>
                <w:sz w:val="20"/>
                <w:szCs w:val="20"/>
              </w:rPr>
            </w:pPr>
          </w:p>
          <w:p w14:paraId="423C8384" w14:textId="77777777" w:rsidR="00561960" w:rsidRDefault="00561960" w:rsidP="00613ECE">
            <w:pPr>
              <w:spacing w:after="0" w:line="240" w:lineRule="auto"/>
              <w:jc w:val="both"/>
              <w:rPr>
                <w:rFonts w:ascii="Century Gothic" w:hAnsi="Century Gothic"/>
                <w:bCs/>
                <w:sz w:val="20"/>
                <w:szCs w:val="20"/>
              </w:rPr>
            </w:pPr>
          </w:p>
          <w:p w14:paraId="3609593E" w14:textId="77777777" w:rsidR="00561960" w:rsidRDefault="00561960" w:rsidP="00613ECE">
            <w:pPr>
              <w:spacing w:after="0" w:line="240" w:lineRule="auto"/>
              <w:jc w:val="both"/>
              <w:rPr>
                <w:rFonts w:ascii="Century Gothic" w:hAnsi="Century Gothic"/>
                <w:bCs/>
                <w:sz w:val="20"/>
                <w:szCs w:val="20"/>
              </w:rPr>
            </w:pPr>
          </w:p>
          <w:p w14:paraId="75112765" w14:textId="77777777" w:rsidR="00561960" w:rsidRDefault="00561960" w:rsidP="00613ECE">
            <w:pPr>
              <w:spacing w:after="0" w:line="240" w:lineRule="auto"/>
              <w:jc w:val="both"/>
              <w:rPr>
                <w:rFonts w:ascii="Century Gothic" w:hAnsi="Century Gothic"/>
                <w:bCs/>
                <w:sz w:val="20"/>
                <w:szCs w:val="20"/>
              </w:rPr>
            </w:pPr>
          </w:p>
          <w:p w14:paraId="4F0F3801" w14:textId="77777777" w:rsidR="00561960" w:rsidRDefault="00561960" w:rsidP="00613ECE">
            <w:pPr>
              <w:spacing w:after="0" w:line="240" w:lineRule="auto"/>
              <w:jc w:val="both"/>
              <w:rPr>
                <w:rFonts w:ascii="Century Gothic" w:hAnsi="Century Gothic"/>
                <w:bCs/>
                <w:sz w:val="20"/>
                <w:szCs w:val="20"/>
              </w:rPr>
            </w:pPr>
          </w:p>
          <w:p w14:paraId="74383323" w14:textId="77777777" w:rsidR="00561960" w:rsidRDefault="00561960" w:rsidP="00613ECE">
            <w:pPr>
              <w:spacing w:after="0" w:line="240" w:lineRule="auto"/>
              <w:jc w:val="both"/>
              <w:rPr>
                <w:rFonts w:ascii="Century Gothic" w:hAnsi="Century Gothic"/>
                <w:bCs/>
                <w:sz w:val="20"/>
                <w:szCs w:val="20"/>
              </w:rPr>
            </w:pPr>
          </w:p>
          <w:p w14:paraId="6FAF06D8" w14:textId="77777777" w:rsidR="00561960" w:rsidRDefault="00561960" w:rsidP="00613ECE">
            <w:pPr>
              <w:spacing w:after="0" w:line="240" w:lineRule="auto"/>
              <w:jc w:val="both"/>
              <w:rPr>
                <w:rFonts w:ascii="Century Gothic" w:hAnsi="Century Gothic"/>
                <w:bCs/>
                <w:sz w:val="20"/>
                <w:szCs w:val="20"/>
              </w:rPr>
            </w:pPr>
          </w:p>
          <w:p w14:paraId="1644AD45" w14:textId="6F3B080A" w:rsidR="00561960" w:rsidRDefault="004E2D0A" w:rsidP="00613ECE">
            <w:pPr>
              <w:spacing w:after="0" w:line="240" w:lineRule="auto"/>
              <w:jc w:val="both"/>
              <w:rPr>
                <w:rFonts w:ascii="Century Gothic" w:hAnsi="Century Gothic"/>
                <w:bCs/>
                <w:sz w:val="20"/>
                <w:szCs w:val="20"/>
              </w:rPr>
            </w:pPr>
            <w:r>
              <w:rPr>
                <w:rFonts w:ascii="Century Gothic" w:hAnsi="Century Gothic"/>
                <w:bCs/>
                <w:sz w:val="20"/>
                <w:szCs w:val="20"/>
              </w:rPr>
              <w:t xml:space="preserve">Retroactive to January </w:t>
            </w:r>
            <w:r w:rsidR="00994DB9">
              <w:rPr>
                <w:rFonts w:ascii="Century Gothic" w:hAnsi="Century Gothic"/>
                <w:bCs/>
                <w:sz w:val="20"/>
                <w:szCs w:val="20"/>
              </w:rPr>
              <w:t>1, 2025</w:t>
            </w:r>
          </w:p>
          <w:p w14:paraId="211CB79C" w14:textId="77777777" w:rsidR="00561960" w:rsidRDefault="00561960" w:rsidP="00613ECE">
            <w:pPr>
              <w:spacing w:after="0" w:line="240" w:lineRule="auto"/>
              <w:jc w:val="both"/>
              <w:rPr>
                <w:rFonts w:ascii="Century Gothic" w:hAnsi="Century Gothic"/>
                <w:bCs/>
                <w:sz w:val="20"/>
                <w:szCs w:val="20"/>
              </w:rPr>
            </w:pPr>
          </w:p>
          <w:p w14:paraId="03AC53D9" w14:textId="77777777" w:rsidR="00AB2D1F" w:rsidRDefault="00AB2D1F" w:rsidP="00613ECE">
            <w:pPr>
              <w:spacing w:after="0" w:line="240" w:lineRule="auto"/>
              <w:jc w:val="both"/>
              <w:rPr>
                <w:rFonts w:ascii="Century Gothic" w:hAnsi="Century Gothic"/>
                <w:bCs/>
                <w:sz w:val="20"/>
                <w:szCs w:val="20"/>
              </w:rPr>
            </w:pPr>
          </w:p>
          <w:p w14:paraId="38B233A6" w14:textId="77777777" w:rsidR="00AB2D1F" w:rsidRDefault="00AB2D1F" w:rsidP="00613ECE">
            <w:pPr>
              <w:spacing w:after="0" w:line="240" w:lineRule="auto"/>
              <w:jc w:val="both"/>
              <w:rPr>
                <w:rFonts w:ascii="Century Gothic" w:hAnsi="Century Gothic"/>
                <w:bCs/>
                <w:sz w:val="20"/>
                <w:szCs w:val="20"/>
              </w:rPr>
            </w:pPr>
          </w:p>
          <w:p w14:paraId="312AC32B" w14:textId="77777777" w:rsidR="00AB2D1F" w:rsidRDefault="00AB2D1F" w:rsidP="00613ECE">
            <w:pPr>
              <w:spacing w:after="0" w:line="240" w:lineRule="auto"/>
              <w:jc w:val="both"/>
              <w:rPr>
                <w:rFonts w:ascii="Century Gothic" w:hAnsi="Century Gothic"/>
                <w:bCs/>
                <w:sz w:val="20"/>
                <w:szCs w:val="20"/>
              </w:rPr>
            </w:pPr>
          </w:p>
          <w:p w14:paraId="74F87B20" w14:textId="77777777" w:rsidR="00AB2D1F" w:rsidRDefault="00AB2D1F" w:rsidP="00613ECE">
            <w:pPr>
              <w:spacing w:after="0" w:line="240" w:lineRule="auto"/>
              <w:jc w:val="both"/>
              <w:rPr>
                <w:rFonts w:ascii="Century Gothic" w:hAnsi="Century Gothic"/>
                <w:bCs/>
                <w:sz w:val="20"/>
                <w:szCs w:val="20"/>
              </w:rPr>
            </w:pPr>
          </w:p>
          <w:p w14:paraId="240324E2" w14:textId="77777777" w:rsidR="00AB2D1F" w:rsidRDefault="00AB2D1F" w:rsidP="00613ECE">
            <w:pPr>
              <w:spacing w:after="0" w:line="240" w:lineRule="auto"/>
              <w:jc w:val="both"/>
              <w:rPr>
                <w:rFonts w:ascii="Century Gothic" w:hAnsi="Century Gothic"/>
                <w:bCs/>
                <w:sz w:val="20"/>
                <w:szCs w:val="20"/>
              </w:rPr>
            </w:pPr>
          </w:p>
          <w:p w14:paraId="5E13F195" w14:textId="77777777" w:rsidR="00AB2D1F" w:rsidRDefault="00AB2D1F" w:rsidP="00613ECE">
            <w:pPr>
              <w:spacing w:after="0" w:line="240" w:lineRule="auto"/>
              <w:jc w:val="both"/>
              <w:rPr>
                <w:rFonts w:ascii="Century Gothic" w:hAnsi="Century Gothic"/>
                <w:bCs/>
                <w:sz w:val="20"/>
                <w:szCs w:val="20"/>
              </w:rPr>
            </w:pPr>
          </w:p>
          <w:p w14:paraId="19BA5A0A" w14:textId="77777777" w:rsidR="00AB2D1F" w:rsidRDefault="00AB2D1F" w:rsidP="00613ECE">
            <w:pPr>
              <w:spacing w:after="0" w:line="240" w:lineRule="auto"/>
              <w:jc w:val="both"/>
              <w:rPr>
                <w:rFonts w:ascii="Century Gothic" w:hAnsi="Century Gothic"/>
                <w:bCs/>
                <w:sz w:val="20"/>
                <w:szCs w:val="20"/>
              </w:rPr>
            </w:pPr>
          </w:p>
          <w:p w14:paraId="20A9A6E2" w14:textId="77777777" w:rsidR="00AB2D1F" w:rsidRDefault="00AB2D1F" w:rsidP="00613ECE">
            <w:pPr>
              <w:spacing w:after="0" w:line="240" w:lineRule="auto"/>
              <w:jc w:val="both"/>
              <w:rPr>
                <w:rFonts w:ascii="Century Gothic" w:hAnsi="Century Gothic"/>
                <w:bCs/>
                <w:sz w:val="20"/>
                <w:szCs w:val="20"/>
              </w:rPr>
            </w:pPr>
          </w:p>
          <w:p w14:paraId="226ADCC4" w14:textId="2BD1F5CA" w:rsidR="007E4ECB" w:rsidRDefault="00250CCF" w:rsidP="00250CCF">
            <w:pPr>
              <w:spacing w:after="0" w:line="240" w:lineRule="auto"/>
              <w:rPr>
                <w:rFonts w:ascii="Century Gothic" w:hAnsi="Century Gothic"/>
                <w:bCs/>
                <w:sz w:val="20"/>
                <w:szCs w:val="20"/>
              </w:rPr>
            </w:pPr>
            <w:r>
              <w:rPr>
                <w:rFonts w:ascii="Century Gothic" w:hAnsi="Century Gothic"/>
                <w:bCs/>
                <w:sz w:val="20"/>
                <w:szCs w:val="20"/>
              </w:rPr>
              <w:t xml:space="preserve">Retroactive to January 1, 2025  </w:t>
            </w:r>
          </w:p>
          <w:p w14:paraId="4AB279BD" w14:textId="77777777" w:rsidR="007E4ECB" w:rsidRDefault="007E4ECB" w:rsidP="00613ECE">
            <w:pPr>
              <w:spacing w:after="0" w:line="240" w:lineRule="auto"/>
              <w:jc w:val="both"/>
              <w:rPr>
                <w:rFonts w:ascii="Century Gothic" w:hAnsi="Century Gothic"/>
                <w:bCs/>
                <w:sz w:val="20"/>
                <w:szCs w:val="20"/>
              </w:rPr>
            </w:pPr>
          </w:p>
          <w:p w14:paraId="470FF1CB" w14:textId="77777777" w:rsidR="007E4ECB" w:rsidRDefault="007E4ECB" w:rsidP="00613ECE">
            <w:pPr>
              <w:spacing w:after="0" w:line="240" w:lineRule="auto"/>
              <w:jc w:val="both"/>
              <w:rPr>
                <w:rFonts w:ascii="Century Gothic" w:hAnsi="Century Gothic"/>
                <w:bCs/>
                <w:sz w:val="20"/>
                <w:szCs w:val="20"/>
              </w:rPr>
            </w:pPr>
          </w:p>
          <w:p w14:paraId="3A5ACF1E" w14:textId="77777777" w:rsidR="00B16BA4" w:rsidRDefault="00B16BA4" w:rsidP="00613ECE">
            <w:pPr>
              <w:spacing w:after="0" w:line="240" w:lineRule="auto"/>
              <w:jc w:val="both"/>
              <w:rPr>
                <w:rFonts w:ascii="Century Gothic" w:hAnsi="Century Gothic"/>
                <w:bCs/>
                <w:sz w:val="20"/>
                <w:szCs w:val="20"/>
              </w:rPr>
            </w:pPr>
          </w:p>
          <w:p w14:paraId="0FEBBE0A" w14:textId="77777777" w:rsidR="00561960" w:rsidRDefault="00561960" w:rsidP="00613ECE">
            <w:pPr>
              <w:spacing w:after="0" w:line="240" w:lineRule="auto"/>
              <w:jc w:val="both"/>
              <w:rPr>
                <w:rFonts w:ascii="Century Gothic" w:hAnsi="Century Gothic"/>
                <w:bCs/>
                <w:sz w:val="20"/>
                <w:szCs w:val="20"/>
              </w:rPr>
            </w:pPr>
          </w:p>
          <w:p w14:paraId="2C70E6BD" w14:textId="7ABC6B85" w:rsidR="00561960" w:rsidRDefault="00483C16" w:rsidP="00613ECE">
            <w:pPr>
              <w:spacing w:after="0" w:line="240" w:lineRule="auto"/>
              <w:jc w:val="both"/>
              <w:rPr>
                <w:rFonts w:ascii="Century Gothic" w:hAnsi="Century Gothic"/>
                <w:bCs/>
                <w:sz w:val="20"/>
                <w:szCs w:val="20"/>
              </w:rPr>
            </w:pPr>
            <w:r>
              <w:rPr>
                <w:rFonts w:ascii="Century Gothic" w:hAnsi="Century Gothic"/>
                <w:bCs/>
                <w:sz w:val="20"/>
                <w:szCs w:val="20"/>
              </w:rPr>
              <w:lastRenderedPageBreak/>
              <w:t>July 1, 2025</w:t>
            </w:r>
          </w:p>
          <w:p w14:paraId="6AE4F6A4" w14:textId="77777777" w:rsidR="00561960" w:rsidRDefault="00561960" w:rsidP="00613ECE">
            <w:pPr>
              <w:spacing w:after="0" w:line="240" w:lineRule="auto"/>
              <w:jc w:val="both"/>
              <w:rPr>
                <w:rFonts w:ascii="Century Gothic" w:hAnsi="Century Gothic"/>
                <w:bCs/>
                <w:sz w:val="20"/>
                <w:szCs w:val="20"/>
              </w:rPr>
            </w:pPr>
          </w:p>
          <w:p w14:paraId="08E49DED" w14:textId="77777777" w:rsidR="00561960" w:rsidRDefault="00561960" w:rsidP="00613ECE">
            <w:pPr>
              <w:spacing w:after="0" w:line="240" w:lineRule="auto"/>
              <w:jc w:val="both"/>
              <w:rPr>
                <w:rFonts w:ascii="Century Gothic" w:hAnsi="Century Gothic"/>
                <w:bCs/>
                <w:sz w:val="20"/>
                <w:szCs w:val="20"/>
              </w:rPr>
            </w:pPr>
          </w:p>
          <w:p w14:paraId="0BDCC632" w14:textId="77777777" w:rsidR="00561960" w:rsidRDefault="00561960" w:rsidP="00613ECE">
            <w:pPr>
              <w:spacing w:after="0" w:line="240" w:lineRule="auto"/>
              <w:jc w:val="both"/>
              <w:rPr>
                <w:rFonts w:ascii="Century Gothic" w:hAnsi="Century Gothic"/>
                <w:bCs/>
                <w:sz w:val="20"/>
                <w:szCs w:val="20"/>
              </w:rPr>
            </w:pPr>
          </w:p>
          <w:p w14:paraId="7B071412" w14:textId="77777777" w:rsidR="00561960" w:rsidRDefault="00561960" w:rsidP="00613ECE">
            <w:pPr>
              <w:spacing w:after="0" w:line="240" w:lineRule="auto"/>
              <w:jc w:val="both"/>
              <w:rPr>
                <w:rFonts w:ascii="Century Gothic" w:hAnsi="Century Gothic"/>
                <w:bCs/>
                <w:sz w:val="20"/>
                <w:szCs w:val="20"/>
              </w:rPr>
            </w:pPr>
          </w:p>
          <w:p w14:paraId="03EED984" w14:textId="77777777" w:rsidR="00561960" w:rsidRDefault="00561960" w:rsidP="00613ECE">
            <w:pPr>
              <w:spacing w:after="0" w:line="240" w:lineRule="auto"/>
              <w:jc w:val="both"/>
              <w:rPr>
                <w:rFonts w:ascii="Century Gothic" w:hAnsi="Century Gothic"/>
                <w:bCs/>
                <w:sz w:val="20"/>
                <w:szCs w:val="20"/>
              </w:rPr>
            </w:pPr>
          </w:p>
          <w:p w14:paraId="1900DF22" w14:textId="77777777" w:rsidR="00561960" w:rsidRDefault="00561960" w:rsidP="00613ECE">
            <w:pPr>
              <w:spacing w:after="0" w:line="240" w:lineRule="auto"/>
              <w:jc w:val="both"/>
              <w:rPr>
                <w:rFonts w:ascii="Century Gothic" w:hAnsi="Century Gothic"/>
                <w:bCs/>
                <w:sz w:val="20"/>
                <w:szCs w:val="20"/>
              </w:rPr>
            </w:pPr>
          </w:p>
          <w:p w14:paraId="3B03791A" w14:textId="77777777" w:rsidR="00561960" w:rsidRDefault="00561960" w:rsidP="00613ECE">
            <w:pPr>
              <w:spacing w:after="0" w:line="240" w:lineRule="auto"/>
              <w:jc w:val="both"/>
              <w:rPr>
                <w:rFonts w:ascii="Century Gothic" w:hAnsi="Century Gothic"/>
                <w:bCs/>
                <w:sz w:val="20"/>
                <w:szCs w:val="20"/>
              </w:rPr>
            </w:pPr>
          </w:p>
          <w:p w14:paraId="1B50D247" w14:textId="77777777" w:rsidR="00561960" w:rsidRDefault="00561960" w:rsidP="00613ECE">
            <w:pPr>
              <w:spacing w:after="0" w:line="240" w:lineRule="auto"/>
              <w:jc w:val="both"/>
              <w:rPr>
                <w:rFonts w:ascii="Century Gothic" w:hAnsi="Century Gothic"/>
                <w:bCs/>
                <w:sz w:val="20"/>
                <w:szCs w:val="20"/>
              </w:rPr>
            </w:pPr>
          </w:p>
          <w:p w14:paraId="378A0841" w14:textId="77777777" w:rsidR="00561960" w:rsidRDefault="00561960" w:rsidP="00613ECE">
            <w:pPr>
              <w:spacing w:after="0" w:line="240" w:lineRule="auto"/>
              <w:jc w:val="both"/>
              <w:rPr>
                <w:rFonts w:ascii="Century Gothic" w:hAnsi="Century Gothic"/>
                <w:bCs/>
                <w:sz w:val="20"/>
                <w:szCs w:val="20"/>
              </w:rPr>
            </w:pPr>
          </w:p>
          <w:p w14:paraId="451FB82E" w14:textId="77777777" w:rsidR="00561960" w:rsidRDefault="00561960" w:rsidP="00613ECE">
            <w:pPr>
              <w:spacing w:after="0" w:line="240" w:lineRule="auto"/>
              <w:jc w:val="both"/>
              <w:rPr>
                <w:rFonts w:ascii="Century Gothic" w:hAnsi="Century Gothic"/>
                <w:bCs/>
                <w:sz w:val="20"/>
                <w:szCs w:val="20"/>
              </w:rPr>
            </w:pPr>
          </w:p>
          <w:p w14:paraId="568C848D" w14:textId="77777777" w:rsidR="00561960" w:rsidRDefault="00561960" w:rsidP="00613ECE">
            <w:pPr>
              <w:spacing w:after="0" w:line="240" w:lineRule="auto"/>
              <w:jc w:val="both"/>
              <w:rPr>
                <w:rFonts w:ascii="Century Gothic" w:hAnsi="Century Gothic"/>
                <w:bCs/>
                <w:sz w:val="20"/>
                <w:szCs w:val="20"/>
              </w:rPr>
            </w:pPr>
          </w:p>
          <w:p w14:paraId="31487547" w14:textId="77777777" w:rsidR="00561960" w:rsidRDefault="00561960" w:rsidP="00613ECE">
            <w:pPr>
              <w:spacing w:after="0" w:line="240" w:lineRule="auto"/>
              <w:jc w:val="both"/>
              <w:rPr>
                <w:rFonts w:ascii="Century Gothic" w:hAnsi="Century Gothic"/>
                <w:bCs/>
                <w:sz w:val="20"/>
                <w:szCs w:val="20"/>
              </w:rPr>
            </w:pPr>
          </w:p>
          <w:p w14:paraId="66E2C82A" w14:textId="4F7B6186" w:rsidR="00561960" w:rsidRDefault="00CE23EF" w:rsidP="00CE23EF">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398CE379" w14:textId="77777777" w:rsidR="00561960" w:rsidRDefault="00561960" w:rsidP="00613ECE">
            <w:pPr>
              <w:spacing w:after="0" w:line="240" w:lineRule="auto"/>
              <w:jc w:val="both"/>
              <w:rPr>
                <w:rFonts w:ascii="Century Gothic" w:hAnsi="Century Gothic"/>
                <w:bCs/>
                <w:sz w:val="20"/>
                <w:szCs w:val="20"/>
              </w:rPr>
            </w:pPr>
          </w:p>
          <w:p w14:paraId="1FFD811C" w14:textId="77777777" w:rsidR="00561960" w:rsidRDefault="00561960" w:rsidP="00613ECE">
            <w:pPr>
              <w:spacing w:after="0" w:line="240" w:lineRule="auto"/>
              <w:jc w:val="both"/>
              <w:rPr>
                <w:rFonts w:ascii="Century Gothic" w:hAnsi="Century Gothic"/>
                <w:bCs/>
                <w:sz w:val="20"/>
                <w:szCs w:val="20"/>
              </w:rPr>
            </w:pPr>
          </w:p>
          <w:p w14:paraId="7A348D74" w14:textId="77777777" w:rsidR="00561960" w:rsidRDefault="00561960" w:rsidP="00613ECE">
            <w:pPr>
              <w:spacing w:after="0" w:line="240" w:lineRule="auto"/>
              <w:jc w:val="both"/>
              <w:rPr>
                <w:rFonts w:ascii="Century Gothic" w:hAnsi="Century Gothic"/>
                <w:bCs/>
                <w:sz w:val="20"/>
                <w:szCs w:val="20"/>
              </w:rPr>
            </w:pPr>
          </w:p>
          <w:p w14:paraId="67F4A8C5" w14:textId="77777777" w:rsidR="00561960" w:rsidRDefault="00561960" w:rsidP="00613ECE">
            <w:pPr>
              <w:spacing w:after="0" w:line="240" w:lineRule="auto"/>
              <w:jc w:val="both"/>
              <w:rPr>
                <w:rFonts w:ascii="Century Gothic" w:hAnsi="Century Gothic"/>
                <w:bCs/>
                <w:sz w:val="20"/>
                <w:szCs w:val="20"/>
              </w:rPr>
            </w:pPr>
          </w:p>
          <w:p w14:paraId="5B98287E" w14:textId="77777777" w:rsidR="00561960" w:rsidRDefault="00561960" w:rsidP="00613ECE">
            <w:pPr>
              <w:spacing w:after="0" w:line="240" w:lineRule="auto"/>
              <w:jc w:val="both"/>
              <w:rPr>
                <w:rFonts w:ascii="Century Gothic" w:hAnsi="Century Gothic"/>
                <w:bCs/>
                <w:sz w:val="20"/>
                <w:szCs w:val="20"/>
              </w:rPr>
            </w:pPr>
          </w:p>
          <w:p w14:paraId="478BA03F" w14:textId="77777777" w:rsidR="00561960" w:rsidRDefault="00561960" w:rsidP="00613ECE">
            <w:pPr>
              <w:spacing w:after="0" w:line="240" w:lineRule="auto"/>
              <w:jc w:val="both"/>
              <w:rPr>
                <w:rFonts w:ascii="Century Gothic" w:hAnsi="Century Gothic"/>
                <w:bCs/>
                <w:sz w:val="20"/>
                <w:szCs w:val="20"/>
              </w:rPr>
            </w:pPr>
          </w:p>
          <w:p w14:paraId="60800FF3" w14:textId="77777777" w:rsidR="00561960" w:rsidRDefault="00561960" w:rsidP="00613ECE">
            <w:pPr>
              <w:spacing w:after="0" w:line="240" w:lineRule="auto"/>
              <w:jc w:val="both"/>
              <w:rPr>
                <w:rFonts w:ascii="Century Gothic" w:hAnsi="Century Gothic"/>
                <w:bCs/>
                <w:sz w:val="20"/>
                <w:szCs w:val="20"/>
              </w:rPr>
            </w:pPr>
          </w:p>
          <w:p w14:paraId="517C1438" w14:textId="77777777" w:rsidR="00561960" w:rsidRDefault="00561960" w:rsidP="00613ECE">
            <w:pPr>
              <w:spacing w:after="0" w:line="240" w:lineRule="auto"/>
              <w:jc w:val="both"/>
              <w:rPr>
                <w:rFonts w:ascii="Century Gothic" w:hAnsi="Century Gothic"/>
                <w:bCs/>
                <w:sz w:val="20"/>
                <w:szCs w:val="20"/>
              </w:rPr>
            </w:pPr>
          </w:p>
          <w:p w14:paraId="1A4055F9" w14:textId="77777777" w:rsidR="00561960" w:rsidRDefault="00561960" w:rsidP="00613ECE">
            <w:pPr>
              <w:spacing w:after="0" w:line="240" w:lineRule="auto"/>
              <w:jc w:val="both"/>
              <w:rPr>
                <w:rFonts w:ascii="Century Gothic" w:hAnsi="Century Gothic"/>
                <w:bCs/>
                <w:sz w:val="20"/>
                <w:szCs w:val="20"/>
              </w:rPr>
            </w:pPr>
          </w:p>
          <w:p w14:paraId="710B5FBB" w14:textId="77777777" w:rsidR="00561960" w:rsidRDefault="00561960" w:rsidP="00613ECE">
            <w:pPr>
              <w:spacing w:after="0" w:line="240" w:lineRule="auto"/>
              <w:jc w:val="both"/>
              <w:rPr>
                <w:rFonts w:ascii="Century Gothic" w:hAnsi="Century Gothic"/>
                <w:bCs/>
                <w:sz w:val="20"/>
                <w:szCs w:val="20"/>
              </w:rPr>
            </w:pPr>
          </w:p>
          <w:p w14:paraId="18669008" w14:textId="4B8DB441" w:rsidR="00561960" w:rsidRDefault="00A6219A" w:rsidP="00613ECE">
            <w:pPr>
              <w:spacing w:after="0" w:line="240" w:lineRule="auto"/>
              <w:jc w:val="both"/>
              <w:rPr>
                <w:rFonts w:ascii="Century Gothic" w:hAnsi="Century Gothic"/>
                <w:bCs/>
                <w:sz w:val="20"/>
                <w:szCs w:val="20"/>
              </w:rPr>
            </w:pPr>
            <w:r>
              <w:rPr>
                <w:rFonts w:ascii="Century Gothic" w:hAnsi="Century Gothic"/>
                <w:bCs/>
                <w:sz w:val="20"/>
                <w:szCs w:val="20"/>
              </w:rPr>
              <w:t>July 1, 2027</w:t>
            </w:r>
          </w:p>
          <w:p w14:paraId="53EBD3B1" w14:textId="77777777" w:rsidR="00561960" w:rsidRDefault="00561960" w:rsidP="00613ECE">
            <w:pPr>
              <w:spacing w:after="0" w:line="240" w:lineRule="auto"/>
              <w:jc w:val="both"/>
              <w:rPr>
                <w:rFonts w:ascii="Century Gothic" w:hAnsi="Century Gothic"/>
                <w:bCs/>
                <w:sz w:val="20"/>
                <w:szCs w:val="20"/>
              </w:rPr>
            </w:pPr>
          </w:p>
          <w:p w14:paraId="3B566FD9" w14:textId="77777777" w:rsidR="00561960" w:rsidRDefault="00561960" w:rsidP="00613ECE">
            <w:pPr>
              <w:spacing w:after="0" w:line="240" w:lineRule="auto"/>
              <w:jc w:val="both"/>
              <w:rPr>
                <w:rFonts w:ascii="Century Gothic" w:hAnsi="Century Gothic"/>
                <w:bCs/>
                <w:sz w:val="20"/>
                <w:szCs w:val="20"/>
              </w:rPr>
            </w:pPr>
          </w:p>
          <w:p w14:paraId="6CA85933" w14:textId="77777777" w:rsidR="00561960" w:rsidRDefault="00561960" w:rsidP="00613ECE">
            <w:pPr>
              <w:spacing w:after="0" w:line="240" w:lineRule="auto"/>
              <w:jc w:val="both"/>
              <w:rPr>
                <w:rFonts w:ascii="Century Gothic" w:hAnsi="Century Gothic"/>
                <w:bCs/>
                <w:sz w:val="20"/>
                <w:szCs w:val="20"/>
              </w:rPr>
            </w:pPr>
          </w:p>
          <w:p w14:paraId="00D2647B" w14:textId="77777777" w:rsidR="00561960" w:rsidRDefault="00561960" w:rsidP="00613ECE">
            <w:pPr>
              <w:spacing w:after="0" w:line="240" w:lineRule="auto"/>
              <w:jc w:val="both"/>
              <w:rPr>
                <w:rFonts w:ascii="Century Gothic" w:hAnsi="Century Gothic"/>
                <w:bCs/>
                <w:sz w:val="20"/>
                <w:szCs w:val="20"/>
              </w:rPr>
            </w:pPr>
          </w:p>
          <w:p w14:paraId="2913F8D6" w14:textId="77777777" w:rsidR="00561960" w:rsidRDefault="00561960" w:rsidP="00613ECE">
            <w:pPr>
              <w:spacing w:after="0" w:line="240" w:lineRule="auto"/>
              <w:jc w:val="both"/>
              <w:rPr>
                <w:rFonts w:ascii="Century Gothic" w:hAnsi="Century Gothic"/>
                <w:bCs/>
                <w:sz w:val="20"/>
                <w:szCs w:val="20"/>
              </w:rPr>
            </w:pPr>
          </w:p>
          <w:p w14:paraId="2B2677DC" w14:textId="77777777" w:rsidR="00561960" w:rsidRDefault="00561960" w:rsidP="00613ECE">
            <w:pPr>
              <w:spacing w:after="0" w:line="240" w:lineRule="auto"/>
              <w:jc w:val="both"/>
              <w:rPr>
                <w:rFonts w:ascii="Century Gothic" w:hAnsi="Century Gothic"/>
                <w:bCs/>
                <w:sz w:val="20"/>
                <w:szCs w:val="20"/>
              </w:rPr>
            </w:pPr>
          </w:p>
          <w:p w14:paraId="56063BFB" w14:textId="77777777" w:rsidR="00561960" w:rsidRDefault="00561960" w:rsidP="00613ECE">
            <w:pPr>
              <w:spacing w:after="0" w:line="240" w:lineRule="auto"/>
              <w:jc w:val="both"/>
              <w:rPr>
                <w:rFonts w:ascii="Century Gothic" w:hAnsi="Century Gothic"/>
                <w:bCs/>
                <w:sz w:val="20"/>
                <w:szCs w:val="20"/>
              </w:rPr>
            </w:pPr>
          </w:p>
          <w:p w14:paraId="2277D1C0" w14:textId="77777777" w:rsidR="00561960" w:rsidRDefault="00561960" w:rsidP="00613ECE">
            <w:pPr>
              <w:spacing w:after="0" w:line="240" w:lineRule="auto"/>
              <w:jc w:val="both"/>
              <w:rPr>
                <w:rFonts w:ascii="Century Gothic" w:hAnsi="Century Gothic"/>
                <w:bCs/>
                <w:sz w:val="20"/>
                <w:szCs w:val="20"/>
              </w:rPr>
            </w:pPr>
          </w:p>
          <w:p w14:paraId="1A7E9711" w14:textId="77777777" w:rsidR="00561960" w:rsidRDefault="00561960" w:rsidP="00613ECE">
            <w:pPr>
              <w:spacing w:after="0" w:line="240" w:lineRule="auto"/>
              <w:jc w:val="both"/>
              <w:rPr>
                <w:rFonts w:ascii="Century Gothic" w:hAnsi="Century Gothic"/>
                <w:bCs/>
                <w:sz w:val="20"/>
                <w:szCs w:val="20"/>
              </w:rPr>
            </w:pPr>
          </w:p>
          <w:p w14:paraId="1F5C452B" w14:textId="77777777" w:rsidR="00561960" w:rsidRDefault="00561960" w:rsidP="00613ECE">
            <w:pPr>
              <w:spacing w:after="0" w:line="240" w:lineRule="auto"/>
              <w:jc w:val="both"/>
              <w:rPr>
                <w:rFonts w:ascii="Century Gothic" w:hAnsi="Century Gothic"/>
                <w:bCs/>
                <w:sz w:val="20"/>
                <w:szCs w:val="20"/>
              </w:rPr>
            </w:pPr>
          </w:p>
          <w:p w14:paraId="05DFC0FA" w14:textId="77777777" w:rsidR="00561960" w:rsidRDefault="00561960" w:rsidP="00613ECE">
            <w:pPr>
              <w:spacing w:after="0" w:line="240" w:lineRule="auto"/>
              <w:jc w:val="both"/>
              <w:rPr>
                <w:rFonts w:ascii="Century Gothic" w:hAnsi="Century Gothic"/>
                <w:bCs/>
                <w:sz w:val="20"/>
                <w:szCs w:val="20"/>
              </w:rPr>
            </w:pPr>
          </w:p>
          <w:p w14:paraId="7BC1B9DD" w14:textId="77777777" w:rsidR="00561960" w:rsidRDefault="00561960" w:rsidP="00613ECE">
            <w:pPr>
              <w:spacing w:after="0" w:line="240" w:lineRule="auto"/>
              <w:jc w:val="both"/>
              <w:rPr>
                <w:rFonts w:ascii="Century Gothic" w:hAnsi="Century Gothic"/>
                <w:bCs/>
                <w:sz w:val="20"/>
                <w:szCs w:val="20"/>
              </w:rPr>
            </w:pPr>
          </w:p>
          <w:p w14:paraId="0BD2AAD9" w14:textId="77777777" w:rsidR="00561960" w:rsidRDefault="00561960" w:rsidP="00613ECE">
            <w:pPr>
              <w:spacing w:after="0" w:line="240" w:lineRule="auto"/>
              <w:jc w:val="both"/>
              <w:rPr>
                <w:rFonts w:ascii="Century Gothic" w:hAnsi="Century Gothic"/>
                <w:bCs/>
                <w:sz w:val="20"/>
                <w:szCs w:val="20"/>
              </w:rPr>
            </w:pPr>
          </w:p>
          <w:p w14:paraId="59407D88" w14:textId="77777777" w:rsidR="00561960" w:rsidRDefault="00561960" w:rsidP="00613ECE">
            <w:pPr>
              <w:spacing w:after="0" w:line="240" w:lineRule="auto"/>
              <w:jc w:val="both"/>
              <w:rPr>
                <w:rFonts w:ascii="Century Gothic" w:hAnsi="Century Gothic"/>
                <w:bCs/>
                <w:sz w:val="20"/>
                <w:szCs w:val="20"/>
              </w:rPr>
            </w:pPr>
          </w:p>
          <w:p w14:paraId="5806B45C" w14:textId="77777777" w:rsidR="00561960" w:rsidRDefault="00561960" w:rsidP="00613ECE">
            <w:pPr>
              <w:spacing w:after="0" w:line="240" w:lineRule="auto"/>
              <w:jc w:val="both"/>
              <w:rPr>
                <w:rFonts w:ascii="Century Gothic" w:hAnsi="Century Gothic"/>
                <w:bCs/>
                <w:sz w:val="20"/>
                <w:szCs w:val="20"/>
              </w:rPr>
            </w:pPr>
          </w:p>
          <w:p w14:paraId="450BFC47" w14:textId="77777777" w:rsidR="00561960" w:rsidRDefault="00561960" w:rsidP="00613ECE">
            <w:pPr>
              <w:spacing w:after="0" w:line="240" w:lineRule="auto"/>
              <w:jc w:val="both"/>
              <w:rPr>
                <w:rFonts w:ascii="Century Gothic" w:hAnsi="Century Gothic"/>
                <w:bCs/>
                <w:sz w:val="20"/>
                <w:szCs w:val="20"/>
              </w:rPr>
            </w:pPr>
          </w:p>
          <w:p w14:paraId="031AB8BE" w14:textId="77777777" w:rsidR="00561960" w:rsidRDefault="00561960" w:rsidP="00613ECE">
            <w:pPr>
              <w:spacing w:after="0" w:line="240" w:lineRule="auto"/>
              <w:jc w:val="both"/>
              <w:rPr>
                <w:rFonts w:ascii="Century Gothic" w:hAnsi="Century Gothic"/>
                <w:bCs/>
                <w:sz w:val="20"/>
                <w:szCs w:val="20"/>
              </w:rPr>
            </w:pPr>
          </w:p>
          <w:p w14:paraId="07867325" w14:textId="08F46697" w:rsidR="00561960" w:rsidRDefault="00B2735F" w:rsidP="00B2735F">
            <w:pPr>
              <w:spacing w:after="0" w:line="240" w:lineRule="auto"/>
              <w:rPr>
                <w:rFonts w:ascii="Century Gothic" w:hAnsi="Century Gothic"/>
                <w:bCs/>
                <w:sz w:val="20"/>
                <w:szCs w:val="20"/>
              </w:rPr>
            </w:pPr>
            <w:r>
              <w:rPr>
                <w:rFonts w:ascii="Century Gothic" w:hAnsi="Century Gothic"/>
                <w:bCs/>
                <w:sz w:val="20"/>
                <w:szCs w:val="20"/>
              </w:rPr>
              <w:t>Janua</w:t>
            </w:r>
            <w:r w:rsidR="009321CA">
              <w:rPr>
                <w:rFonts w:ascii="Century Gothic" w:hAnsi="Century Gothic"/>
                <w:bCs/>
                <w:sz w:val="20"/>
                <w:szCs w:val="20"/>
              </w:rPr>
              <w:t>r</w:t>
            </w:r>
            <w:r>
              <w:rPr>
                <w:rFonts w:ascii="Century Gothic" w:hAnsi="Century Gothic"/>
                <w:bCs/>
                <w:sz w:val="20"/>
                <w:szCs w:val="20"/>
              </w:rPr>
              <w:t>y 1, 2028</w:t>
            </w:r>
          </w:p>
          <w:p w14:paraId="1CEC4C06" w14:textId="77777777" w:rsidR="00561960" w:rsidRDefault="00561960" w:rsidP="00613ECE">
            <w:pPr>
              <w:spacing w:after="0" w:line="240" w:lineRule="auto"/>
              <w:jc w:val="both"/>
              <w:rPr>
                <w:rFonts w:ascii="Century Gothic" w:hAnsi="Century Gothic"/>
                <w:bCs/>
                <w:sz w:val="20"/>
                <w:szCs w:val="20"/>
              </w:rPr>
            </w:pPr>
          </w:p>
          <w:p w14:paraId="50FA6501" w14:textId="77777777" w:rsidR="00561960" w:rsidRDefault="00561960" w:rsidP="00613ECE">
            <w:pPr>
              <w:spacing w:after="0" w:line="240" w:lineRule="auto"/>
              <w:jc w:val="both"/>
              <w:rPr>
                <w:rFonts w:ascii="Century Gothic" w:hAnsi="Century Gothic"/>
                <w:bCs/>
                <w:sz w:val="20"/>
                <w:szCs w:val="20"/>
              </w:rPr>
            </w:pPr>
          </w:p>
          <w:p w14:paraId="2B39AF92" w14:textId="77777777" w:rsidR="00561960" w:rsidRDefault="00561960" w:rsidP="00613ECE">
            <w:pPr>
              <w:spacing w:after="0" w:line="240" w:lineRule="auto"/>
              <w:jc w:val="both"/>
              <w:rPr>
                <w:rFonts w:ascii="Century Gothic" w:hAnsi="Century Gothic"/>
                <w:bCs/>
                <w:sz w:val="20"/>
                <w:szCs w:val="20"/>
              </w:rPr>
            </w:pPr>
          </w:p>
          <w:p w14:paraId="326D4A5F" w14:textId="77777777" w:rsidR="00561960" w:rsidRDefault="00561960" w:rsidP="00613ECE">
            <w:pPr>
              <w:spacing w:after="0" w:line="240" w:lineRule="auto"/>
              <w:jc w:val="both"/>
              <w:rPr>
                <w:rFonts w:ascii="Century Gothic" w:hAnsi="Century Gothic"/>
                <w:bCs/>
                <w:sz w:val="20"/>
                <w:szCs w:val="20"/>
              </w:rPr>
            </w:pPr>
          </w:p>
          <w:p w14:paraId="77B1BA56" w14:textId="77777777" w:rsidR="00561960" w:rsidRDefault="00561960" w:rsidP="00613ECE">
            <w:pPr>
              <w:spacing w:after="0" w:line="240" w:lineRule="auto"/>
              <w:jc w:val="both"/>
              <w:rPr>
                <w:rFonts w:ascii="Century Gothic" w:hAnsi="Century Gothic"/>
                <w:bCs/>
                <w:sz w:val="20"/>
                <w:szCs w:val="20"/>
              </w:rPr>
            </w:pPr>
          </w:p>
          <w:p w14:paraId="4211885E" w14:textId="77777777" w:rsidR="00561960" w:rsidRDefault="00561960" w:rsidP="00613ECE">
            <w:pPr>
              <w:spacing w:after="0" w:line="240" w:lineRule="auto"/>
              <w:jc w:val="both"/>
              <w:rPr>
                <w:rFonts w:ascii="Century Gothic" w:hAnsi="Century Gothic"/>
                <w:bCs/>
                <w:sz w:val="20"/>
                <w:szCs w:val="20"/>
              </w:rPr>
            </w:pPr>
          </w:p>
          <w:p w14:paraId="3987FA47" w14:textId="77777777" w:rsidR="00561960" w:rsidRDefault="00561960" w:rsidP="00613ECE">
            <w:pPr>
              <w:spacing w:after="0" w:line="240" w:lineRule="auto"/>
              <w:jc w:val="both"/>
              <w:rPr>
                <w:rFonts w:ascii="Century Gothic" w:hAnsi="Century Gothic"/>
                <w:bCs/>
                <w:sz w:val="20"/>
                <w:szCs w:val="20"/>
              </w:rPr>
            </w:pPr>
          </w:p>
          <w:p w14:paraId="027A2395" w14:textId="77777777" w:rsidR="00561960" w:rsidRDefault="00561960" w:rsidP="00613ECE">
            <w:pPr>
              <w:spacing w:after="0" w:line="240" w:lineRule="auto"/>
              <w:jc w:val="both"/>
              <w:rPr>
                <w:rFonts w:ascii="Century Gothic" w:hAnsi="Century Gothic"/>
                <w:bCs/>
                <w:sz w:val="20"/>
                <w:szCs w:val="20"/>
              </w:rPr>
            </w:pPr>
          </w:p>
          <w:p w14:paraId="6476140D" w14:textId="77777777" w:rsidR="00561960" w:rsidRDefault="00561960" w:rsidP="00613ECE">
            <w:pPr>
              <w:spacing w:after="0" w:line="240" w:lineRule="auto"/>
              <w:jc w:val="both"/>
              <w:rPr>
                <w:rFonts w:ascii="Century Gothic" w:hAnsi="Century Gothic"/>
                <w:bCs/>
                <w:sz w:val="20"/>
                <w:szCs w:val="20"/>
              </w:rPr>
            </w:pPr>
          </w:p>
          <w:p w14:paraId="1D0781AF" w14:textId="77777777" w:rsidR="00561960" w:rsidRDefault="00561960" w:rsidP="00613ECE">
            <w:pPr>
              <w:spacing w:after="0" w:line="240" w:lineRule="auto"/>
              <w:jc w:val="both"/>
              <w:rPr>
                <w:rFonts w:ascii="Century Gothic" w:hAnsi="Century Gothic"/>
                <w:bCs/>
                <w:sz w:val="20"/>
                <w:szCs w:val="20"/>
              </w:rPr>
            </w:pPr>
          </w:p>
          <w:p w14:paraId="48007863" w14:textId="77777777" w:rsidR="009321CA" w:rsidRDefault="009321CA" w:rsidP="00613ECE">
            <w:pPr>
              <w:spacing w:after="0" w:line="240" w:lineRule="auto"/>
              <w:jc w:val="both"/>
              <w:rPr>
                <w:rFonts w:ascii="Century Gothic" w:hAnsi="Century Gothic"/>
                <w:bCs/>
                <w:sz w:val="20"/>
                <w:szCs w:val="20"/>
              </w:rPr>
            </w:pPr>
          </w:p>
          <w:p w14:paraId="54373E3F" w14:textId="77E60A70" w:rsidR="00561960" w:rsidRDefault="00CE23EF" w:rsidP="00613ECE">
            <w:pPr>
              <w:spacing w:after="0" w:line="240" w:lineRule="auto"/>
              <w:jc w:val="both"/>
              <w:rPr>
                <w:rFonts w:ascii="Century Gothic" w:hAnsi="Century Gothic"/>
                <w:bCs/>
                <w:sz w:val="20"/>
                <w:szCs w:val="20"/>
              </w:rPr>
            </w:pPr>
            <w:r>
              <w:rPr>
                <w:rFonts w:ascii="Century Gothic" w:hAnsi="Century Gothic"/>
                <w:bCs/>
                <w:sz w:val="20"/>
                <w:szCs w:val="20"/>
              </w:rPr>
              <w:t>July 1, 2027</w:t>
            </w:r>
          </w:p>
          <w:p w14:paraId="6CA812A0" w14:textId="77777777" w:rsidR="00561960" w:rsidRDefault="00561960" w:rsidP="00613ECE">
            <w:pPr>
              <w:spacing w:after="0" w:line="240" w:lineRule="auto"/>
              <w:jc w:val="both"/>
              <w:rPr>
                <w:rFonts w:ascii="Century Gothic" w:hAnsi="Century Gothic"/>
                <w:bCs/>
                <w:sz w:val="20"/>
                <w:szCs w:val="20"/>
              </w:rPr>
            </w:pPr>
          </w:p>
          <w:p w14:paraId="4707064C" w14:textId="77777777" w:rsidR="00561960" w:rsidRDefault="00561960" w:rsidP="00613ECE">
            <w:pPr>
              <w:spacing w:after="0" w:line="240" w:lineRule="auto"/>
              <w:jc w:val="both"/>
              <w:rPr>
                <w:rFonts w:ascii="Century Gothic" w:hAnsi="Century Gothic"/>
                <w:bCs/>
                <w:sz w:val="20"/>
                <w:szCs w:val="20"/>
              </w:rPr>
            </w:pPr>
          </w:p>
          <w:p w14:paraId="77C12568" w14:textId="77777777" w:rsidR="00561960" w:rsidRDefault="00561960" w:rsidP="00613ECE">
            <w:pPr>
              <w:spacing w:after="0" w:line="240" w:lineRule="auto"/>
              <w:jc w:val="both"/>
              <w:rPr>
                <w:rFonts w:ascii="Century Gothic" w:hAnsi="Century Gothic"/>
                <w:bCs/>
                <w:sz w:val="20"/>
                <w:szCs w:val="20"/>
              </w:rPr>
            </w:pPr>
          </w:p>
          <w:p w14:paraId="6B1195A8" w14:textId="77777777" w:rsidR="00561960" w:rsidRDefault="00561960" w:rsidP="00613ECE">
            <w:pPr>
              <w:spacing w:after="0" w:line="240" w:lineRule="auto"/>
              <w:jc w:val="both"/>
              <w:rPr>
                <w:rFonts w:ascii="Century Gothic" w:hAnsi="Century Gothic"/>
                <w:bCs/>
                <w:sz w:val="20"/>
                <w:szCs w:val="20"/>
              </w:rPr>
            </w:pPr>
          </w:p>
          <w:p w14:paraId="56212B9E" w14:textId="77777777" w:rsidR="00561960" w:rsidRDefault="00561960" w:rsidP="00613ECE">
            <w:pPr>
              <w:spacing w:after="0" w:line="240" w:lineRule="auto"/>
              <w:jc w:val="both"/>
              <w:rPr>
                <w:rFonts w:ascii="Century Gothic" w:hAnsi="Century Gothic"/>
                <w:bCs/>
                <w:sz w:val="20"/>
                <w:szCs w:val="20"/>
              </w:rPr>
            </w:pPr>
          </w:p>
          <w:p w14:paraId="191436F5" w14:textId="77777777" w:rsidR="00561960" w:rsidRDefault="00561960" w:rsidP="00613ECE">
            <w:pPr>
              <w:spacing w:after="0" w:line="240" w:lineRule="auto"/>
              <w:jc w:val="both"/>
              <w:rPr>
                <w:rFonts w:ascii="Century Gothic" w:hAnsi="Century Gothic"/>
                <w:bCs/>
                <w:sz w:val="20"/>
                <w:szCs w:val="20"/>
              </w:rPr>
            </w:pPr>
          </w:p>
          <w:p w14:paraId="3CA45927" w14:textId="77777777" w:rsidR="00561960" w:rsidRDefault="00561960" w:rsidP="00613ECE">
            <w:pPr>
              <w:spacing w:after="0" w:line="240" w:lineRule="auto"/>
              <w:jc w:val="both"/>
              <w:rPr>
                <w:rFonts w:ascii="Century Gothic" w:hAnsi="Century Gothic"/>
                <w:bCs/>
                <w:sz w:val="20"/>
                <w:szCs w:val="20"/>
              </w:rPr>
            </w:pPr>
          </w:p>
          <w:p w14:paraId="0FBDD804" w14:textId="77777777" w:rsidR="00561960" w:rsidRDefault="00561960" w:rsidP="00613ECE">
            <w:pPr>
              <w:spacing w:after="0" w:line="240" w:lineRule="auto"/>
              <w:jc w:val="both"/>
              <w:rPr>
                <w:rFonts w:ascii="Century Gothic" w:hAnsi="Century Gothic"/>
                <w:bCs/>
                <w:sz w:val="20"/>
                <w:szCs w:val="20"/>
              </w:rPr>
            </w:pPr>
          </w:p>
          <w:p w14:paraId="158E87BB" w14:textId="77777777" w:rsidR="00561960" w:rsidRDefault="00561960" w:rsidP="00613ECE">
            <w:pPr>
              <w:spacing w:after="0" w:line="240" w:lineRule="auto"/>
              <w:jc w:val="both"/>
              <w:rPr>
                <w:rFonts w:ascii="Century Gothic" w:hAnsi="Century Gothic"/>
                <w:bCs/>
                <w:sz w:val="20"/>
                <w:szCs w:val="20"/>
              </w:rPr>
            </w:pPr>
          </w:p>
          <w:p w14:paraId="63F96CEE" w14:textId="77777777" w:rsidR="00561960" w:rsidRDefault="00561960" w:rsidP="00613ECE">
            <w:pPr>
              <w:spacing w:after="0" w:line="240" w:lineRule="auto"/>
              <w:jc w:val="both"/>
              <w:rPr>
                <w:rFonts w:ascii="Century Gothic" w:hAnsi="Century Gothic"/>
                <w:bCs/>
                <w:sz w:val="20"/>
                <w:szCs w:val="20"/>
              </w:rPr>
            </w:pPr>
          </w:p>
          <w:p w14:paraId="67288870" w14:textId="77777777" w:rsidR="00561960" w:rsidRDefault="00561960" w:rsidP="00613ECE">
            <w:pPr>
              <w:spacing w:after="0" w:line="240" w:lineRule="auto"/>
              <w:jc w:val="both"/>
              <w:rPr>
                <w:rFonts w:ascii="Century Gothic" w:hAnsi="Century Gothic"/>
                <w:bCs/>
                <w:sz w:val="20"/>
                <w:szCs w:val="20"/>
              </w:rPr>
            </w:pPr>
          </w:p>
          <w:p w14:paraId="4BF069C5" w14:textId="77777777" w:rsidR="00CE23EF" w:rsidRDefault="00CE23EF" w:rsidP="00613ECE">
            <w:pPr>
              <w:spacing w:after="0" w:line="240" w:lineRule="auto"/>
              <w:jc w:val="both"/>
              <w:rPr>
                <w:rFonts w:ascii="Century Gothic" w:hAnsi="Century Gothic"/>
                <w:bCs/>
                <w:sz w:val="20"/>
                <w:szCs w:val="20"/>
              </w:rPr>
            </w:pPr>
          </w:p>
          <w:p w14:paraId="3FB29D20" w14:textId="77777777" w:rsidR="00561960" w:rsidRDefault="00561960" w:rsidP="00613ECE">
            <w:pPr>
              <w:spacing w:after="0" w:line="240" w:lineRule="auto"/>
              <w:jc w:val="both"/>
              <w:rPr>
                <w:rFonts w:ascii="Century Gothic" w:hAnsi="Century Gothic"/>
                <w:bCs/>
                <w:sz w:val="20"/>
                <w:szCs w:val="20"/>
              </w:rPr>
            </w:pPr>
          </w:p>
          <w:p w14:paraId="155983D1" w14:textId="77777777" w:rsidR="00561960" w:rsidRDefault="00561960" w:rsidP="00613ECE">
            <w:pPr>
              <w:spacing w:after="0" w:line="240" w:lineRule="auto"/>
              <w:jc w:val="both"/>
              <w:rPr>
                <w:rFonts w:ascii="Century Gothic" w:hAnsi="Century Gothic"/>
                <w:bCs/>
                <w:sz w:val="20"/>
                <w:szCs w:val="20"/>
              </w:rPr>
            </w:pPr>
          </w:p>
          <w:p w14:paraId="19B16344" w14:textId="665896CB" w:rsidR="00561960" w:rsidRDefault="00D73C01" w:rsidP="00613ECE">
            <w:pPr>
              <w:spacing w:after="0" w:line="240" w:lineRule="auto"/>
              <w:jc w:val="both"/>
              <w:rPr>
                <w:rFonts w:ascii="Century Gothic" w:hAnsi="Century Gothic"/>
                <w:bCs/>
                <w:sz w:val="20"/>
                <w:szCs w:val="20"/>
              </w:rPr>
            </w:pPr>
            <w:r>
              <w:rPr>
                <w:rFonts w:ascii="Century Gothic" w:hAnsi="Century Gothic"/>
                <w:bCs/>
                <w:sz w:val="20"/>
                <w:szCs w:val="20"/>
              </w:rPr>
              <w:t>July 1, 2027</w:t>
            </w:r>
          </w:p>
          <w:p w14:paraId="56979105" w14:textId="77777777" w:rsidR="00561960" w:rsidRDefault="00561960" w:rsidP="00613ECE">
            <w:pPr>
              <w:spacing w:after="0" w:line="240" w:lineRule="auto"/>
              <w:jc w:val="both"/>
              <w:rPr>
                <w:rFonts w:ascii="Century Gothic" w:hAnsi="Century Gothic"/>
                <w:bCs/>
                <w:sz w:val="20"/>
                <w:szCs w:val="20"/>
              </w:rPr>
            </w:pPr>
          </w:p>
          <w:p w14:paraId="09A04141" w14:textId="77777777" w:rsidR="00561960" w:rsidRDefault="00561960" w:rsidP="00613ECE">
            <w:pPr>
              <w:spacing w:after="0" w:line="240" w:lineRule="auto"/>
              <w:jc w:val="both"/>
              <w:rPr>
                <w:rFonts w:ascii="Century Gothic" w:hAnsi="Century Gothic"/>
                <w:bCs/>
                <w:sz w:val="20"/>
                <w:szCs w:val="20"/>
              </w:rPr>
            </w:pPr>
          </w:p>
          <w:p w14:paraId="24322103" w14:textId="77777777" w:rsidR="00561960" w:rsidRDefault="00561960" w:rsidP="00613ECE">
            <w:pPr>
              <w:spacing w:after="0" w:line="240" w:lineRule="auto"/>
              <w:jc w:val="both"/>
              <w:rPr>
                <w:rFonts w:ascii="Century Gothic" w:hAnsi="Century Gothic"/>
                <w:bCs/>
                <w:sz w:val="20"/>
                <w:szCs w:val="20"/>
              </w:rPr>
            </w:pPr>
          </w:p>
          <w:p w14:paraId="73CF8F19" w14:textId="77777777" w:rsidR="00561960" w:rsidRDefault="00561960" w:rsidP="00613ECE">
            <w:pPr>
              <w:spacing w:after="0" w:line="240" w:lineRule="auto"/>
              <w:jc w:val="both"/>
              <w:rPr>
                <w:rFonts w:ascii="Century Gothic" w:hAnsi="Century Gothic"/>
                <w:bCs/>
                <w:sz w:val="20"/>
                <w:szCs w:val="20"/>
              </w:rPr>
            </w:pPr>
          </w:p>
          <w:p w14:paraId="45B5C76D" w14:textId="77777777" w:rsidR="00561960" w:rsidRDefault="00561960" w:rsidP="00613ECE">
            <w:pPr>
              <w:spacing w:after="0" w:line="240" w:lineRule="auto"/>
              <w:jc w:val="both"/>
              <w:rPr>
                <w:rFonts w:ascii="Century Gothic" w:hAnsi="Century Gothic"/>
                <w:bCs/>
                <w:sz w:val="20"/>
                <w:szCs w:val="20"/>
              </w:rPr>
            </w:pPr>
          </w:p>
          <w:p w14:paraId="30C93E35" w14:textId="77777777" w:rsidR="00561960" w:rsidRDefault="00561960" w:rsidP="00613ECE">
            <w:pPr>
              <w:spacing w:after="0" w:line="240" w:lineRule="auto"/>
              <w:jc w:val="both"/>
              <w:rPr>
                <w:rFonts w:ascii="Century Gothic" w:hAnsi="Century Gothic"/>
                <w:bCs/>
                <w:sz w:val="20"/>
                <w:szCs w:val="20"/>
              </w:rPr>
            </w:pPr>
          </w:p>
          <w:p w14:paraId="2973E3CF" w14:textId="77777777" w:rsidR="00561960" w:rsidRDefault="00561960" w:rsidP="00613ECE">
            <w:pPr>
              <w:spacing w:after="0" w:line="240" w:lineRule="auto"/>
              <w:jc w:val="both"/>
              <w:rPr>
                <w:rFonts w:ascii="Century Gothic" w:hAnsi="Century Gothic"/>
                <w:bCs/>
                <w:sz w:val="20"/>
                <w:szCs w:val="20"/>
              </w:rPr>
            </w:pPr>
          </w:p>
          <w:p w14:paraId="70A77D9A" w14:textId="77777777" w:rsidR="00561960" w:rsidRDefault="00561960" w:rsidP="00613ECE">
            <w:pPr>
              <w:spacing w:after="0" w:line="240" w:lineRule="auto"/>
              <w:jc w:val="both"/>
              <w:rPr>
                <w:rFonts w:ascii="Century Gothic" w:hAnsi="Century Gothic"/>
                <w:bCs/>
                <w:sz w:val="20"/>
                <w:szCs w:val="20"/>
              </w:rPr>
            </w:pPr>
          </w:p>
          <w:p w14:paraId="2CBF9148" w14:textId="77777777" w:rsidR="00561960" w:rsidRDefault="00561960" w:rsidP="00613ECE">
            <w:pPr>
              <w:spacing w:after="0" w:line="240" w:lineRule="auto"/>
              <w:jc w:val="both"/>
              <w:rPr>
                <w:rFonts w:ascii="Century Gothic" w:hAnsi="Century Gothic"/>
                <w:bCs/>
                <w:sz w:val="20"/>
                <w:szCs w:val="20"/>
              </w:rPr>
            </w:pPr>
          </w:p>
          <w:p w14:paraId="3296CDA6" w14:textId="77777777" w:rsidR="00561960" w:rsidRDefault="00561960" w:rsidP="00613ECE">
            <w:pPr>
              <w:spacing w:after="0" w:line="240" w:lineRule="auto"/>
              <w:jc w:val="both"/>
              <w:rPr>
                <w:rFonts w:ascii="Century Gothic" w:hAnsi="Century Gothic"/>
                <w:bCs/>
                <w:sz w:val="20"/>
                <w:szCs w:val="20"/>
              </w:rPr>
            </w:pPr>
          </w:p>
          <w:p w14:paraId="382A3839" w14:textId="77777777" w:rsidR="00CE23EF" w:rsidRDefault="00CE23EF" w:rsidP="00613ECE">
            <w:pPr>
              <w:spacing w:after="0" w:line="240" w:lineRule="auto"/>
              <w:jc w:val="both"/>
              <w:rPr>
                <w:rFonts w:ascii="Century Gothic" w:hAnsi="Century Gothic"/>
                <w:bCs/>
                <w:sz w:val="20"/>
                <w:szCs w:val="20"/>
              </w:rPr>
            </w:pPr>
          </w:p>
          <w:p w14:paraId="107C5721" w14:textId="5332A2A9" w:rsidR="00561960" w:rsidRDefault="00561960" w:rsidP="00613ECE">
            <w:pPr>
              <w:spacing w:after="0" w:line="240" w:lineRule="auto"/>
              <w:jc w:val="both"/>
              <w:rPr>
                <w:rFonts w:ascii="Century Gothic" w:hAnsi="Century Gothic"/>
                <w:bCs/>
                <w:sz w:val="20"/>
                <w:szCs w:val="20"/>
              </w:rPr>
            </w:pPr>
            <w:r>
              <w:rPr>
                <w:rFonts w:ascii="Century Gothic" w:hAnsi="Century Gothic"/>
                <w:bCs/>
                <w:sz w:val="20"/>
                <w:szCs w:val="20"/>
              </w:rPr>
              <w:t>Upon Passage</w:t>
            </w:r>
          </w:p>
          <w:p w14:paraId="349C1584" w14:textId="77777777" w:rsidR="00561960" w:rsidRDefault="00561960" w:rsidP="00613ECE">
            <w:pPr>
              <w:spacing w:after="0" w:line="240" w:lineRule="auto"/>
              <w:jc w:val="both"/>
              <w:rPr>
                <w:rFonts w:ascii="Century Gothic" w:hAnsi="Century Gothic"/>
                <w:bCs/>
                <w:sz w:val="20"/>
                <w:szCs w:val="20"/>
              </w:rPr>
            </w:pPr>
          </w:p>
          <w:p w14:paraId="03B40F04" w14:textId="77777777" w:rsidR="00561960" w:rsidRDefault="00561960" w:rsidP="00613ECE">
            <w:pPr>
              <w:spacing w:after="0" w:line="240" w:lineRule="auto"/>
              <w:jc w:val="both"/>
              <w:rPr>
                <w:rFonts w:ascii="Century Gothic" w:hAnsi="Century Gothic"/>
                <w:bCs/>
                <w:sz w:val="20"/>
                <w:szCs w:val="20"/>
              </w:rPr>
            </w:pPr>
          </w:p>
          <w:p w14:paraId="70C87EBE" w14:textId="77777777" w:rsidR="00561960" w:rsidRDefault="00561960" w:rsidP="00613ECE">
            <w:pPr>
              <w:spacing w:after="0" w:line="240" w:lineRule="auto"/>
              <w:jc w:val="both"/>
              <w:rPr>
                <w:rFonts w:ascii="Century Gothic" w:hAnsi="Century Gothic"/>
                <w:bCs/>
                <w:sz w:val="20"/>
                <w:szCs w:val="20"/>
              </w:rPr>
            </w:pPr>
          </w:p>
          <w:p w14:paraId="33A1DBDC" w14:textId="77777777" w:rsidR="00561960" w:rsidRDefault="00561960" w:rsidP="00613ECE">
            <w:pPr>
              <w:spacing w:after="0" w:line="240" w:lineRule="auto"/>
              <w:jc w:val="both"/>
              <w:rPr>
                <w:rFonts w:ascii="Century Gothic" w:hAnsi="Century Gothic"/>
                <w:bCs/>
                <w:sz w:val="20"/>
                <w:szCs w:val="20"/>
              </w:rPr>
            </w:pPr>
          </w:p>
          <w:p w14:paraId="1A92BCE4" w14:textId="74B0737E" w:rsidR="00561960" w:rsidRDefault="00561960" w:rsidP="00613ECE">
            <w:pPr>
              <w:spacing w:after="0" w:line="240" w:lineRule="auto"/>
              <w:jc w:val="both"/>
              <w:rPr>
                <w:rFonts w:ascii="Century Gothic" w:hAnsi="Century Gothic"/>
                <w:bCs/>
                <w:sz w:val="20"/>
                <w:szCs w:val="20"/>
              </w:rPr>
            </w:pPr>
          </w:p>
        </w:tc>
      </w:tr>
      <w:tr w:rsidR="00312DE4" w:rsidRPr="00A172D1" w14:paraId="5157E0FA" w14:textId="77777777" w:rsidTr="00141D6C">
        <w:tc>
          <w:tcPr>
            <w:tcW w:w="1918" w:type="dxa"/>
            <w:tcBorders>
              <w:top w:val="single" w:sz="4" w:space="0" w:color="auto"/>
              <w:left w:val="single" w:sz="4" w:space="0" w:color="auto"/>
              <w:bottom w:val="single" w:sz="4" w:space="0" w:color="auto"/>
              <w:right w:val="single" w:sz="4" w:space="0" w:color="auto"/>
            </w:tcBorders>
          </w:tcPr>
          <w:p w14:paraId="380EF184" w14:textId="77777777" w:rsidR="00312DE4" w:rsidRPr="00ED74CF" w:rsidRDefault="00312DE4" w:rsidP="00312DE4">
            <w:pPr>
              <w:spacing w:after="0" w:line="240" w:lineRule="auto"/>
              <w:jc w:val="center"/>
              <w:rPr>
                <w:rFonts w:ascii="Century Gothic" w:hAnsi="Century Gothic"/>
                <w:sz w:val="20"/>
                <w:szCs w:val="20"/>
              </w:rPr>
            </w:pPr>
            <w:hyperlink r:id="rId9" w:history="1">
              <w:r w:rsidRPr="009909CE">
                <w:rPr>
                  <w:rStyle w:val="Hyperlink"/>
                  <w:rFonts w:ascii="Century Gothic" w:hAnsi="Century Gothic"/>
                  <w:sz w:val="20"/>
                  <w:szCs w:val="20"/>
                </w:rPr>
                <w:t>SEA 5</w:t>
              </w:r>
            </w:hyperlink>
            <w:r w:rsidRPr="00ED74CF">
              <w:rPr>
                <w:rFonts w:ascii="Century Gothic" w:hAnsi="Century Gothic"/>
                <w:sz w:val="20"/>
                <w:szCs w:val="20"/>
              </w:rPr>
              <w:t xml:space="preserve"> </w:t>
            </w:r>
          </w:p>
          <w:p w14:paraId="30542A5F" w14:textId="77777777" w:rsidR="00312DE4" w:rsidRPr="00ED74CF" w:rsidRDefault="00312DE4" w:rsidP="00312DE4">
            <w:pPr>
              <w:spacing w:after="0" w:line="240" w:lineRule="auto"/>
              <w:jc w:val="center"/>
              <w:rPr>
                <w:rFonts w:ascii="Century Gothic" w:hAnsi="Century Gothic"/>
                <w:bCs/>
                <w:sz w:val="20"/>
                <w:szCs w:val="20"/>
              </w:rPr>
            </w:pPr>
          </w:p>
          <w:p w14:paraId="27EA5B0D" w14:textId="77777777" w:rsidR="00312DE4" w:rsidRPr="00ED74CF" w:rsidRDefault="00312DE4" w:rsidP="00312DE4">
            <w:pPr>
              <w:spacing w:after="0" w:line="240" w:lineRule="auto"/>
              <w:jc w:val="center"/>
              <w:rPr>
                <w:rFonts w:ascii="Century Gothic" w:hAnsi="Century Gothic"/>
                <w:bCs/>
                <w:sz w:val="20"/>
                <w:szCs w:val="20"/>
              </w:rPr>
            </w:pPr>
            <w:r w:rsidRPr="00ED74CF">
              <w:rPr>
                <w:rFonts w:ascii="Century Gothic" w:hAnsi="Century Gothic"/>
                <w:bCs/>
                <w:sz w:val="20"/>
                <w:szCs w:val="20"/>
              </w:rPr>
              <w:t>State and Fiscal Accounting</w:t>
            </w:r>
          </w:p>
          <w:p w14:paraId="78CD157C" w14:textId="77777777" w:rsidR="00312DE4" w:rsidRDefault="00312DE4" w:rsidP="00312DE4">
            <w:pPr>
              <w:spacing w:after="0" w:line="240" w:lineRule="auto"/>
              <w:jc w:val="center"/>
              <w:rPr>
                <w:rFonts w:ascii="Century Gothic" w:hAnsi="Century Gothic"/>
                <w:bCs/>
                <w:sz w:val="20"/>
                <w:szCs w:val="20"/>
              </w:rPr>
            </w:pPr>
          </w:p>
        </w:tc>
        <w:tc>
          <w:tcPr>
            <w:tcW w:w="6403" w:type="dxa"/>
            <w:tcBorders>
              <w:top w:val="single" w:sz="4" w:space="0" w:color="auto"/>
              <w:left w:val="single" w:sz="4" w:space="0" w:color="auto"/>
              <w:bottom w:val="single" w:sz="4" w:space="0" w:color="auto"/>
              <w:right w:val="single" w:sz="4" w:space="0" w:color="auto"/>
            </w:tcBorders>
          </w:tcPr>
          <w:p w14:paraId="60DF8853" w14:textId="142A86F6" w:rsidR="006E6F2B" w:rsidRDefault="00312DE4" w:rsidP="00312DE4">
            <w:pPr>
              <w:spacing w:after="0" w:line="240" w:lineRule="auto"/>
              <w:rPr>
                <w:rFonts w:ascii="Century Gothic" w:hAnsi="Century Gothic"/>
                <w:bCs/>
                <w:sz w:val="20"/>
                <w:szCs w:val="20"/>
              </w:rPr>
            </w:pPr>
            <w:proofErr w:type="gramStart"/>
            <w:r w:rsidRPr="004830EC">
              <w:rPr>
                <w:rFonts w:ascii="Century Gothic" w:hAnsi="Century Gothic"/>
                <w:bCs/>
                <w:sz w:val="20"/>
                <w:szCs w:val="20"/>
              </w:rPr>
              <w:t>Allows</w:t>
            </w:r>
            <w:proofErr w:type="gramEnd"/>
            <w:r w:rsidRPr="004830EC">
              <w:rPr>
                <w:rFonts w:ascii="Century Gothic" w:hAnsi="Century Gothic"/>
                <w:bCs/>
                <w:sz w:val="20"/>
                <w:szCs w:val="20"/>
              </w:rPr>
              <w:t xml:space="preserve"> a state agency to use artificial intelligence software to prepare information and projections for the state budget. Requires a state agency to provide a quarterly report to the budget committee that details the requests submitted by the state agency for new federal funds or to participate in a new federal program. Provides that, in addition to the quarterly reports, a state agency may not immediately accept an award of new federal funds in certain circumstances or participate in a new federal program before a report has been reviewed by the budget committee. Specifies the contents of the report that must be submitted for budget committee review. </w:t>
            </w:r>
          </w:p>
          <w:p w14:paraId="44F6B9DD" w14:textId="77777777" w:rsidR="006E6F2B" w:rsidRDefault="006E6F2B" w:rsidP="00312DE4">
            <w:pPr>
              <w:spacing w:after="0" w:line="240" w:lineRule="auto"/>
              <w:rPr>
                <w:rFonts w:ascii="Century Gothic" w:hAnsi="Century Gothic"/>
                <w:bCs/>
                <w:sz w:val="20"/>
                <w:szCs w:val="20"/>
              </w:rPr>
            </w:pPr>
          </w:p>
          <w:p w14:paraId="38414387" w14:textId="77777777" w:rsidR="00803039" w:rsidRDefault="00312DE4" w:rsidP="00312DE4">
            <w:pPr>
              <w:spacing w:after="0" w:line="240" w:lineRule="auto"/>
              <w:rPr>
                <w:rFonts w:ascii="Century Gothic" w:hAnsi="Century Gothic"/>
                <w:bCs/>
                <w:sz w:val="20"/>
                <w:szCs w:val="20"/>
              </w:rPr>
            </w:pPr>
            <w:r w:rsidRPr="004830EC">
              <w:rPr>
                <w:rFonts w:ascii="Century Gothic" w:hAnsi="Century Gothic"/>
                <w:bCs/>
                <w:sz w:val="20"/>
                <w:szCs w:val="20"/>
              </w:rPr>
              <w:t xml:space="preserve">Requires a state agency to provide the state comptroller with a contract for inclusion </w:t>
            </w:r>
            <w:proofErr w:type="gramStart"/>
            <w:r w:rsidRPr="004830EC">
              <w:rPr>
                <w:rFonts w:ascii="Century Gothic" w:hAnsi="Century Gothic"/>
                <w:bCs/>
                <w:sz w:val="20"/>
                <w:szCs w:val="20"/>
              </w:rPr>
              <w:t>in</w:t>
            </w:r>
            <w:proofErr w:type="gramEnd"/>
            <w:r w:rsidRPr="004830EC">
              <w:rPr>
                <w:rFonts w:ascii="Century Gothic" w:hAnsi="Century Gothic"/>
                <w:bCs/>
                <w:sz w:val="20"/>
                <w:szCs w:val="20"/>
              </w:rPr>
              <w:t xml:space="preserve"> the Indiana transparency website not later than 30 days after the contract is fully executed. </w:t>
            </w:r>
          </w:p>
          <w:p w14:paraId="3743FEBD" w14:textId="77777777" w:rsidR="00803039" w:rsidRDefault="00803039" w:rsidP="00312DE4">
            <w:pPr>
              <w:spacing w:after="0" w:line="240" w:lineRule="auto"/>
              <w:rPr>
                <w:rFonts w:ascii="Century Gothic" w:hAnsi="Century Gothic"/>
                <w:bCs/>
                <w:sz w:val="20"/>
                <w:szCs w:val="20"/>
              </w:rPr>
            </w:pPr>
          </w:p>
          <w:p w14:paraId="383A9596" w14:textId="77777777" w:rsidR="00870FFB" w:rsidRDefault="00312DE4" w:rsidP="00312DE4">
            <w:pPr>
              <w:spacing w:after="0" w:line="240" w:lineRule="auto"/>
              <w:rPr>
                <w:rFonts w:ascii="Century Gothic" w:hAnsi="Century Gothic"/>
                <w:bCs/>
                <w:sz w:val="20"/>
                <w:szCs w:val="20"/>
              </w:rPr>
            </w:pPr>
            <w:r w:rsidRPr="004830EC">
              <w:rPr>
                <w:rFonts w:ascii="Century Gothic" w:hAnsi="Century Gothic"/>
                <w:bCs/>
                <w:sz w:val="20"/>
                <w:szCs w:val="20"/>
              </w:rPr>
              <w:t xml:space="preserve">Requires that permanent full-time positions which have been vacant for 90 days or more be reviewed and either reauthorized or eliminated by the budget director. Requires the budget director to provide a quarterly report to the governor's office regarding those positions that were reauthorized or eliminated by the budget director in the preceding three months. </w:t>
            </w:r>
          </w:p>
          <w:p w14:paraId="42847C4C" w14:textId="77777777" w:rsidR="00870FFB" w:rsidRDefault="00870FFB" w:rsidP="00312DE4">
            <w:pPr>
              <w:spacing w:after="0" w:line="240" w:lineRule="auto"/>
              <w:rPr>
                <w:rFonts w:ascii="Century Gothic" w:hAnsi="Century Gothic"/>
                <w:bCs/>
                <w:sz w:val="20"/>
                <w:szCs w:val="20"/>
              </w:rPr>
            </w:pPr>
          </w:p>
          <w:p w14:paraId="1A71881B" w14:textId="77777777" w:rsidR="00870FFB" w:rsidRDefault="00312DE4" w:rsidP="00312DE4">
            <w:pPr>
              <w:spacing w:after="0" w:line="240" w:lineRule="auto"/>
              <w:rPr>
                <w:rFonts w:ascii="Century Gothic" w:hAnsi="Century Gothic"/>
                <w:bCs/>
                <w:sz w:val="20"/>
                <w:szCs w:val="20"/>
              </w:rPr>
            </w:pPr>
            <w:r w:rsidRPr="004830EC">
              <w:rPr>
                <w:rFonts w:ascii="Century Gothic" w:hAnsi="Century Gothic"/>
                <w:bCs/>
                <w:sz w:val="20"/>
                <w:szCs w:val="20"/>
              </w:rPr>
              <w:t xml:space="preserve">Requires a state agency to provide quarterly reports to the budget committee regarding the state agency's active contracts. </w:t>
            </w:r>
          </w:p>
          <w:p w14:paraId="7B5D52CE" w14:textId="77777777" w:rsidR="00870FFB" w:rsidRDefault="00870FFB" w:rsidP="00312DE4">
            <w:pPr>
              <w:spacing w:after="0" w:line="240" w:lineRule="auto"/>
              <w:rPr>
                <w:rFonts w:ascii="Century Gothic" w:hAnsi="Century Gothic"/>
                <w:bCs/>
                <w:sz w:val="20"/>
                <w:szCs w:val="20"/>
              </w:rPr>
            </w:pPr>
          </w:p>
          <w:p w14:paraId="1B4168FE" w14:textId="77777777" w:rsidR="003830C1" w:rsidRDefault="00312DE4" w:rsidP="00312DE4">
            <w:pPr>
              <w:spacing w:after="0" w:line="240" w:lineRule="auto"/>
              <w:rPr>
                <w:rFonts w:ascii="Century Gothic" w:hAnsi="Century Gothic"/>
                <w:bCs/>
                <w:sz w:val="20"/>
                <w:szCs w:val="20"/>
              </w:rPr>
            </w:pPr>
            <w:r w:rsidRPr="004830EC">
              <w:rPr>
                <w:rFonts w:ascii="Century Gothic" w:hAnsi="Century Gothic"/>
                <w:bCs/>
                <w:sz w:val="20"/>
                <w:szCs w:val="20"/>
              </w:rPr>
              <w:t xml:space="preserve">Provides for the reversion of funds appropriated to a state agency for expenses related to a contract that are unused after the end of the contract term. </w:t>
            </w:r>
          </w:p>
          <w:p w14:paraId="4D503AB0" w14:textId="77777777" w:rsidR="003830C1" w:rsidRDefault="003830C1" w:rsidP="00312DE4">
            <w:pPr>
              <w:spacing w:after="0" w:line="240" w:lineRule="auto"/>
              <w:rPr>
                <w:rFonts w:ascii="Century Gothic" w:hAnsi="Century Gothic"/>
                <w:bCs/>
                <w:sz w:val="20"/>
                <w:szCs w:val="20"/>
              </w:rPr>
            </w:pPr>
          </w:p>
          <w:p w14:paraId="02C09FAA" w14:textId="77777777" w:rsidR="003830C1" w:rsidRDefault="00312DE4" w:rsidP="00312DE4">
            <w:pPr>
              <w:spacing w:after="0" w:line="240" w:lineRule="auto"/>
              <w:rPr>
                <w:rFonts w:ascii="Century Gothic" w:hAnsi="Century Gothic"/>
                <w:bCs/>
                <w:sz w:val="20"/>
                <w:szCs w:val="20"/>
              </w:rPr>
            </w:pPr>
            <w:r w:rsidRPr="004830EC">
              <w:rPr>
                <w:rFonts w:ascii="Century Gothic" w:hAnsi="Century Gothic"/>
                <w:bCs/>
                <w:sz w:val="20"/>
                <w:szCs w:val="20"/>
              </w:rPr>
              <w:t xml:space="preserve">Requires the department of administration (department) to develop certain contract language to be included in state contracts of $500,000 or more. </w:t>
            </w:r>
          </w:p>
          <w:p w14:paraId="2050B5D9" w14:textId="77777777" w:rsidR="003830C1" w:rsidRDefault="003830C1" w:rsidP="00312DE4">
            <w:pPr>
              <w:spacing w:after="0" w:line="240" w:lineRule="auto"/>
              <w:rPr>
                <w:rFonts w:ascii="Century Gothic" w:hAnsi="Century Gothic"/>
                <w:bCs/>
                <w:sz w:val="20"/>
                <w:szCs w:val="20"/>
              </w:rPr>
            </w:pPr>
          </w:p>
          <w:p w14:paraId="135D5477" w14:textId="77777777" w:rsidR="000171ED" w:rsidRDefault="00312DE4" w:rsidP="00312DE4">
            <w:pPr>
              <w:spacing w:after="0" w:line="240" w:lineRule="auto"/>
              <w:rPr>
                <w:rFonts w:ascii="Century Gothic" w:hAnsi="Century Gothic"/>
                <w:bCs/>
                <w:sz w:val="20"/>
                <w:szCs w:val="20"/>
              </w:rPr>
            </w:pPr>
            <w:r w:rsidRPr="004830EC">
              <w:rPr>
                <w:rFonts w:ascii="Century Gothic" w:hAnsi="Century Gothic"/>
                <w:bCs/>
                <w:sz w:val="20"/>
                <w:szCs w:val="20"/>
              </w:rPr>
              <w:t xml:space="preserve">Requires a state agency to provide a report to the budget committee concerning amendments to a contract that: (1) increase the maximum contract amount by not less than $500,000; or (2) for a contract with an initial maximum contract amount of not less than $500,000, extend the term of the contract by not less than six months. </w:t>
            </w:r>
          </w:p>
          <w:p w14:paraId="4601FEAF" w14:textId="77777777" w:rsidR="000171ED" w:rsidRDefault="000171ED" w:rsidP="00312DE4">
            <w:pPr>
              <w:spacing w:after="0" w:line="240" w:lineRule="auto"/>
              <w:rPr>
                <w:rFonts w:ascii="Century Gothic" w:hAnsi="Century Gothic"/>
                <w:bCs/>
                <w:sz w:val="20"/>
                <w:szCs w:val="20"/>
              </w:rPr>
            </w:pPr>
          </w:p>
          <w:p w14:paraId="35BB9A40" w14:textId="77777777" w:rsidR="000171ED" w:rsidRDefault="00312DE4" w:rsidP="00312DE4">
            <w:pPr>
              <w:spacing w:after="0" w:line="240" w:lineRule="auto"/>
              <w:rPr>
                <w:rFonts w:ascii="Century Gothic" w:hAnsi="Century Gothic"/>
                <w:bCs/>
                <w:sz w:val="20"/>
                <w:szCs w:val="20"/>
              </w:rPr>
            </w:pPr>
            <w:r w:rsidRPr="004830EC">
              <w:rPr>
                <w:rFonts w:ascii="Century Gothic" w:hAnsi="Century Gothic"/>
                <w:bCs/>
                <w:sz w:val="20"/>
                <w:szCs w:val="20"/>
              </w:rPr>
              <w:t xml:space="preserve">Prohibits a state agency from </w:t>
            </w:r>
            <w:proofErr w:type="gramStart"/>
            <w:r w:rsidRPr="004830EC">
              <w:rPr>
                <w:rFonts w:ascii="Century Gothic" w:hAnsi="Century Gothic"/>
                <w:bCs/>
                <w:sz w:val="20"/>
                <w:szCs w:val="20"/>
              </w:rPr>
              <w:t>entering into</w:t>
            </w:r>
            <w:proofErr w:type="gramEnd"/>
            <w:r w:rsidRPr="004830EC">
              <w:rPr>
                <w:rFonts w:ascii="Century Gothic" w:hAnsi="Century Gothic"/>
                <w:bCs/>
                <w:sz w:val="20"/>
                <w:szCs w:val="20"/>
              </w:rPr>
              <w:t xml:space="preserve"> a nonpublic contract. Requires all contract opportunities </w:t>
            </w:r>
            <w:proofErr w:type="gramStart"/>
            <w:r w:rsidRPr="004830EC">
              <w:rPr>
                <w:rFonts w:ascii="Century Gothic" w:hAnsi="Century Gothic"/>
                <w:bCs/>
                <w:sz w:val="20"/>
                <w:szCs w:val="20"/>
              </w:rPr>
              <w:t>of</w:t>
            </w:r>
            <w:proofErr w:type="gramEnd"/>
            <w:r w:rsidRPr="004830EC">
              <w:rPr>
                <w:rFonts w:ascii="Century Gothic" w:hAnsi="Century Gothic"/>
                <w:bCs/>
                <w:sz w:val="20"/>
                <w:szCs w:val="20"/>
              </w:rPr>
              <w:t xml:space="preserve"> state agencies to be posted in the form of a request for proposals or a request for quotations on the department's website at least 30 days prior to the contract being awarded. </w:t>
            </w:r>
          </w:p>
          <w:p w14:paraId="6EBE3BCB" w14:textId="0554CF36" w:rsidR="00312DE4" w:rsidRPr="00CC0B1A" w:rsidRDefault="00312DE4" w:rsidP="00312DE4">
            <w:pPr>
              <w:spacing w:after="0" w:line="240" w:lineRule="auto"/>
              <w:rPr>
                <w:rFonts w:ascii="Century Gothic" w:hAnsi="Century Gothic"/>
                <w:bCs/>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3E0B412" w14:textId="77777777" w:rsidR="00312DE4" w:rsidRDefault="00A87E70" w:rsidP="00312DE4">
            <w:pPr>
              <w:spacing w:after="0" w:line="240" w:lineRule="auto"/>
              <w:jc w:val="center"/>
              <w:rPr>
                <w:rFonts w:ascii="Century Gothic" w:hAnsi="Century Gothic"/>
                <w:bCs/>
                <w:sz w:val="20"/>
                <w:szCs w:val="20"/>
              </w:rPr>
            </w:pPr>
            <w:r>
              <w:rPr>
                <w:rFonts w:ascii="Century Gothic" w:hAnsi="Century Gothic"/>
                <w:bCs/>
                <w:sz w:val="20"/>
                <w:szCs w:val="20"/>
              </w:rPr>
              <w:lastRenderedPageBreak/>
              <w:t>July 1, 2025</w:t>
            </w:r>
          </w:p>
          <w:p w14:paraId="3D69ED6D" w14:textId="77777777" w:rsidR="00600DE5" w:rsidRDefault="00600DE5" w:rsidP="00312DE4">
            <w:pPr>
              <w:spacing w:after="0" w:line="240" w:lineRule="auto"/>
              <w:jc w:val="center"/>
              <w:rPr>
                <w:rFonts w:ascii="Century Gothic" w:hAnsi="Century Gothic"/>
                <w:bCs/>
                <w:sz w:val="20"/>
                <w:szCs w:val="20"/>
              </w:rPr>
            </w:pPr>
          </w:p>
          <w:p w14:paraId="05F023BB" w14:textId="77777777" w:rsidR="00600DE5" w:rsidRDefault="00600DE5" w:rsidP="00312DE4">
            <w:pPr>
              <w:spacing w:after="0" w:line="240" w:lineRule="auto"/>
              <w:jc w:val="center"/>
              <w:rPr>
                <w:rFonts w:ascii="Century Gothic" w:hAnsi="Century Gothic"/>
                <w:bCs/>
                <w:sz w:val="20"/>
                <w:szCs w:val="20"/>
              </w:rPr>
            </w:pPr>
          </w:p>
          <w:p w14:paraId="130B517A" w14:textId="77777777" w:rsidR="00600DE5" w:rsidRDefault="00600DE5" w:rsidP="00312DE4">
            <w:pPr>
              <w:spacing w:after="0" w:line="240" w:lineRule="auto"/>
              <w:jc w:val="center"/>
              <w:rPr>
                <w:rFonts w:ascii="Century Gothic" w:hAnsi="Century Gothic"/>
                <w:bCs/>
                <w:sz w:val="20"/>
                <w:szCs w:val="20"/>
              </w:rPr>
            </w:pPr>
          </w:p>
          <w:p w14:paraId="4E2FD6D4" w14:textId="77777777" w:rsidR="00600DE5" w:rsidRDefault="00600DE5" w:rsidP="00312DE4">
            <w:pPr>
              <w:spacing w:after="0" w:line="240" w:lineRule="auto"/>
              <w:jc w:val="center"/>
              <w:rPr>
                <w:rFonts w:ascii="Century Gothic" w:hAnsi="Century Gothic"/>
                <w:bCs/>
                <w:sz w:val="20"/>
                <w:szCs w:val="20"/>
              </w:rPr>
            </w:pPr>
          </w:p>
          <w:p w14:paraId="7BC2686E" w14:textId="77777777" w:rsidR="00600DE5" w:rsidRDefault="00600DE5" w:rsidP="00312DE4">
            <w:pPr>
              <w:spacing w:after="0" w:line="240" w:lineRule="auto"/>
              <w:jc w:val="center"/>
              <w:rPr>
                <w:rFonts w:ascii="Century Gothic" w:hAnsi="Century Gothic"/>
                <w:bCs/>
                <w:sz w:val="20"/>
                <w:szCs w:val="20"/>
              </w:rPr>
            </w:pPr>
          </w:p>
          <w:p w14:paraId="1E3E20C9" w14:textId="77777777" w:rsidR="00600DE5" w:rsidRDefault="00600DE5" w:rsidP="00312DE4">
            <w:pPr>
              <w:spacing w:after="0" w:line="240" w:lineRule="auto"/>
              <w:jc w:val="center"/>
              <w:rPr>
                <w:rFonts w:ascii="Century Gothic" w:hAnsi="Century Gothic"/>
                <w:bCs/>
                <w:sz w:val="20"/>
                <w:szCs w:val="20"/>
              </w:rPr>
            </w:pPr>
          </w:p>
          <w:p w14:paraId="52D97172" w14:textId="77777777" w:rsidR="00600DE5" w:rsidRDefault="00600DE5" w:rsidP="00312DE4">
            <w:pPr>
              <w:spacing w:after="0" w:line="240" w:lineRule="auto"/>
              <w:jc w:val="center"/>
              <w:rPr>
                <w:rFonts w:ascii="Century Gothic" w:hAnsi="Century Gothic"/>
                <w:bCs/>
                <w:sz w:val="20"/>
                <w:szCs w:val="20"/>
              </w:rPr>
            </w:pPr>
          </w:p>
          <w:p w14:paraId="49102CE0" w14:textId="77777777" w:rsidR="00600DE5" w:rsidRDefault="00600DE5" w:rsidP="00312DE4">
            <w:pPr>
              <w:spacing w:after="0" w:line="240" w:lineRule="auto"/>
              <w:jc w:val="center"/>
              <w:rPr>
                <w:rFonts w:ascii="Century Gothic" w:hAnsi="Century Gothic"/>
                <w:bCs/>
                <w:sz w:val="20"/>
                <w:szCs w:val="20"/>
              </w:rPr>
            </w:pPr>
          </w:p>
          <w:p w14:paraId="7EB81508" w14:textId="77777777" w:rsidR="00600DE5" w:rsidRDefault="00600DE5" w:rsidP="00312DE4">
            <w:pPr>
              <w:spacing w:after="0" w:line="240" w:lineRule="auto"/>
              <w:jc w:val="center"/>
              <w:rPr>
                <w:rFonts w:ascii="Century Gothic" w:hAnsi="Century Gothic"/>
                <w:bCs/>
                <w:sz w:val="20"/>
                <w:szCs w:val="20"/>
              </w:rPr>
            </w:pPr>
          </w:p>
          <w:p w14:paraId="1B454E63" w14:textId="77777777" w:rsidR="00600DE5" w:rsidRDefault="00600DE5" w:rsidP="00312DE4">
            <w:pPr>
              <w:spacing w:after="0" w:line="240" w:lineRule="auto"/>
              <w:jc w:val="center"/>
              <w:rPr>
                <w:rFonts w:ascii="Century Gothic" w:hAnsi="Century Gothic"/>
                <w:bCs/>
                <w:sz w:val="20"/>
                <w:szCs w:val="20"/>
              </w:rPr>
            </w:pPr>
          </w:p>
          <w:p w14:paraId="5393DFC5" w14:textId="77777777" w:rsidR="00600DE5" w:rsidRDefault="00600DE5" w:rsidP="00312DE4">
            <w:pPr>
              <w:spacing w:after="0" w:line="240" w:lineRule="auto"/>
              <w:jc w:val="center"/>
              <w:rPr>
                <w:rFonts w:ascii="Century Gothic" w:hAnsi="Century Gothic"/>
                <w:bCs/>
                <w:sz w:val="20"/>
                <w:szCs w:val="20"/>
              </w:rPr>
            </w:pPr>
          </w:p>
          <w:p w14:paraId="700FF92C" w14:textId="24D2238E" w:rsidR="00600DE5" w:rsidRDefault="00600DE5" w:rsidP="00312DE4">
            <w:pPr>
              <w:spacing w:after="0" w:line="240" w:lineRule="auto"/>
              <w:jc w:val="center"/>
              <w:rPr>
                <w:rFonts w:ascii="Century Gothic" w:hAnsi="Century Gothic"/>
                <w:bCs/>
                <w:sz w:val="20"/>
                <w:szCs w:val="20"/>
              </w:rPr>
            </w:pPr>
            <w:r>
              <w:rPr>
                <w:rFonts w:ascii="Century Gothic" w:hAnsi="Century Gothic"/>
                <w:bCs/>
                <w:sz w:val="20"/>
                <w:szCs w:val="20"/>
              </w:rPr>
              <w:t>Ju</w:t>
            </w:r>
            <w:r w:rsidR="00B0438F">
              <w:rPr>
                <w:rFonts w:ascii="Century Gothic" w:hAnsi="Century Gothic"/>
                <w:bCs/>
                <w:sz w:val="20"/>
                <w:szCs w:val="20"/>
              </w:rPr>
              <w:t>ly 1, 2025</w:t>
            </w:r>
          </w:p>
          <w:p w14:paraId="301E2C34" w14:textId="77777777" w:rsidR="00B0438F" w:rsidRDefault="00B0438F" w:rsidP="00312DE4">
            <w:pPr>
              <w:spacing w:after="0" w:line="240" w:lineRule="auto"/>
              <w:jc w:val="center"/>
              <w:rPr>
                <w:rFonts w:ascii="Century Gothic" w:hAnsi="Century Gothic"/>
                <w:bCs/>
                <w:sz w:val="20"/>
                <w:szCs w:val="20"/>
              </w:rPr>
            </w:pPr>
          </w:p>
          <w:p w14:paraId="62A04973" w14:textId="77777777" w:rsidR="00B0438F" w:rsidRDefault="00B0438F" w:rsidP="00312DE4">
            <w:pPr>
              <w:spacing w:after="0" w:line="240" w:lineRule="auto"/>
              <w:jc w:val="center"/>
              <w:rPr>
                <w:rFonts w:ascii="Century Gothic" w:hAnsi="Century Gothic"/>
                <w:bCs/>
                <w:sz w:val="20"/>
                <w:szCs w:val="20"/>
              </w:rPr>
            </w:pPr>
          </w:p>
          <w:p w14:paraId="2D9A3B46" w14:textId="77777777" w:rsidR="00B0438F" w:rsidRDefault="00B0438F" w:rsidP="00312DE4">
            <w:pPr>
              <w:spacing w:after="0" w:line="240" w:lineRule="auto"/>
              <w:jc w:val="center"/>
              <w:rPr>
                <w:rFonts w:ascii="Century Gothic" w:hAnsi="Century Gothic"/>
                <w:bCs/>
                <w:sz w:val="20"/>
                <w:szCs w:val="20"/>
              </w:rPr>
            </w:pPr>
          </w:p>
          <w:p w14:paraId="161E050A" w14:textId="5628FB2E" w:rsidR="00B0438F" w:rsidRDefault="00B0438F"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56EB4214" w14:textId="77777777" w:rsidR="00E822B9" w:rsidRDefault="00E822B9" w:rsidP="00312DE4">
            <w:pPr>
              <w:spacing w:after="0" w:line="240" w:lineRule="auto"/>
              <w:jc w:val="center"/>
              <w:rPr>
                <w:rFonts w:ascii="Century Gothic" w:hAnsi="Century Gothic"/>
                <w:bCs/>
                <w:sz w:val="20"/>
                <w:szCs w:val="20"/>
              </w:rPr>
            </w:pPr>
          </w:p>
          <w:p w14:paraId="767C6459" w14:textId="77777777" w:rsidR="00E822B9" w:rsidRDefault="00E822B9" w:rsidP="00312DE4">
            <w:pPr>
              <w:spacing w:after="0" w:line="240" w:lineRule="auto"/>
              <w:jc w:val="center"/>
              <w:rPr>
                <w:rFonts w:ascii="Century Gothic" w:hAnsi="Century Gothic"/>
                <w:bCs/>
                <w:sz w:val="20"/>
                <w:szCs w:val="20"/>
              </w:rPr>
            </w:pPr>
          </w:p>
          <w:p w14:paraId="5545C37B" w14:textId="77777777" w:rsidR="00E822B9" w:rsidRDefault="00E822B9" w:rsidP="00312DE4">
            <w:pPr>
              <w:spacing w:after="0" w:line="240" w:lineRule="auto"/>
              <w:jc w:val="center"/>
              <w:rPr>
                <w:rFonts w:ascii="Century Gothic" w:hAnsi="Century Gothic"/>
                <w:bCs/>
                <w:sz w:val="20"/>
                <w:szCs w:val="20"/>
              </w:rPr>
            </w:pPr>
          </w:p>
          <w:p w14:paraId="0B5E4FB1" w14:textId="77777777" w:rsidR="00E822B9" w:rsidRDefault="00E822B9" w:rsidP="00312DE4">
            <w:pPr>
              <w:spacing w:after="0" w:line="240" w:lineRule="auto"/>
              <w:jc w:val="center"/>
              <w:rPr>
                <w:rFonts w:ascii="Century Gothic" w:hAnsi="Century Gothic"/>
                <w:bCs/>
                <w:sz w:val="20"/>
                <w:szCs w:val="20"/>
              </w:rPr>
            </w:pPr>
          </w:p>
          <w:p w14:paraId="4AB50F27" w14:textId="77777777" w:rsidR="00E822B9" w:rsidRDefault="00E822B9" w:rsidP="00312DE4">
            <w:pPr>
              <w:spacing w:after="0" w:line="240" w:lineRule="auto"/>
              <w:jc w:val="center"/>
              <w:rPr>
                <w:rFonts w:ascii="Century Gothic" w:hAnsi="Century Gothic"/>
                <w:bCs/>
                <w:sz w:val="20"/>
                <w:szCs w:val="20"/>
              </w:rPr>
            </w:pPr>
          </w:p>
          <w:p w14:paraId="3CA20DD9" w14:textId="77777777" w:rsidR="00E822B9" w:rsidRDefault="00E822B9" w:rsidP="00312DE4">
            <w:pPr>
              <w:spacing w:after="0" w:line="240" w:lineRule="auto"/>
              <w:jc w:val="center"/>
              <w:rPr>
                <w:rFonts w:ascii="Century Gothic" w:hAnsi="Century Gothic"/>
                <w:bCs/>
                <w:sz w:val="20"/>
                <w:szCs w:val="20"/>
              </w:rPr>
            </w:pPr>
          </w:p>
          <w:p w14:paraId="26B04713" w14:textId="77777777" w:rsidR="00E822B9" w:rsidRDefault="00E822B9" w:rsidP="00312DE4">
            <w:pPr>
              <w:spacing w:after="0" w:line="240" w:lineRule="auto"/>
              <w:jc w:val="center"/>
              <w:rPr>
                <w:rFonts w:ascii="Century Gothic" w:hAnsi="Century Gothic"/>
                <w:bCs/>
                <w:sz w:val="20"/>
                <w:szCs w:val="20"/>
              </w:rPr>
            </w:pPr>
          </w:p>
          <w:p w14:paraId="3F69D2BC" w14:textId="77777777" w:rsidR="00E822B9" w:rsidRDefault="00E822B9" w:rsidP="00312DE4">
            <w:pPr>
              <w:spacing w:after="0" w:line="240" w:lineRule="auto"/>
              <w:jc w:val="center"/>
              <w:rPr>
                <w:rFonts w:ascii="Century Gothic" w:hAnsi="Century Gothic"/>
                <w:bCs/>
                <w:sz w:val="20"/>
                <w:szCs w:val="20"/>
              </w:rPr>
            </w:pPr>
          </w:p>
          <w:p w14:paraId="67D33AC9" w14:textId="77777777" w:rsidR="00530F60" w:rsidRDefault="001108E7" w:rsidP="00312DE4">
            <w:pPr>
              <w:spacing w:after="0" w:line="240" w:lineRule="auto"/>
              <w:jc w:val="center"/>
              <w:rPr>
                <w:rFonts w:ascii="Century Gothic" w:hAnsi="Century Gothic"/>
                <w:bCs/>
                <w:sz w:val="20"/>
                <w:szCs w:val="20"/>
              </w:rPr>
            </w:pPr>
            <w:r>
              <w:rPr>
                <w:rFonts w:ascii="Century Gothic" w:hAnsi="Century Gothic"/>
                <w:bCs/>
                <w:sz w:val="20"/>
                <w:szCs w:val="20"/>
              </w:rPr>
              <w:t>Upon Passage</w:t>
            </w:r>
          </w:p>
          <w:p w14:paraId="199D3091" w14:textId="77777777" w:rsidR="00073284" w:rsidRDefault="00073284" w:rsidP="00312DE4">
            <w:pPr>
              <w:spacing w:after="0" w:line="240" w:lineRule="auto"/>
              <w:jc w:val="center"/>
              <w:rPr>
                <w:rFonts w:ascii="Century Gothic" w:hAnsi="Century Gothic"/>
                <w:bCs/>
                <w:sz w:val="20"/>
                <w:szCs w:val="20"/>
              </w:rPr>
            </w:pPr>
          </w:p>
          <w:p w14:paraId="0ED9CC47" w14:textId="77777777" w:rsidR="00073284" w:rsidRDefault="00073284" w:rsidP="00312DE4">
            <w:pPr>
              <w:spacing w:after="0" w:line="240" w:lineRule="auto"/>
              <w:jc w:val="center"/>
              <w:rPr>
                <w:rFonts w:ascii="Century Gothic" w:hAnsi="Century Gothic"/>
                <w:bCs/>
                <w:sz w:val="20"/>
                <w:szCs w:val="20"/>
              </w:rPr>
            </w:pPr>
          </w:p>
          <w:p w14:paraId="06AEB804" w14:textId="77777777" w:rsidR="00073284" w:rsidRDefault="00073284" w:rsidP="00312DE4">
            <w:pPr>
              <w:spacing w:after="0" w:line="240" w:lineRule="auto"/>
              <w:jc w:val="center"/>
              <w:rPr>
                <w:rFonts w:ascii="Century Gothic" w:hAnsi="Century Gothic"/>
                <w:bCs/>
                <w:sz w:val="20"/>
                <w:szCs w:val="20"/>
              </w:rPr>
            </w:pPr>
            <w:r>
              <w:rPr>
                <w:rFonts w:ascii="Century Gothic" w:hAnsi="Century Gothic"/>
                <w:bCs/>
                <w:sz w:val="20"/>
                <w:szCs w:val="20"/>
              </w:rPr>
              <w:t>Upon Passage</w:t>
            </w:r>
          </w:p>
          <w:p w14:paraId="6CF1D487" w14:textId="77777777" w:rsidR="00073284" w:rsidRDefault="00073284" w:rsidP="00312DE4">
            <w:pPr>
              <w:spacing w:after="0" w:line="240" w:lineRule="auto"/>
              <w:jc w:val="center"/>
              <w:rPr>
                <w:rFonts w:ascii="Century Gothic" w:hAnsi="Century Gothic"/>
                <w:bCs/>
                <w:sz w:val="20"/>
                <w:szCs w:val="20"/>
              </w:rPr>
            </w:pPr>
          </w:p>
          <w:p w14:paraId="223D3D6E" w14:textId="77777777" w:rsidR="00073284" w:rsidRDefault="00073284" w:rsidP="00312DE4">
            <w:pPr>
              <w:spacing w:after="0" w:line="240" w:lineRule="auto"/>
              <w:jc w:val="center"/>
              <w:rPr>
                <w:rFonts w:ascii="Century Gothic" w:hAnsi="Century Gothic"/>
                <w:bCs/>
                <w:sz w:val="20"/>
                <w:szCs w:val="20"/>
              </w:rPr>
            </w:pPr>
          </w:p>
          <w:p w14:paraId="6A307469" w14:textId="5FEECE70" w:rsidR="00073284" w:rsidRDefault="00073284" w:rsidP="00312DE4">
            <w:pPr>
              <w:spacing w:after="0" w:line="240" w:lineRule="auto"/>
              <w:jc w:val="center"/>
              <w:rPr>
                <w:rFonts w:ascii="Century Gothic" w:hAnsi="Century Gothic"/>
                <w:bCs/>
                <w:sz w:val="20"/>
                <w:szCs w:val="20"/>
              </w:rPr>
            </w:pPr>
            <w:r>
              <w:rPr>
                <w:rFonts w:ascii="Century Gothic" w:hAnsi="Century Gothic"/>
                <w:bCs/>
                <w:sz w:val="20"/>
                <w:szCs w:val="20"/>
              </w:rPr>
              <w:t>Upon Passage</w:t>
            </w:r>
          </w:p>
          <w:p w14:paraId="2FAE8BE3" w14:textId="77777777" w:rsidR="00073284" w:rsidRDefault="00073284" w:rsidP="00312DE4">
            <w:pPr>
              <w:spacing w:after="0" w:line="240" w:lineRule="auto"/>
              <w:jc w:val="center"/>
              <w:rPr>
                <w:rFonts w:ascii="Century Gothic" w:hAnsi="Century Gothic"/>
                <w:bCs/>
                <w:sz w:val="20"/>
                <w:szCs w:val="20"/>
              </w:rPr>
            </w:pPr>
          </w:p>
          <w:p w14:paraId="6E14352A" w14:textId="77777777" w:rsidR="00073284" w:rsidRDefault="00073284" w:rsidP="00312DE4">
            <w:pPr>
              <w:spacing w:after="0" w:line="240" w:lineRule="auto"/>
              <w:jc w:val="center"/>
              <w:rPr>
                <w:rFonts w:ascii="Century Gothic" w:hAnsi="Century Gothic"/>
                <w:bCs/>
                <w:sz w:val="20"/>
                <w:szCs w:val="20"/>
              </w:rPr>
            </w:pPr>
          </w:p>
          <w:p w14:paraId="324CDC19" w14:textId="1BA222B7" w:rsidR="00073284" w:rsidRDefault="00073284" w:rsidP="00312DE4">
            <w:pPr>
              <w:spacing w:after="0" w:line="240" w:lineRule="auto"/>
              <w:jc w:val="center"/>
              <w:rPr>
                <w:rFonts w:ascii="Century Gothic" w:hAnsi="Century Gothic"/>
                <w:bCs/>
                <w:sz w:val="20"/>
                <w:szCs w:val="20"/>
              </w:rPr>
            </w:pPr>
            <w:r>
              <w:rPr>
                <w:rFonts w:ascii="Century Gothic" w:hAnsi="Century Gothic"/>
                <w:bCs/>
                <w:sz w:val="20"/>
                <w:szCs w:val="20"/>
              </w:rPr>
              <w:t>Upon Passage</w:t>
            </w:r>
          </w:p>
          <w:p w14:paraId="330FE34B" w14:textId="77777777" w:rsidR="00073284" w:rsidRDefault="00073284" w:rsidP="00312DE4">
            <w:pPr>
              <w:spacing w:after="0" w:line="240" w:lineRule="auto"/>
              <w:jc w:val="center"/>
              <w:rPr>
                <w:rFonts w:ascii="Century Gothic" w:hAnsi="Century Gothic"/>
                <w:bCs/>
                <w:sz w:val="20"/>
                <w:szCs w:val="20"/>
              </w:rPr>
            </w:pPr>
          </w:p>
          <w:p w14:paraId="35B7EEC0" w14:textId="77777777" w:rsidR="00073284" w:rsidRDefault="00073284" w:rsidP="00312DE4">
            <w:pPr>
              <w:spacing w:after="0" w:line="240" w:lineRule="auto"/>
              <w:jc w:val="center"/>
              <w:rPr>
                <w:rFonts w:ascii="Century Gothic" w:hAnsi="Century Gothic"/>
                <w:bCs/>
                <w:sz w:val="20"/>
                <w:szCs w:val="20"/>
              </w:rPr>
            </w:pPr>
          </w:p>
          <w:p w14:paraId="307219BC" w14:textId="77777777" w:rsidR="00073284" w:rsidRDefault="00073284" w:rsidP="00312DE4">
            <w:pPr>
              <w:spacing w:after="0" w:line="240" w:lineRule="auto"/>
              <w:jc w:val="center"/>
              <w:rPr>
                <w:rFonts w:ascii="Century Gothic" w:hAnsi="Century Gothic"/>
                <w:bCs/>
                <w:sz w:val="20"/>
                <w:szCs w:val="20"/>
              </w:rPr>
            </w:pPr>
          </w:p>
          <w:p w14:paraId="7DC2558E" w14:textId="77777777" w:rsidR="00073284" w:rsidRDefault="00073284" w:rsidP="00312DE4">
            <w:pPr>
              <w:spacing w:after="0" w:line="240" w:lineRule="auto"/>
              <w:jc w:val="center"/>
              <w:rPr>
                <w:rFonts w:ascii="Century Gothic" w:hAnsi="Century Gothic"/>
                <w:bCs/>
                <w:sz w:val="20"/>
                <w:szCs w:val="20"/>
              </w:rPr>
            </w:pPr>
          </w:p>
          <w:p w14:paraId="2D7BEAC5" w14:textId="77777777" w:rsidR="00073284" w:rsidRDefault="00073284" w:rsidP="00312DE4">
            <w:pPr>
              <w:spacing w:after="0" w:line="240" w:lineRule="auto"/>
              <w:jc w:val="center"/>
              <w:rPr>
                <w:rFonts w:ascii="Century Gothic" w:hAnsi="Century Gothic"/>
                <w:bCs/>
                <w:sz w:val="20"/>
                <w:szCs w:val="20"/>
              </w:rPr>
            </w:pPr>
          </w:p>
          <w:p w14:paraId="0AB90F31" w14:textId="3CB8D90E" w:rsidR="00073284" w:rsidRDefault="00073284" w:rsidP="00312DE4">
            <w:pPr>
              <w:spacing w:after="0" w:line="240" w:lineRule="auto"/>
              <w:jc w:val="center"/>
              <w:rPr>
                <w:rFonts w:ascii="Century Gothic" w:hAnsi="Century Gothic"/>
                <w:bCs/>
                <w:sz w:val="20"/>
                <w:szCs w:val="20"/>
              </w:rPr>
            </w:pPr>
            <w:r>
              <w:rPr>
                <w:rFonts w:ascii="Century Gothic" w:hAnsi="Century Gothic"/>
                <w:bCs/>
                <w:sz w:val="20"/>
                <w:szCs w:val="20"/>
              </w:rPr>
              <w:t>Upon Passage</w:t>
            </w:r>
          </w:p>
          <w:p w14:paraId="26D461CE" w14:textId="77777777" w:rsidR="00073284" w:rsidRDefault="00073284" w:rsidP="00312DE4">
            <w:pPr>
              <w:spacing w:after="0" w:line="240" w:lineRule="auto"/>
              <w:jc w:val="center"/>
              <w:rPr>
                <w:rFonts w:ascii="Century Gothic" w:hAnsi="Century Gothic"/>
                <w:bCs/>
                <w:sz w:val="20"/>
                <w:szCs w:val="20"/>
              </w:rPr>
            </w:pPr>
          </w:p>
          <w:p w14:paraId="460DD49B" w14:textId="77777777" w:rsidR="00073284" w:rsidRDefault="00073284" w:rsidP="00312DE4">
            <w:pPr>
              <w:spacing w:after="0" w:line="240" w:lineRule="auto"/>
              <w:jc w:val="center"/>
              <w:rPr>
                <w:rFonts w:ascii="Century Gothic" w:hAnsi="Century Gothic"/>
                <w:bCs/>
                <w:sz w:val="20"/>
                <w:szCs w:val="20"/>
              </w:rPr>
            </w:pPr>
          </w:p>
          <w:p w14:paraId="1308BD6E" w14:textId="547E846D" w:rsidR="00073284" w:rsidRDefault="00073284" w:rsidP="00312DE4">
            <w:pPr>
              <w:spacing w:after="0" w:line="240" w:lineRule="auto"/>
              <w:jc w:val="center"/>
              <w:rPr>
                <w:rFonts w:ascii="Century Gothic" w:hAnsi="Century Gothic"/>
                <w:bCs/>
                <w:sz w:val="20"/>
                <w:szCs w:val="20"/>
              </w:rPr>
            </w:pPr>
          </w:p>
        </w:tc>
      </w:tr>
      <w:tr w:rsidR="00312DE4" w:rsidRPr="00A172D1" w14:paraId="36EA7FE7" w14:textId="77777777" w:rsidTr="00141D6C">
        <w:tc>
          <w:tcPr>
            <w:tcW w:w="1918" w:type="dxa"/>
            <w:tcBorders>
              <w:top w:val="single" w:sz="4" w:space="0" w:color="auto"/>
              <w:left w:val="single" w:sz="4" w:space="0" w:color="auto"/>
              <w:bottom w:val="single" w:sz="4" w:space="0" w:color="auto"/>
              <w:right w:val="single" w:sz="4" w:space="0" w:color="auto"/>
            </w:tcBorders>
          </w:tcPr>
          <w:p w14:paraId="0FF88C3F" w14:textId="77777777" w:rsidR="00312DE4" w:rsidRDefault="00312DE4" w:rsidP="00312DE4">
            <w:pPr>
              <w:spacing w:after="0" w:line="240" w:lineRule="auto"/>
              <w:jc w:val="center"/>
              <w:rPr>
                <w:rFonts w:ascii="Century Gothic" w:hAnsi="Century Gothic"/>
                <w:bCs/>
                <w:sz w:val="20"/>
                <w:szCs w:val="20"/>
              </w:rPr>
            </w:pPr>
            <w:hyperlink r:id="rId10" w:history="1">
              <w:r w:rsidRPr="00F3291C">
                <w:rPr>
                  <w:rStyle w:val="Hyperlink"/>
                  <w:rFonts w:ascii="Century Gothic" w:hAnsi="Century Gothic"/>
                  <w:bCs/>
                  <w:sz w:val="20"/>
                  <w:szCs w:val="20"/>
                </w:rPr>
                <w:t>SEA 143</w:t>
              </w:r>
            </w:hyperlink>
          </w:p>
          <w:p w14:paraId="4D28F652" w14:textId="77777777" w:rsidR="00312DE4" w:rsidRDefault="00312DE4" w:rsidP="00312DE4">
            <w:pPr>
              <w:spacing w:after="0" w:line="240" w:lineRule="auto"/>
              <w:jc w:val="center"/>
              <w:rPr>
                <w:rFonts w:ascii="Century Gothic" w:hAnsi="Century Gothic"/>
                <w:bCs/>
                <w:sz w:val="20"/>
                <w:szCs w:val="20"/>
              </w:rPr>
            </w:pPr>
          </w:p>
          <w:p w14:paraId="1AC0FA34" w14:textId="5418E75A" w:rsidR="00312DE4" w:rsidRDefault="00312DE4" w:rsidP="00312DE4">
            <w:pPr>
              <w:spacing w:after="0" w:line="240" w:lineRule="auto"/>
              <w:jc w:val="center"/>
              <w:rPr>
                <w:rFonts w:ascii="Century Gothic" w:hAnsi="Century Gothic"/>
                <w:bCs/>
                <w:sz w:val="20"/>
                <w:szCs w:val="20"/>
              </w:rPr>
            </w:pPr>
            <w:r>
              <w:rPr>
                <w:rFonts w:ascii="Century Gothic" w:hAnsi="Century Gothic"/>
                <w:bCs/>
                <w:sz w:val="20"/>
                <w:szCs w:val="20"/>
              </w:rPr>
              <w:t>Parental Rights</w:t>
            </w:r>
          </w:p>
        </w:tc>
        <w:tc>
          <w:tcPr>
            <w:tcW w:w="6403" w:type="dxa"/>
            <w:tcBorders>
              <w:top w:val="single" w:sz="4" w:space="0" w:color="auto"/>
              <w:left w:val="single" w:sz="4" w:space="0" w:color="auto"/>
              <w:bottom w:val="single" w:sz="4" w:space="0" w:color="auto"/>
              <w:right w:val="single" w:sz="4" w:space="0" w:color="auto"/>
            </w:tcBorders>
          </w:tcPr>
          <w:p w14:paraId="784B6006" w14:textId="12430924" w:rsidR="00312DE4" w:rsidRPr="00CC0B1A" w:rsidRDefault="00312DE4" w:rsidP="00312DE4">
            <w:pPr>
              <w:spacing w:after="0" w:line="240" w:lineRule="auto"/>
              <w:rPr>
                <w:rFonts w:ascii="Century Gothic" w:hAnsi="Century Gothic"/>
                <w:bCs/>
                <w:sz w:val="20"/>
                <w:szCs w:val="20"/>
              </w:rPr>
            </w:pPr>
            <w:r w:rsidRPr="005E6BC0">
              <w:rPr>
                <w:rFonts w:ascii="Century Gothic" w:hAnsi="Century Gothic"/>
                <w:bCs/>
                <w:sz w:val="20"/>
                <w:szCs w:val="20"/>
              </w:rPr>
              <w:t xml:space="preserve">Provides that a governmental entity may not substantially burden certain parental rights unless the burden, as applied to the parent and the child, is required to advance a compelling governmental interest and is the least restrictive means of advancing the governmental interest. Prohibits a governmental entity from: (1) advising, directing, or coercing a child to withhold certain information from the child's parent; or (2) denying a child's parent access to certain information. Allows a parent to bring an action against a governmental entity for certain violations and provides for certain relief. </w:t>
            </w:r>
          </w:p>
        </w:tc>
        <w:tc>
          <w:tcPr>
            <w:tcW w:w="1530" w:type="dxa"/>
            <w:tcBorders>
              <w:top w:val="single" w:sz="4" w:space="0" w:color="auto"/>
              <w:left w:val="single" w:sz="4" w:space="0" w:color="auto"/>
              <w:bottom w:val="single" w:sz="4" w:space="0" w:color="auto"/>
              <w:right w:val="single" w:sz="4" w:space="0" w:color="auto"/>
            </w:tcBorders>
          </w:tcPr>
          <w:p w14:paraId="7C11C090" w14:textId="77777777" w:rsidR="00A85C00" w:rsidRDefault="00A85C00" w:rsidP="00A85C00">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7EAFBCCA" w14:textId="77777777" w:rsidR="00312DE4" w:rsidRDefault="00312DE4" w:rsidP="00312DE4">
            <w:pPr>
              <w:spacing w:after="0" w:line="240" w:lineRule="auto"/>
              <w:jc w:val="center"/>
              <w:rPr>
                <w:rFonts w:ascii="Century Gothic" w:hAnsi="Century Gothic"/>
                <w:bCs/>
                <w:sz w:val="20"/>
                <w:szCs w:val="20"/>
              </w:rPr>
            </w:pPr>
          </w:p>
        </w:tc>
      </w:tr>
      <w:tr w:rsidR="00312DE4" w:rsidRPr="00A172D1" w14:paraId="2F041CD2" w14:textId="77777777" w:rsidTr="00141D6C">
        <w:tc>
          <w:tcPr>
            <w:tcW w:w="1918" w:type="dxa"/>
            <w:tcBorders>
              <w:top w:val="single" w:sz="4" w:space="0" w:color="auto"/>
              <w:left w:val="single" w:sz="4" w:space="0" w:color="auto"/>
              <w:bottom w:val="single" w:sz="4" w:space="0" w:color="auto"/>
              <w:right w:val="single" w:sz="4" w:space="0" w:color="auto"/>
            </w:tcBorders>
          </w:tcPr>
          <w:p w14:paraId="138C3281" w14:textId="77777777" w:rsidR="00A85C00" w:rsidRDefault="00A85C00" w:rsidP="00A85C00">
            <w:pPr>
              <w:spacing w:after="0" w:line="240" w:lineRule="auto"/>
              <w:jc w:val="center"/>
              <w:rPr>
                <w:rFonts w:ascii="Century Gothic" w:hAnsi="Century Gothic"/>
                <w:bCs/>
                <w:sz w:val="20"/>
                <w:szCs w:val="20"/>
              </w:rPr>
            </w:pPr>
            <w:hyperlink r:id="rId11" w:history="1">
              <w:r w:rsidRPr="00857612">
                <w:rPr>
                  <w:rStyle w:val="Hyperlink"/>
                  <w:rFonts w:ascii="Century Gothic" w:hAnsi="Century Gothic"/>
                  <w:bCs/>
                  <w:sz w:val="20"/>
                  <w:szCs w:val="20"/>
                </w:rPr>
                <w:t>SEA 371</w:t>
              </w:r>
            </w:hyperlink>
          </w:p>
          <w:p w14:paraId="047A37E3" w14:textId="77777777" w:rsidR="00A85C00" w:rsidRDefault="00A85C00" w:rsidP="00A85C00">
            <w:pPr>
              <w:spacing w:after="0" w:line="240" w:lineRule="auto"/>
              <w:jc w:val="center"/>
              <w:rPr>
                <w:rFonts w:ascii="Century Gothic" w:hAnsi="Century Gothic"/>
                <w:bCs/>
                <w:sz w:val="20"/>
                <w:szCs w:val="20"/>
              </w:rPr>
            </w:pPr>
          </w:p>
          <w:p w14:paraId="409DA2D1" w14:textId="5FBEBBB5" w:rsidR="00312DE4" w:rsidRDefault="00A85C00" w:rsidP="00A85C00">
            <w:pPr>
              <w:spacing w:after="0" w:line="240" w:lineRule="auto"/>
              <w:jc w:val="center"/>
              <w:rPr>
                <w:rFonts w:ascii="Century Gothic" w:hAnsi="Century Gothic"/>
                <w:bCs/>
                <w:sz w:val="20"/>
                <w:szCs w:val="20"/>
              </w:rPr>
            </w:pPr>
            <w:r>
              <w:rPr>
                <w:rFonts w:ascii="Century Gothic" w:hAnsi="Century Gothic"/>
                <w:bCs/>
                <w:sz w:val="20"/>
                <w:szCs w:val="20"/>
              </w:rPr>
              <w:t>Workforce Matters</w:t>
            </w:r>
          </w:p>
        </w:tc>
        <w:tc>
          <w:tcPr>
            <w:tcW w:w="6403" w:type="dxa"/>
            <w:tcBorders>
              <w:top w:val="single" w:sz="4" w:space="0" w:color="auto"/>
              <w:left w:val="single" w:sz="4" w:space="0" w:color="auto"/>
              <w:bottom w:val="single" w:sz="4" w:space="0" w:color="auto"/>
              <w:right w:val="single" w:sz="4" w:space="0" w:color="auto"/>
            </w:tcBorders>
          </w:tcPr>
          <w:p w14:paraId="7A7BFB7F" w14:textId="3A8723EE" w:rsidR="00312DE4" w:rsidRPr="00CC0B1A" w:rsidRDefault="00A85C00" w:rsidP="00312DE4">
            <w:pPr>
              <w:spacing w:after="0" w:line="240" w:lineRule="auto"/>
              <w:rPr>
                <w:rFonts w:ascii="Century Gothic" w:hAnsi="Century Gothic"/>
                <w:bCs/>
                <w:sz w:val="20"/>
                <w:szCs w:val="20"/>
              </w:rPr>
            </w:pPr>
            <w:r w:rsidRPr="00B85E2B">
              <w:rPr>
                <w:rFonts w:ascii="Century Gothic" w:hAnsi="Century Gothic"/>
                <w:bCs/>
                <w:sz w:val="20"/>
                <w:szCs w:val="20"/>
              </w:rPr>
              <w:t xml:space="preserve">Amends the definitions of "discharge for just cause", "employment", and "gross misconduct" for purposes of unemployment insurance. Provides that an unemployment claimant: (1) is required to verify the claimant's identity before a claim can be filed, and as a condition for continued eligibility; and (2) has the right to request a wage investigation and to appeal the results of the investigation to a liability administrative law judge. Allows an unemployment claimant or employing unit </w:t>
            </w:r>
            <w:r w:rsidRPr="00B85E2B">
              <w:rPr>
                <w:rFonts w:ascii="Century Gothic" w:hAnsi="Century Gothic"/>
                <w:bCs/>
                <w:sz w:val="20"/>
                <w:szCs w:val="20"/>
              </w:rPr>
              <w:lastRenderedPageBreak/>
              <w:t xml:space="preserve">to appeal regarding the claimant's status as an insured worker. Requires that all hearings before an administrative law judge or the unemployment insurance review board concerning disputed unemployment claims be set as telephone hearings, unless an objection is made. Allows a disputed unemployment </w:t>
            </w:r>
            <w:proofErr w:type="gramStart"/>
            <w:r w:rsidRPr="00B85E2B">
              <w:rPr>
                <w:rFonts w:ascii="Century Gothic" w:hAnsi="Century Gothic"/>
                <w:bCs/>
                <w:sz w:val="20"/>
                <w:szCs w:val="20"/>
              </w:rPr>
              <w:t>claim</w:t>
            </w:r>
            <w:proofErr w:type="gramEnd"/>
            <w:r w:rsidRPr="00B85E2B">
              <w:rPr>
                <w:rFonts w:ascii="Century Gothic" w:hAnsi="Century Gothic"/>
                <w:bCs/>
                <w:sz w:val="20"/>
                <w:szCs w:val="20"/>
              </w:rPr>
              <w:t xml:space="preserve"> to be directly filed with a liability administrative law judge. Provides that administrative records of the department of workforce development (department) are self-authenticating and admissible in an administrative hearing. Provides that the department may release certain confidential records to the extent permitted by federal law. Makes certain changes regarding the reemployment service and eligibility assessment program. </w:t>
            </w:r>
            <w:proofErr w:type="gramStart"/>
            <w:r w:rsidRPr="00B85E2B">
              <w:rPr>
                <w:rFonts w:ascii="Century Gothic" w:hAnsi="Century Gothic"/>
                <w:bCs/>
                <w:sz w:val="20"/>
                <w:szCs w:val="20"/>
              </w:rPr>
              <w:t>Makes</w:t>
            </w:r>
            <w:proofErr w:type="gramEnd"/>
            <w:r w:rsidRPr="00B85E2B">
              <w:rPr>
                <w:rFonts w:ascii="Century Gothic" w:hAnsi="Century Gothic"/>
                <w:bCs/>
                <w:sz w:val="20"/>
                <w:szCs w:val="20"/>
              </w:rPr>
              <w:t xml:space="preserve"> various changes regarding extended unemployment benefits. Provides that repayment of a benefits overpayment may be waived if certain conditions are met. Alters certain fee and payment provisions. Removes or alters notice and delivery requirements and extends certain deadlines. Requires the department to issue a written notice of violation to a person who fails to comply with certain authorization requirements. Provides that the department may assess a civil penalty against a person under certain circumstances. Requires civil penalties collected by the department to be deposited in the proprietary educational institution authorization fund. Establishes the unemployment insurance modernization fund (fund). Requires the department to annually submit a report to the budget committee detailing the expenditures made </w:t>
            </w:r>
            <w:proofErr w:type="gramStart"/>
            <w:r w:rsidRPr="00B85E2B">
              <w:rPr>
                <w:rFonts w:ascii="Century Gothic" w:hAnsi="Century Gothic"/>
                <w:bCs/>
                <w:sz w:val="20"/>
                <w:szCs w:val="20"/>
              </w:rPr>
              <w:t>from</w:t>
            </w:r>
            <w:proofErr w:type="gramEnd"/>
            <w:r w:rsidRPr="00B85E2B">
              <w:rPr>
                <w:rFonts w:ascii="Century Gothic" w:hAnsi="Century Gothic"/>
                <w:bCs/>
                <w:sz w:val="20"/>
                <w:szCs w:val="20"/>
              </w:rPr>
              <w:t xml:space="preserve"> the fund during the previous state fiscal year. Requires the department to annually submit a report to the budget committee concerning the status of the department's unemployment insurance program. Provides that the department may establish a reemployment pilot program. Makes conforming changes.</w:t>
            </w:r>
          </w:p>
        </w:tc>
        <w:tc>
          <w:tcPr>
            <w:tcW w:w="1530" w:type="dxa"/>
            <w:tcBorders>
              <w:top w:val="single" w:sz="4" w:space="0" w:color="auto"/>
              <w:left w:val="single" w:sz="4" w:space="0" w:color="auto"/>
              <w:bottom w:val="single" w:sz="4" w:space="0" w:color="auto"/>
              <w:right w:val="single" w:sz="4" w:space="0" w:color="auto"/>
            </w:tcBorders>
          </w:tcPr>
          <w:p w14:paraId="016C3399" w14:textId="3B61AAF2" w:rsidR="00312DE4" w:rsidRDefault="00162A7E" w:rsidP="00312DE4">
            <w:pPr>
              <w:spacing w:after="0" w:line="240" w:lineRule="auto"/>
              <w:jc w:val="center"/>
              <w:rPr>
                <w:rFonts w:ascii="Century Gothic" w:hAnsi="Century Gothic"/>
                <w:bCs/>
                <w:sz w:val="20"/>
                <w:szCs w:val="20"/>
              </w:rPr>
            </w:pPr>
            <w:r>
              <w:rPr>
                <w:rFonts w:ascii="Century Gothic" w:hAnsi="Century Gothic"/>
                <w:bCs/>
                <w:sz w:val="20"/>
                <w:szCs w:val="20"/>
              </w:rPr>
              <w:lastRenderedPageBreak/>
              <w:t>July 1, 2025</w:t>
            </w:r>
          </w:p>
        </w:tc>
      </w:tr>
      <w:tr w:rsidR="00312DE4" w:rsidRPr="00A172D1" w14:paraId="3B487580" w14:textId="77777777" w:rsidTr="00141D6C">
        <w:tc>
          <w:tcPr>
            <w:tcW w:w="1918" w:type="dxa"/>
            <w:tcBorders>
              <w:top w:val="single" w:sz="4" w:space="0" w:color="auto"/>
              <w:left w:val="single" w:sz="4" w:space="0" w:color="auto"/>
              <w:bottom w:val="single" w:sz="4" w:space="0" w:color="auto"/>
              <w:right w:val="single" w:sz="4" w:space="0" w:color="auto"/>
            </w:tcBorders>
          </w:tcPr>
          <w:p w14:paraId="308BA60B" w14:textId="77777777" w:rsidR="00A85C00" w:rsidRDefault="00A85C00" w:rsidP="00A85C00">
            <w:pPr>
              <w:spacing w:after="0" w:line="240" w:lineRule="auto"/>
              <w:jc w:val="center"/>
              <w:rPr>
                <w:rFonts w:ascii="Century Gothic" w:hAnsi="Century Gothic"/>
                <w:bCs/>
                <w:sz w:val="20"/>
                <w:szCs w:val="20"/>
              </w:rPr>
            </w:pPr>
            <w:hyperlink r:id="rId12" w:history="1">
              <w:r w:rsidRPr="006033B3">
                <w:rPr>
                  <w:rStyle w:val="Hyperlink"/>
                  <w:rFonts w:ascii="Century Gothic" w:hAnsi="Century Gothic"/>
                  <w:bCs/>
                  <w:sz w:val="20"/>
                  <w:szCs w:val="20"/>
                </w:rPr>
                <w:t>SEA 472</w:t>
              </w:r>
            </w:hyperlink>
          </w:p>
          <w:p w14:paraId="786DCE0F" w14:textId="77777777" w:rsidR="00A85C00" w:rsidRDefault="00A85C00" w:rsidP="00A85C00">
            <w:pPr>
              <w:spacing w:after="0" w:line="240" w:lineRule="auto"/>
              <w:jc w:val="center"/>
              <w:rPr>
                <w:rFonts w:ascii="Century Gothic" w:hAnsi="Century Gothic"/>
                <w:bCs/>
                <w:sz w:val="20"/>
                <w:szCs w:val="20"/>
              </w:rPr>
            </w:pPr>
          </w:p>
          <w:p w14:paraId="7F7DD905" w14:textId="2786FC07" w:rsidR="00312DE4" w:rsidRDefault="00A85C00" w:rsidP="00A85C00">
            <w:pPr>
              <w:spacing w:after="0" w:line="240" w:lineRule="auto"/>
              <w:jc w:val="center"/>
              <w:rPr>
                <w:rFonts w:ascii="Century Gothic" w:hAnsi="Century Gothic"/>
                <w:bCs/>
                <w:sz w:val="20"/>
                <w:szCs w:val="20"/>
              </w:rPr>
            </w:pPr>
            <w:r>
              <w:rPr>
                <w:rFonts w:ascii="Century Gothic" w:hAnsi="Century Gothic"/>
                <w:bCs/>
                <w:sz w:val="20"/>
                <w:szCs w:val="20"/>
              </w:rPr>
              <w:t>Cybersecurity</w:t>
            </w:r>
          </w:p>
        </w:tc>
        <w:tc>
          <w:tcPr>
            <w:tcW w:w="6403" w:type="dxa"/>
            <w:tcBorders>
              <w:top w:val="single" w:sz="4" w:space="0" w:color="auto"/>
              <w:left w:val="single" w:sz="4" w:space="0" w:color="auto"/>
              <w:bottom w:val="single" w:sz="4" w:space="0" w:color="auto"/>
              <w:right w:val="single" w:sz="4" w:space="0" w:color="auto"/>
            </w:tcBorders>
          </w:tcPr>
          <w:p w14:paraId="19FB91CD" w14:textId="174371EC" w:rsidR="00312DE4" w:rsidRPr="00CC0B1A" w:rsidRDefault="00A85C00" w:rsidP="00312DE4">
            <w:pPr>
              <w:spacing w:after="0" w:line="240" w:lineRule="auto"/>
              <w:rPr>
                <w:rFonts w:ascii="Century Gothic" w:hAnsi="Century Gothic"/>
                <w:bCs/>
                <w:sz w:val="20"/>
                <w:szCs w:val="20"/>
              </w:rPr>
            </w:pPr>
            <w:r w:rsidRPr="00231B59">
              <w:rPr>
                <w:rFonts w:ascii="Century Gothic" w:hAnsi="Century Gothic"/>
                <w:bCs/>
                <w:sz w:val="20"/>
                <w:szCs w:val="20"/>
              </w:rPr>
              <w:t xml:space="preserve">Requires political subdivisions, state agencies, school corporations, and state educational institutions (public entities), </w:t>
            </w:r>
            <w:proofErr w:type="gramStart"/>
            <w:r w:rsidRPr="00231B59">
              <w:rPr>
                <w:rFonts w:ascii="Century Gothic" w:hAnsi="Century Gothic"/>
                <w:bCs/>
                <w:sz w:val="20"/>
                <w:szCs w:val="20"/>
              </w:rPr>
              <w:t>with the exception of</w:t>
            </w:r>
            <w:proofErr w:type="gramEnd"/>
            <w:r w:rsidRPr="00231B59">
              <w:rPr>
                <w:rFonts w:ascii="Century Gothic" w:hAnsi="Century Gothic"/>
                <w:bCs/>
                <w:sz w:val="20"/>
                <w:szCs w:val="20"/>
              </w:rPr>
              <w:t xml:space="preserve"> specified categories of hospitals and the Indianapolis department of public utilities (department), to adopt not later than December 31, 2027, a: (1) technology resources policy; and (2) cybersecurity policy; that meet specified requirements. Provides the department is not required to report a cybersecurity incident to the office of technology (office). Requires the office to develop: (1) standards and guidelines regarding cybersecurity for use by political subdivisions and state educational institutions; and (2) a uniform cybersecurity policy for use by state agencies. Requires the office to develop, in collaboration with the department of education: (1) a uniform technology resources policy governing use of technology resources by the employees of school corporations; and (2) a uniform cybersecurity policy for use by school corporations. Requires: (1) a public entity to biennially submit to the office the cybersecurity policy adopted by the public entity; and (2) the office to establish a procedure for collecting and maintaining a record of submitted cybersecurity </w:t>
            </w:r>
            <w:r w:rsidRPr="00231B59">
              <w:rPr>
                <w:rFonts w:ascii="Century Gothic" w:hAnsi="Century Gothic"/>
                <w:bCs/>
                <w:sz w:val="20"/>
                <w:szCs w:val="20"/>
              </w:rPr>
              <w:lastRenderedPageBreak/>
              <w:t xml:space="preserve">policies. Requires a public entity that engages a third party to </w:t>
            </w:r>
            <w:proofErr w:type="gramStart"/>
            <w:r w:rsidRPr="00231B59">
              <w:rPr>
                <w:rFonts w:ascii="Century Gothic" w:hAnsi="Century Gothic"/>
                <w:bCs/>
                <w:sz w:val="20"/>
                <w:szCs w:val="20"/>
              </w:rPr>
              <w:t>conduct an assessment of</w:t>
            </w:r>
            <w:proofErr w:type="gramEnd"/>
            <w:r w:rsidRPr="00231B59">
              <w:rPr>
                <w:rFonts w:ascii="Century Gothic" w:hAnsi="Century Gothic"/>
                <w:bCs/>
                <w:sz w:val="20"/>
                <w:szCs w:val="20"/>
              </w:rPr>
              <w:t xml:space="preserve"> the public entity's cybersecurity policy to provide the results of the assessment to the office.</w:t>
            </w:r>
          </w:p>
        </w:tc>
        <w:tc>
          <w:tcPr>
            <w:tcW w:w="1530" w:type="dxa"/>
            <w:tcBorders>
              <w:top w:val="single" w:sz="4" w:space="0" w:color="auto"/>
              <w:left w:val="single" w:sz="4" w:space="0" w:color="auto"/>
              <w:bottom w:val="single" w:sz="4" w:space="0" w:color="auto"/>
              <w:right w:val="single" w:sz="4" w:space="0" w:color="auto"/>
            </w:tcBorders>
          </w:tcPr>
          <w:p w14:paraId="6315180C" w14:textId="6E7CBF5A" w:rsidR="00312DE4" w:rsidRDefault="00A85C00" w:rsidP="00312DE4">
            <w:pPr>
              <w:spacing w:after="0" w:line="240" w:lineRule="auto"/>
              <w:jc w:val="center"/>
              <w:rPr>
                <w:rFonts w:ascii="Century Gothic" w:hAnsi="Century Gothic"/>
                <w:bCs/>
                <w:sz w:val="20"/>
                <w:szCs w:val="20"/>
              </w:rPr>
            </w:pPr>
            <w:r>
              <w:rPr>
                <w:rFonts w:ascii="Century Gothic" w:hAnsi="Century Gothic"/>
                <w:bCs/>
                <w:sz w:val="20"/>
                <w:szCs w:val="20"/>
              </w:rPr>
              <w:lastRenderedPageBreak/>
              <w:t>July 1, 2025</w:t>
            </w:r>
          </w:p>
        </w:tc>
      </w:tr>
      <w:tr w:rsidR="00C050C0" w:rsidRPr="00A172D1" w14:paraId="73535D71" w14:textId="77777777" w:rsidTr="00141D6C">
        <w:tc>
          <w:tcPr>
            <w:tcW w:w="1918" w:type="dxa"/>
            <w:tcBorders>
              <w:top w:val="single" w:sz="4" w:space="0" w:color="auto"/>
              <w:left w:val="single" w:sz="4" w:space="0" w:color="auto"/>
              <w:bottom w:val="single" w:sz="4" w:space="0" w:color="auto"/>
              <w:right w:val="single" w:sz="4" w:space="0" w:color="auto"/>
            </w:tcBorders>
          </w:tcPr>
          <w:p w14:paraId="4845C971" w14:textId="59648BB1" w:rsidR="00C050C0" w:rsidRDefault="00C050C0" w:rsidP="00A85C00">
            <w:pPr>
              <w:spacing w:after="0" w:line="240" w:lineRule="auto"/>
              <w:jc w:val="center"/>
              <w:rPr>
                <w:rFonts w:ascii="Century Gothic" w:hAnsi="Century Gothic"/>
                <w:bCs/>
                <w:sz w:val="20"/>
                <w:szCs w:val="20"/>
              </w:rPr>
            </w:pPr>
            <w:hyperlink r:id="rId13" w:history="1">
              <w:r w:rsidRPr="00ED2E0F">
                <w:rPr>
                  <w:rStyle w:val="Hyperlink"/>
                  <w:rFonts w:ascii="Century Gothic" w:hAnsi="Century Gothic"/>
                  <w:bCs/>
                  <w:sz w:val="20"/>
                  <w:szCs w:val="20"/>
                </w:rPr>
                <w:t>HEA 1001</w:t>
              </w:r>
            </w:hyperlink>
          </w:p>
          <w:p w14:paraId="1CC66B28" w14:textId="77777777" w:rsidR="00C050C0" w:rsidRDefault="00C050C0" w:rsidP="00A85C00">
            <w:pPr>
              <w:spacing w:after="0" w:line="240" w:lineRule="auto"/>
              <w:jc w:val="center"/>
              <w:rPr>
                <w:rFonts w:ascii="Century Gothic" w:hAnsi="Century Gothic"/>
                <w:bCs/>
                <w:sz w:val="20"/>
                <w:szCs w:val="20"/>
              </w:rPr>
            </w:pPr>
          </w:p>
          <w:p w14:paraId="256609F6" w14:textId="2A300CAA" w:rsidR="00C050C0" w:rsidRDefault="00C050C0" w:rsidP="00A85C00">
            <w:pPr>
              <w:spacing w:after="0" w:line="240" w:lineRule="auto"/>
              <w:jc w:val="center"/>
              <w:rPr>
                <w:rFonts w:ascii="Century Gothic" w:hAnsi="Century Gothic"/>
                <w:bCs/>
                <w:sz w:val="20"/>
                <w:szCs w:val="20"/>
              </w:rPr>
            </w:pPr>
            <w:r>
              <w:rPr>
                <w:rFonts w:ascii="Century Gothic" w:hAnsi="Century Gothic"/>
                <w:bCs/>
                <w:sz w:val="20"/>
                <w:szCs w:val="20"/>
              </w:rPr>
              <w:t>State Budget</w:t>
            </w:r>
          </w:p>
        </w:tc>
        <w:tc>
          <w:tcPr>
            <w:tcW w:w="6403" w:type="dxa"/>
            <w:tcBorders>
              <w:top w:val="single" w:sz="4" w:space="0" w:color="auto"/>
              <w:left w:val="single" w:sz="4" w:space="0" w:color="auto"/>
              <w:bottom w:val="single" w:sz="4" w:space="0" w:color="auto"/>
              <w:right w:val="single" w:sz="4" w:space="0" w:color="auto"/>
            </w:tcBorders>
          </w:tcPr>
          <w:p w14:paraId="4C98A0F4" w14:textId="77777777" w:rsidR="00DB7231" w:rsidRDefault="00D37CB2" w:rsidP="00312DE4">
            <w:pPr>
              <w:spacing w:after="0" w:line="240" w:lineRule="auto"/>
              <w:rPr>
                <w:rFonts w:ascii="Century Gothic" w:hAnsi="Century Gothic"/>
                <w:bCs/>
                <w:sz w:val="20"/>
                <w:szCs w:val="20"/>
              </w:rPr>
            </w:pPr>
            <w:r w:rsidRPr="00D37CB2">
              <w:rPr>
                <w:rFonts w:ascii="Century Gothic" w:hAnsi="Century Gothic"/>
                <w:bCs/>
                <w:sz w:val="20"/>
                <w:szCs w:val="20"/>
              </w:rPr>
              <w:t xml:space="preserve">Appropriates money for capital expenditures, the operation of the state, K-12 and higher education, the delivery of Medicaid and other services, and various other distributions and purposes. </w:t>
            </w:r>
          </w:p>
          <w:p w14:paraId="02C1AE00" w14:textId="77777777" w:rsidR="00DB7231" w:rsidRDefault="00DB7231" w:rsidP="00312DE4">
            <w:pPr>
              <w:spacing w:after="0" w:line="240" w:lineRule="auto"/>
              <w:rPr>
                <w:rFonts w:ascii="Century Gothic" w:hAnsi="Century Gothic"/>
                <w:bCs/>
                <w:sz w:val="20"/>
                <w:szCs w:val="20"/>
              </w:rPr>
            </w:pPr>
          </w:p>
          <w:p w14:paraId="1B6CB6E2" w14:textId="77777777" w:rsidR="00773284" w:rsidRDefault="00D37CB2" w:rsidP="00312DE4">
            <w:pPr>
              <w:spacing w:after="0" w:line="240" w:lineRule="auto"/>
              <w:rPr>
                <w:rFonts w:ascii="Century Gothic" w:hAnsi="Century Gothic"/>
                <w:bCs/>
                <w:sz w:val="20"/>
                <w:szCs w:val="20"/>
              </w:rPr>
            </w:pPr>
            <w:r w:rsidRPr="00D37CB2">
              <w:rPr>
                <w:rFonts w:ascii="Century Gothic" w:hAnsi="Century Gothic"/>
                <w:bCs/>
                <w:sz w:val="20"/>
                <w:szCs w:val="20"/>
              </w:rPr>
              <w:t xml:space="preserve">Extends the review, analysis, and evaluation of tax incentives by the legislative services agency through 2030. </w:t>
            </w:r>
          </w:p>
          <w:p w14:paraId="7A3567F5" w14:textId="77777777" w:rsidR="00773284" w:rsidRDefault="00773284" w:rsidP="00312DE4">
            <w:pPr>
              <w:spacing w:after="0" w:line="240" w:lineRule="auto"/>
              <w:rPr>
                <w:rFonts w:ascii="Century Gothic" w:hAnsi="Century Gothic"/>
                <w:bCs/>
                <w:sz w:val="20"/>
                <w:szCs w:val="20"/>
              </w:rPr>
            </w:pPr>
          </w:p>
          <w:p w14:paraId="16032D66" w14:textId="77777777" w:rsidR="005210CC" w:rsidRDefault="00D37CB2" w:rsidP="00312DE4">
            <w:pPr>
              <w:spacing w:after="0" w:line="240" w:lineRule="auto"/>
              <w:rPr>
                <w:rFonts w:ascii="Century Gothic" w:hAnsi="Century Gothic"/>
                <w:bCs/>
                <w:sz w:val="20"/>
                <w:szCs w:val="20"/>
              </w:rPr>
            </w:pPr>
            <w:r w:rsidRPr="00D37CB2">
              <w:rPr>
                <w:rFonts w:ascii="Century Gothic" w:hAnsi="Century Gothic"/>
                <w:bCs/>
                <w:sz w:val="20"/>
                <w:szCs w:val="20"/>
              </w:rPr>
              <w:t xml:space="preserve">Provides that if the budget director determines at any time that a state agency can perform the agency's statutory obligations with less than the amount appropriated, the budget director shall, with the approval of the governor, and </w:t>
            </w:r>
            <w:proofErr w:type="gramStart"/>
            <w:r w:rsidRPr="00D37CB2">
              <w:rPr>
                <w:rFonts w:ascii="Century Gothic" w:hAnsi="Century Gothic"/>
                <w:bCs/>
                <w:sz w:val="20"/>
                <w:szCs w:val="20"/>
              </w:rPr>
              <w:t>after</w:t>
            </w:r>
            <w:proofErr w:type="gramEnd"/>
            <w:r w:rsidRPr="00D37CB2">
              <w:rPr>
                <w:rFonts w:ascii="Century Gothic" w:hAnsi="Century Gothic"/>
                <w:bCs/>
                <w:sz w:val="20"/>
                <w:szCs w:val="20"/>
              </w:rPr>
              <w:t xml:space="preserve"> notice to the state agency, reduce the amount or amounts allotted or to be allotted. </w:t>
            </w:r>
          </w:p>
          <w:p w14:paraId="50A1861C" w14:textId="77777777" w:rsidR="005210CC" w:rsidRDefault="005210CC" w:rsidP="00312DE4">
            <w:pPr>
              <w:spacing w:after="0" w:line="240" w:lineRule="auto"/>
              <w:rPr>
                <w:rFonts w:ascii="Century Gothic" w:hAnsi="Century Gothic"/>
                <w:bCs/>
                <w:sz w:val="20"/>
                <w:szCs w:val="20"/>
              </w:rPr>
            </w:pPr>
          </w:p>
          <w:p w14:paraId="02FFFD29" w14:textId="77777777" w:rsidR="005210CC" w:rsidRDefault="00D37CB2" w:rsidP="00312DE4">
            <w:pPr>
              <w:spacing w:after="0" w:line="240" w:lineRule="auto"/>
              <w:rPr>
                <w:rFonts w:ascii="Century Gothic" w:hAnsi="Century Gothic"/>
                <w:bCs/>
                <w:sz w:val="20"/>
                <w:szCs w:val="20"/>
              </w:rPr>
            </w:pPr>
            <w:r w:rsidRPr="00D37CB2">
              <w:rPr>
                <w:rFonts w:ascii="Century Gothic" w:hAnsi="Century Gothic"/>
                <w:bCs/>
                <w:sz w:val="20"/>
                <w:szCs w:val="20"/>
              </w:rPr>
              <w:t xml:space="preserve">Requires the budget director to withhold not less than 5% of any appropriation to a state agency to be used for salaries or other wages for state agency employees or general operating expenses of the state agency. </w:t>
            </w:r>
          </w:p>
          <w:p w14:paraId="572C3DCF" w14:textId="77777777" w:rsidR="005210CC" w:rsidRDefault="005210CC" w:rsidP="00312DE4">
            <w:pPr>
              <w:spacing w:after="0" w:line="240" w:lineRule="auto"/>
              <w:rPr>
                <w:rFonts w:ascii="Century Gothic" w:hAnsi="Century Gothic"/>
                <w:bCs/>
                <w:sz w:val="20"/>
                <w:szCs w:val="20"/>
              </w:rPr>
            </w:pPr>
          </w:p>
          <w:p w14:paraId="0FFC5058" w14:textId="77777777" w:rsidR="00350A80" w:rsidRDefault="00D37CB2" w:rsidP="00312DE4">
            <w:pPr>
              <w:spacing w:after="0" w:line="240" w:lineRule="auto"/>
              <w:rPr>
                <w:rFonts w:ascii="Century Gothic" w:hAnsi="Century Gothic"/>
                <w:bCs/>
                <w:sz w:val="20"/>
                <w:szCs w:val="20"/>
              </w:rPr>
            </w:pPr>
            <w:r w:rsidRPr="00D37CB2">
              <w:rPr>
                <w:rFonts w:ascii="Century Gothic" w:hAnsi="Century Gothic"/>
                <w:bCs/>
                <w:sz w:val="20"/>
                <w:szCs w:val="20"/>
              </w:rPr>
              <w:t xml:space="preserve">Establishes the Indiana local government investment pool board for the purpose of establishing policies governing the investment of funds contributed to the local government investment pool. </w:t>
            </w:r>
          </w:p>
          <w:p w14:paraId="4DF23EA4" w14:textId="77777777" w:rsidR="00350A80" w:rsidRDefault="00350A80" w:rsidP="00312DE4">
            <w:pPr>
              <w:spacing w:after="0" w:line="240" w:lineRule="auto"/>
              <w:rPr>
                <w:rFonts w:ascii="Century Gothic" w:hAnsi="Century Gothic"/>
                <w:bCs/>
                <w:sz w:val="20"/>
                <w:szCs w:val="20"/>
              </w:rPr>
            </w:pPr>
          </w:p>
          <w:p w14:paraId="0ECD4145" w14:textId="77777777" w:rsidR="00BA4A29" w:rsidRDefault="00D37CB2" w:rsidP="00312DE4">
            <w:pPr>
              <w:spacing w:after="0" w:line="240" w:lineRule="auto"/>
              <w:rPr>
                <w:rFonts w:ascii="Century Gothic" w:hAnsi="Century Gothic"/>
                <w:bCs/>
                <w:sz w:val="20"/>
                <w:szCs w:val="20"/>
              </w:rPr>
            </w:pPr>
            <w:r w:rsidRPr="00D37CB2">
              <w:rPr>
                <w:rFonts w:ascii="Century Gothic" w:hAnsi="Century Gothic"/>
                <w:bCs/>
                <w:sz w:val="20"/>
                <w:szCs w:val="20"/>
              </w:rPr>
              <w:t xml:space="preserve">Requires the department of state revenue to establish an amnesty program for taxpayers who have an unpaid tax liability for a listed tax that was due and payable before January 1, 2023. </w:t>
            </w:r>
          </w:p>
          <w:p w14:paraId="5698E7AD" w14:textId="4CA54F67" w:rsidR="00C050C0" w:rsidRPr="00AA46EA" w:rsidRDefault="00C050C0" w:rsidP="00312DE4">
            <w:pPr>
              <w:spacing w:after="0" w:line="240" w:lineRule="auto"/>
              <w:rPr>
                <w:rFonts w:ascii="Century Gothic" w:hAnsi="Century Gothic"/>
                <w:bCs/>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A000B95" w14:textId="77777777" w:rsidR="00C050C0" w:rsidRDefault="008F31D0"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08FC9EAE" w14:textId="77777777" w:rsidR="00183B7E" w:rsidRDefault="00183B7E" w:rsidP="00312DE4">
            <w:pPr>
              <w:spacing w:after="0" w:line="240" w:lineRule="auto"/>
              <w:jc w:val="center"/>
              <w:rPr>
                <w:rFonts w:ascii="Century Gothic" w:hAnsi="Century Gothic"/>
                <w:bCs/>
                <w:sz w:val="20"/>
                <w:szCs w:val="20"/>
              </w:rPr>
            </w:pPr>
          </w:p>
          <w:p w14:paraId="2B79A3C8" w14:textId="77777777" w:rsidR="00183B7E" w:rsidRDefault="00183B7E" w:rsidP="00312DE4">
            <w:pPr>
              <w:spacing w:after="0" w:line="240" w:lineRule="auto"/>
              <w:jc w:val="center"/>
              <w:rPr>
                <w:rFonts w:ascii="Century Gothic" w:hAnsi="Century Gothic"/>
                <w:bCs/>
                <w:sz w:val="20"/>
                <w:szCs w:val="20"/>
              </w:rPr>
            </w:pPr>
          </w:p>
          <w:p w14:paraId="60AF6A72" w14:textId="77777777" w:rsidR="00183B7E" w:rsidRDefault="00183B7E" w:rsidP="00312DE4">
            <w:pPr>
              <w:spacing w:after="0" w:line="240" w:lineRule="auto"/>
              <w:jc w:val="center"/>
              <w:rPr>
                <w:rFonts w:ascii="Century Gothic" w:hAnsi="Century Gothic"/>
                <w:bCs/>
                <w:sz w:val="20"/>
                <w:szCs w:val="20"/>
              </w:rPr>
            </w:pPr>
          </w:p>
          <w:p w14:paraId="31482E25" w14:textId="77777777" w:rsidR="00183B7E" w:rsidRDefault="00183B7E"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759516CC" w14:textId="77777777" w:rsidR="00183B7E" w:rsidRDefault="00183B7E" w:rsidP="00312DE4">
            <w:pPr>
              <w:spacing w:after="0" w:line="240" w:lineRule="auto"/>
              <w:jc w:val="center"/>
              <w:rPr>
                <w:rFonts w:ascii="Century Gothic" w:hAnsi="Century Gothic"/>
                <w:bCs/>
                <w:sz w:val="20"/>
                <w:szCs w:val="20"/>
              </w:rPr>
            </w:pPr>
          </w:p>
          <w:p w14:paraId="3C167F24" w14:textId="77777777" w:rsidR="00183B7E" w:rsidRDefault="00183B7E" w:rsidP="00312DE4">
            <w:pPr>
              <w:spacing w:after="0" w:line="240" w:lineRule="auto"/>
              <w:jc w:val="center"/>
              <w:rPr>
                <w:rFonts w:ascii="Century Gothic" w:hAnsi="Century Gothic"/>
                <w:bCs/>
                <w:sz w:val="20"/>
                <w:szCs w:val="20"/>
              </w:rPr>
            </w:pPr>
          </w:p>
          <w:p w14:paraId="2456A2B7" w14:textId="77777777" w:rsidR="00183B7E" w:rsidRDefault="00B806D3"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4A23307C" w14:textId="77777777" w:rsidR="00B806D3" w:rsidRDefault="00B806D3" w:rsidP="00312DE4">
            <w:pPr>
              <w:spacing w:after="0" w:line="240" w:lineRule="auto"/>
              <w:jc w:val="center"/>
              <w:rPr>
                <w:rFonts w:ascii="Century Gothic" w:hAnsi="Century Gothic"/>
                <w:bCs/>
                <w:sz w:val="20"/>
                <w:szCs w:val="20"/>
              </w:rPr>
            </w:pPr>
          </w:p>
          <w:p w14:paraId="202C7A12" w14:textId="77777777" w:rsidR="00B806D3" w:rsidRDefault="00B806D3" w:rsidP="00312DE4">
            <w:pPr>
              <w:spacing w:after="0" w:line="240" w:lineRule="auto"/>
              <w:jc w:val="center"/>
              <w:rPr>
                <w:rFonts w:ascii="Century Gothic" w:hAnsi="Century Gothic"/>
                <w:bCs/>
                <w:sz w:val="20"/>
                <w:szCs w:val="20"/>
              </w:rPr>
            </w:pPr>
          </w:p>
          <w:p w14:paraId="5953F147" w14:textId="77777777" w:rsidR="00B806D3" w:rsidRDefault="00B806D3" w:rsidP="00312DE4">
            <w:pPr>
              <w:spacing w:after="0" w:line="240" w:lineRule="auto"/>
              <w:jc w:val="center"/>
              <w:rPr>
                <w:rFonts w:ascii="Century Gothic" w:hAnsi="Century Gothic"/>
                <w:bCs/>
                <w:sz w:val="20"/>
                <w:szCs w:val="20"/>
              </w:rPr>
            </w:pPr>
          </w:p>
          <w:p w14:paraId="5B022FA9" w14:textId="77777777" w:rsidR="00B806D3" w:rsidRDefault="00B806D3" w:rsidP="00312DE4">
            <w:pPr>
              <w:spacing w:after="0" w:line="240" w:lineRule="auto"/>
              <w:jc w:val="center"/>
              <w:rPr>
                <w:rFonts w:ascii="Century Gothic" w:hAnsi="Century Gothic"/>
                <w:bCs/>
                <w:sz w:val="20"/>
                <w:szCs w:val="20"/>
              </w:rPr>
            </w:pPr>
          </w:p>
          <w:p w14:paraId="44D851CC" w14:textId="77777777" w:rsidR="00B806D3" w:rsidRDefault="00B806D3" w:rsidP="00312DE4">
            <w:pPr>
              <w:spacing w:after="0" w:line="240" w:lineRule="auto"/>
              <w:jc w:val="center"/>
              <w:rPr>
                <w:rFonts w:ascii="Century Gothic" w:hAnsi="Century Gothic"/>
                <w:bCs/>
                <w:sz w:val="20"/>
                <w:szCs w:val="20"/>
              </w:rPr>
            </w:pPr>
          </w:p>
          <w:p w14:paraId="1C0AB920" w14:textId="77777777" w:rsidR="00B806D3" w:rsidRDefault="00B806D3" w:rsidP="00312DE4">
            <w:pPr>
              <w:spacing w:after="0" w:line="240" w:lineRule="auto"/>
              <w:jc w:val="center"/>
              <w:rPr>
                <w:rFonts w:ascii="Century Gothic" w:hAnsi="Century Gothic"/>
                <w:bCs/>
                <w:sz w:val="20"/>
                <w:szCs w:val="20"/>
              </w:rPr>
            </w:pPr>
          </w:p>
          <w:p w14:paraId="6750BB1C" w14:textId="77777777" w:rsidR="00B806D3" w:rsidRDefault="00F3599A"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36B4A589" w14:textId="77777777" w:rsidR="00F3599A" w:rsidRDefault="00F3599A" w:rsidP="00312DE4">
            <w:pPr>
              <w:spacing w:after="0" w:line="240" w:lineRule="auto"/>
              <w:jc w:val="center"/>
              <w:rPr>
                <w:rFonts w:ascii="Century Gothic" w:hAnsi="Century Gothic"/>
                <w:bCs/>
                <w:sz w:val="20"/>
                <w:szCs w:val="20"/>
              </w:rPr>
            </w:pPr>
          </w:p>
          <w:p w14:paraId="584DF0F6" w14:textId="77777777" w:rsidR="00F3599A" w:rsidRDefault="00F3599A" w:rsidP="00312DE4">
            <w:pPr>
              <w:spacing w:after="0" w:line="240" w:lineRule="auto"/>
              <w:jc w:val="center"/>
              <w:rPr>
                <w:rFonts w:ascii="Century Gothic" w:hAnsi="Century Gothic"/>
                <w:bCs/>
                <w:sz w:val="20"/>
                <w:szCs w:val="20"/>
              </w:rPr>
            </w:pPr>
          </w:p>
          <w:p w14:paraId="4FC34A7D" w14:textId="77777777" w:rsidR="00F3599A" w:rsidRDefault="00F3599A" w:rsidP="00312DE4">
            <w:pPr>
              <w:spacing w:after="0" w:line="240" w:lineRule="auto"/>
              <w:jc w:val="center"/>
              <w:rPr>
                <w:rFonts w:ascii="Century Gothic" w:hAnsi="Century Gothic"/>
                <w:bCs/>
                <w:sz w:val="20"/>
                <w:szCs w:val="20"/>
              </w:rPr>
            </w:pPr>
          </w:p>
          <w:p w14:paraId="2CD4FF32" w14:textId="77777777" w:rsidR="00F3599A" w:rsidRDefault="00F3599A" w:rsidP="00312DE4">
            <w:pPr>
              <w:spacing w:after="0" w:line="240" w:lineRule="auto"/>
              <w:jc w:val="center"/>
              <w:rPr>
                <w:rFonts w:ascii="Century Gothic" w:hAnsi="Century Gothic"/>
                <w:bCs/>
                <w:sz w:val="20"/>
                <w:szCs w:val="20"/>
              </w:rPr>
            </w:pPr>
          </w:p>
          <w:p w14:paraId="35AD9D17" w14:textId="77777777" w:rsidR="00F3599A" w:rsidRDefault="003C3D5B"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4D25B781" w14:textId="77777777" w:rsidR="003C3D5B" w:rsidRDefault="003C3D5B" w:rsidP="00312DE4">
            <w:pPr>
              <w:spacing w:after="0" w:line="240" w:lineRule="auto"/>
              <w:jc w:val="center"/>
              <w:rPr>
                <w:rFonts w:ascii="Century Gothic" w:hAnsi="Century Gothic"/>
                <w:bCs/>
                <w:sz w:val="20"/>
                <w:szCs w:val="20"/>
              </w:rPr>
            </w:pPr>
          </w:p>
          <w:p w14:paraId="310248F3" w14:textId="77777777" w:rsidR="003C3D5B" w:rsidRDefault="003C3D5B" w:rsidP="00312DE4">
            <w:pPr>
              <w:spacing w:after="0" w:line="240" w:lineRule="auto"/>
              <w:jc w:val="center"/>
              <w:rPr>
                <w:rFonts w:ascii="Century Gothic" w:hAnsi="Century Gothic"/>
                <w:bCs/>
                <w:sz w:val="20"/>
                <w:szCs w:val="20"/>
              </w:rPr>
            </w:pPr>
          </w:p>
          <w:p w14:paraId="2E776745" w14:textId="77777777" w:rsidR="003C3D5B" w:rsidRDefault="003C3D5B" w:rsidP="00312DE4">
            <w:pPr>
              <w:spacing w:after="0" w:line="240" w:lineRule="auto"/>
              <w:jc w:val="center"/>
              <w:rPr>
                <w:rFonts w:ascii="Century Gothic" w:hAnsi="Century Gothic"/>
                <w:bCs/>
                <w:sz w:val="20"/>
                <w:szCs w:val="20"/>
              </w:rPr>
            </w:pPr>
          </w:p>
          <w:p w14:paraId="5D22A07F" w14:textId="77777777" w:rsidR="003C3D5B" w:rsidRDefault="003C3D5B" w:rsidP="00312DE4">
            <w:pPr>
              <w:spacing w:after="0" w:line="240" w:lineRule="auto"/>
              <w:jc w:val="center"/>
              <w:rPr>
                <w:rFonts w:ascii="Century Gothic" w:hAnsi="Century Gothic"/>
                <w:bCs/>
                <w:sz w:val="20"/>
                <w:szCs w:val="20"/>
              </w:rPr>
            </w:pPr>
          </w:p>
          <w:p w14:paraId="42FCB25C" w14:textId="32D2E7D9" w:rsidR="003C3D5B" w:rsidRDefault="000549ED"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tc>
      </w:tr>
      <w:tr w:rsidR="002927DD" w:rsidRPr="00A172D1" w14:paraId="09EEB853" w14:textId="77777777" w:rsidTr="00141D6C">
        <w:tc>
          <w:tcPr>
            <w:tcW w:w="1918" w:type="dxa"/>
            <w:tcBorders>
              <w:top w:val="single" w:sz="4" w:space="0" w:color="auto"/>
              <w:left w:val="single" w:sz="4" w:space="0" w:color="auto"/>
              <w:bottom w:val="single" w:sz="4" w:space="0" w:color="auto"/>
              <w:right w:val="single" w:sz="4" w:space="0" w:color="auto"/>
            </w:tcBorders>
          </w:tcPr>
          <w:p w14:paraId="0A40C7D9" w14:textId="3B37991E" w:rsidR="002927DD" w:rsidRDefault="002927DD" w:rsidP="00A85C00">
            <w:pPr>
              <w:spacing w:after="0" w:line="240" w:lineRule="auto"/>
              <w:jc w:val="center"/>
              <w:rPr>
                <w:rFonts w:ascii="Century Gothic" w:hAnsi="Century Gothic"/>
                <w:bCs/>
                <w:sz w:val="20"/>
                <w:szCs w:val="20"/>
              </w:rPr>
            </w:pPr>
            <w:hyperlink r:id="rId14" w:history="1">
              <w:r w:rsidRPr="00C629AA">
                <w:rPr>
                  <w:rStyle w:val="Hyperlink"/>
                  <w:rFonts w:ascii="Century Gothic" w:hAnsi="Century Gothic"/>
                  <w:bCs/>
                  <w:sz w:val="20"/>
                  <w:szCs w:val="20"/>
                </w:rPr>
                <w:t>HEA 1033</w:t>
              </w:r>
            </w:hyperlink>
          </w:p>
          <w:p w14:paraId="0A18D9D0" w14:textId="77777777" w:rsidR="002927DD" w:rsidRDefault="002927DD" w:rsidP="00A85C00">
            <w:pPr>
              <w:spacing w:after="0" w:line="240" w:lineRule="auto"/>
              <w:jc w:val="center"/>
              <w:rPr>
                <w:rFonts w:ascii="Century Gothic" w:hAnsi="Century Gothic"/>
                <w:bCs/>
                <w:sz w:val="20"/>
                <w:szCs w:val="20"/>
              </w:rPr>
            </w:pPr>
          </w:p>
          <w:p w14:paraId="2BF1DCBC" w14:textId="654ED3FA" w:rsidR="002927DD" w:rsidRDefault="003F2049" w:rsidP="00A85C00">
            <w:pPr>
              <w:spacing w:after="0" w:line="240" w:lineRule="auto"/>
              <w:jc w:val="center"/>
              <w:rPr>
                <w:rFonts w:ascii="Century Gothic" w:hAnsi="Century Gothic"/>
                <w:bCs/>
                <w:sz w:val="20"/>
                <w:szCs w:val="20"/>
              </w:rPr>
            </w:pPr>
            <w:r>
              <w:rPr>
                <w:rFonts w:ascii="Century Gothic" w:hAnsi="Century Gothic"/>
                <w:bCs/>
                <w:sz w:val="20"/>
                <w:szCs w:val="20"/>
              </w:rPr>
              <w:t>Retainage Requirements</w:t>
            </w:r>
          </w:p>
          <w:p w14:paraId="2C66F574" w14:textId="2FB3E8AB" w:rsidR="002927DD" w:rsidRDefault="002927DD" w:rsidP="00A85C00">
            <w:pPr>
              <w:spacing w:after="0" w:line="240" w:lineRule="auto"/>
              <w:jc w:val="center"/>
              <w:rPr>
                <w:rFonts w:ascii="Century Gothic" w:hAnsi="Century Gothic"/>
                <w:bCs/>
                <w:sz w:val="20"/>
                <w:szCs w:val="20"/>
              </w:rPr>
            </w:pPr>
          </w:p>
        </w:tc>
        <w:tc>
          <w:tcPr>
            <w:tcW w:w="6403" w:type="dxa"/>
            <w:tcBorders>
              <w:top w:val="single" w:sz="4" w:space="0" w:color="auto"/>
              <w:left w:val="single" w:sz="4" w:space="0" w:color="auto"/>
              <w:bottom w:val="single" w:sz="4" w:space="0" w:color="auto"/>
              <w:right w:val="single" w:sz="4" w:space="0" w:color="auto"/>
            </w:tcBorders>
          </w:tcPr>
          <w:p w14:paraId="04E33531" w14:textId="1DA3E294" w:rsidR="002927DD" w:rsidRPr="00AA46EA" w:rsidRDefault="0013178A" w:rsidP="00312DE4">
            <w:pPr>
              <w:spacing w:after="0" w:line="240" w:lineRule="auto"/>
              <w:rPr>
                <w:rFonts w:ascii="Century Gothic" w:hAnsi="Century Gothic"/>
                <w:bCs/>
                <w:sz w:val="20"/>
                <w:szCs w:val="20"/>
              </w:rPr>
            </w:pPr>
            <w:r w:rsidRPr="0013178A">
              <w:rPr>
                <w:rFonts w:ascii="Century Gothic" w:hAnsi="Century Gothic"/>
                <w:bCs/>
                <w:sz w:val="20"/>
                <w:szCs w:val="20"/>
              </w:rPr>
              <w:t xml:space="preserve">Changes the maximum amount of retainage for certain state and local public works projects from: (1) 10% to 6% of the dollar value of all work satisfactorily completed until the public work is 50% complete; and (2) 5% to 3% of the dollar value of all work satisfactorily completed until the public work is substantially </w:t>
            </w:r>
            <w:proofErr w:type="gramStart"/>
            <w:r w:rsidRPr="0013178A">
              <w:rPr>
                <w:rFonts w:ascii="Century Gothic" w:hAnsi="Century Gothic"/>
                <w:bCs/>
                <w:sz w:val="20"/>
                <w:szCs w:val="20"/>
              </w:rPr>
              <w:t>complete</w:t>
            </w:r>
            <w:proofErr w:type="gramEnd"/>
            <w:r w:rsidRPr="0013178A">
              <w:rPr>
                <w:rFonts w:ascii="Century Gothic" w:hAnsi="Century Gothic"/>
                <w:bCs/>
                <w:sz w:val="20"/>
                <w:szCs w:val="20"/>
              </w:rPr>
              <w:t>. Removes the requirement of a minimum amount of retainage for certain state and local public works projects.</w:t>
            </w:r>
          </w:p>
        </w:tc>
        <w:tc>
          <w:tcPr>
            <w:tcW w:w="1530" w:type="dxa"/>
            <w:tcBorders>
              <w:top w:val="single" w:sz="4" w:space="0" w:color="auto"/>
              <w:left w:val="single" w:sz="4" w:space="0" w:color="auto"/>
              <w:bottom w:val="single" w:sz="4" w:space="0" w:color="auto"/>
              <w:right w:val="single" w:sz="4" w:space="0" w:color="auto"/>
            </w:tcBorders>
          </w:tcPr>
          <w:p w14:paraId="1B7C484F" w14:textId="00437B8E" w:rsidR="002927DD" w:rsidRDefault="003F2049"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tc>
      </w:tr>
      <w:tr w:rsidR="00312DE4" w:rsidRPr="00A172D1" w14:paraId="5D964EFE" w14:textId="77777777" w:rsidTr="00141D6C">
        <w:tc>
          <w:tcPr>
            <w:tcW w:w="1918" w:type="dxa"/>
            <w:tcBorders>
              <w:top w:val="single" w:sz="4" w:space="0" w:color="auto"/>
              <w:left w:val="single" w:sz="4" w:space="0" w:color="auto"/>
              <w:bottom w:val="single" w:sz="4" w:space="0" w:color="auto"/>
              <w:right w:val="single" w:sz="4" w:space="0" w:color="auto"/>
            </w:tcBorders>
          </w:tcPr>
          <w:p w14:paraId="44277202" w14:textId="77777777" w:rsidR="00A85C00" w:rsidRDefault="00A85C00" w:rsidP="00A85C00">
            <w:pPr>
              <w:spacing w:after="0" w:line="240" w:lineRule="auto"/>
              <w:jc w:val="center"/>
              <w:rPr>
                <w:rFonts w:ascii="Century Gothic" w:hAnsi="Century Gothic"/>
                <w:bCs/>
                <w:sz w:val="20"/>
                <w:szCs w:val="20"/>
              </w:rPr>
            </w:pPr>
            <w:hyperlink r:id="rId15" w:history="1">
              <w:r w:rsidRPr="00D905B8">
                <w:rPr>
                  <w:rStyle w:val="Hyperlink"/>
                  <w:rFonts w:ascii="Century Gothic" w:hAnsi="Century Gothic"/>
                  <w:bCs/>
                  <w:sz w:val="20"/>
                  <w:szCs w:val="20"/>
                </w:rPr>
                <w:t>HEA 1134</w:t>
              </w:r>
            </w:hyperlink>
          </w:p>
          <w:p w14:paraId="384D8DA5" w14:textId="77777777" w:rsidR="00A85C00" w:rsidRDefault="00A85C00" w:rsidP="00A85C00">
            <w:pPr>
              <w:spacing w:after="0" w:line="240" w:lineRule="auto"/>
              <w:jc w:val="center"/>
              <w:rPr>
                <w:rFonts w:ascii="Century Gothic" w:hAnsi="Century Gothic"/>
                <w:bCs/>
                <w:sz w:val="20"/>
                <w:szCs w:val="20"/>
              </w:rPr>
            </w:pPr>
            <w:r>
              <w:rPr>
                <w:rFonts w:ascii="Century Gothic" w:hAnsi="Century Gothic"/>
                <w:bCs/>
                <w:sz w:val="20"/>
                <w:szCs w:val="20"/>
              </w:rPr>
              <w:t xml:space="preserve"> </w:t>
            </w:r>
          </w:p>
          <w:p w14:paraId="5D32C8BF" w14:textId="123FC165" w:rsidR="00312DE4" w:rsidRDefault="00A85C00" w:rsidP="00A85C00">
            <w:pPr>
              <w:spacing w:after="0" w:line="240" w:lineRule="auto"/>
              <w:jc w:val="center"/>
              <w:rPr>
                <w:rFonts w:ascii="Century Gothic" w:hAnsi="Century Gothic"/>
                <w:bCs/>
                <w:sz w:val="20"/>
                <w:szCs w:val="20"/>
              </w:rPr>
            </w:pPr>
            <w:r>
              <w:rPr>
                <w:rFonts w:ascii="Century Gothic" w:hAnsi="Century Gothic"/>
                <w:bCs/>
                <w:sz w:val="20"/>
                <w:szCs w:val="20"/>
              </w:rPr>
              <w:t>Executive Sessions</w:t>
            </w:r>
          </w:p>
        </w:tc>
        <w:tc>
          <w:tcPr>
            <w:tcW w:w="6403" w:type="dxa"/>
            <w:tcBorders>
              <w:top w:val="single" w:sz="4" w:space="0" w:color="auto"/>
              <w:left w:val="single" w:sz="4" w:space="0" w:color="auto"/>
              <w:bottom w:val="single" w:sz="4" w:space="0" w:color="auto"/>
              <w:right w:val="single" w:sz="4" w:space="0" w:color="auto"/>
            </w:tcBorders>
          </w:tcPr>
          <w:p w14:paraId="004C2700" w14:textId="6CEE0563" w:rsidR="00312DE4" w:rsidRPr="00CC0B1A" w:rsidRDefault="00C931EC" w:rsidP="00312DE4">
            <w:pPr>
              <w:spacing w:after="0" w:line="240" w:lineRule="auto"/>
              <w:rPr>
                <w:rFonts w:ascii="Century Gothic" w:hAnsi="Century Gothic"/>
                <w:bCs/>
                <w:sz w:val="20"/>
                <w:szCs w:val="20"/>
              </w:rPr>
            </w:pPr>
            <w:r w:rsidRPr="00AA46EA">
              <w:rPr>
                <w:rFonts w:ascii="Century Gothic" w:hAnsi="Century Gothic"/>
                <w:bCs/>
                <w:sz w:val="20"/>
                <w:szCs w:val="20"/>
              </w:rPr>
              <w:t xml:space="preserve">Allows meetings of a state or local agency governing body concerning the following topics to be held in executive session: (1) Employee health care options with respect to special exceptions to coverage. (2) Employee specific compensation or employment matters of individual employees (excluding general discussion of employee compensation during a budget process). (3) Employee handbook changes. (3) Review of negotiations on the performance of </w:t>
            </w:r>
            <w:proofErr w:type="gramStart"/>
            <w:r w:rsidRPr="00AA46EA">
              <w:rPr>
                <w:rFonts w:ascii="Century Gothic" w:hAnsi="Century Gothic"/>
                <w:bCs/>
                <w:sz w:val="20"/>
                <w:szCs w:val="20"/>
              </w:rPr>
              <w:t>publicly</w:t>
            </w:r>
            <w:proofErr w:type="gramEnd"/>
            <w:r w:rsidRPr="00AA46EA">
              <w:rPr>
                <w:rFonts w:ascii="Century Gothic" w:hAnsi="Century Gothic"/>
                <w:bCs/>
                <w:sz w:val="20"/>
                <w:szCs w:val="20"/>
              </w:rPr>
              <w:t xml:space="preserve"> bid contracts, when public knowledge may result in increased cost. (4) Solicitation of contract proposals containing a bidder's proprietary information.</w:t>
            </w:r>
          </w:p>
        </w:tc>
        <w:tc>
          <w:tcPr>
            <w:tcW w:w="1530" w:type="dxa"/>
            <w:tcBorders>
              <w:top w:val="single" w:sz="4" w:space="0" w:color="auto"/>
              <w:left w:val="single" w:sz="4" w:space="0" w:color="auto"/>
              <w:bottom w:val="single" w:sz="4" w:space="0" w:color="auto"/>
              <w:right w:val="single" w:sz="4" w:space="0" w:color="auto"/>
            </w:tcBorders>
          </w:tcPr>
          <w:p w14:paraId="0480D5CA" w14:textId="1F74DCA9" w:rsidR="00312DE4" w:rsidRDefault="00C931EC" w:rsidP="00312DE4">
            <w:pPr>
              <w:spacing w:after="0" w:line="240" w:lineRule="auto"/>
              <w:jc w:val="center"/>
              <w:rPr>
                <w:rFonts w:ascii="Century Gothic" w:hAnsi="Century Gothic"/>
                <w:bCs/>
                <w:sz w:val="20"/>
                <w:szCs w:val="20"/>
              </w:rPr>
            </w:pPr>
            <w:r>
              <w:rPr>
                <w:rFonts w:ascii="Century Gothic" w:hAnsi="Century Gothic"/>
                <w:bCs/>
                <w:sz w:val="20"/>
                <w:szCs w:val="20"/>
              </w:rPr>
              <w:t>July 1, 2025</w:t>
            </w:r>
          </w:p>
        </w:tc>
      </w:tr>
      <w:tr w:rsidR="00C931EC" w:rsidRPr="00A172D1" w14:paraId="556A0B06" w14:textId="77777777" w:rsidTr="00141D6C">
        <w:tc>
          <w:tcPr>
            <w:tcW w:w="1918" w:type="dxa"/>
            <w:tcBorders>
              <w:top w:val="single" w:sz="4" w:space="0" w:color="auto"/>
              <w:left w:val="single" w:sz="4" w:space="0" w:color="auto"/>
              <w:bottom w:val="single" w:sz="4" w:space="0" w:color="auto"/>
              <w:right w:val="single" w:sz="4" w:space="0" w:color="auto"/>
            </w:tcBorders>
          </w:tcPr>
          <w:p w14:paraId="580C6100" w14:textId="77777777" w:rsidR="00C931EC" w:rsidRDefault="00C931EC" w:rsidP="00C931EC">
            <w:pPr>
              <w:spacing w:after="0" w:line="240" w:lineRule="auto"/>
              <w:jc w:val="center"/>
              <w:rPr>
                <w:rFonts w:ascii="Century Gothic" w:hAnsi="Century Gothic"/>
                <w:bCs/>
                <w:sz w:val="20"/>
                <w:szCs w:val="20"/>
              </w:rPr>
            </w:pPr>
            <w:hyperlink r:id="rId16" w:history="1">
              <w:r w:rsidRPr="00771D0A">
                <w:rPr>
                  <w:rStyle w:val="Hyperlink"/>
                  <w:rFonts w:ascii="Century Gothic" w:hAnsi="Century Gothic"/>
                  <w:bCs/>
                  <w:sz w:val="20"/>
                  <w:szCs w:val="20"/>
                </w:rPr>
                <w:t>HEA 1198</w:t>
              </w:r>
            </w:hyperlink>
          </w:p>
          <w:p w14:paraId="6DF22CCA" w14:textId="77777777" w:rsidR="00C931EC" w:rsidRDefault="00C931EC" w:rsidP="00C931EC">
            <w:pPr>
              <w:spacing w:after="0" w:line="240" w:lineRule="auto"/>
              <w:jc w:val="center"/>
              <w:rPr>
                <w:rFonts w:ascii="Century Gothic" w:hAnsi="Century Gothic"/>
                <w:bCs/>
                <w:sz w:val="20"/>
                <w:szCs w:val="20"/>
              </w:rPr>
            </w:pPr>
          </w:p>
          <w:p w14:paraId="7EAD41E2" w14:textId="77777777" w:rsidR="00C931EC" w:rsidRDefault="00C931EC" w:rsidP="00C931EC">
            <w:pPr>
              <w:spacing w:after="0" w:line="240" w:lineRule="auto"/>
              <w:jc w:val="center"/>
              <w:rPr>
                <w:rFonts w:ascii="Century Gothic" w:hAnsi="Century Gothic"/>
                <w:bCs/>
                <w:sz w:val="20"/>
                <w:szCs w:val="20"/>
              </w:rPr>
            </w:pPr>
            <w:r>
              <w:rPr>
                <w:rFonts w:ascii="Century Gothic" w:hAnsi="Century Gothic"/>
                <w:bCs/>
                <w:sz w:val="20"/>
                <w:szCs w:val="20"/>
              </w:rPr>
              <w:lastRenderedPageBreak/>
              <w:t>Local Public Works Projects</w:t>
            </w:r>
          </w:p>
          <w:p w14:paraId="74D07A88" w14:textId="77777777" w:rsidR="00C931EC" w:rsidRDefault="00C931EC" w:rsidP="00C931EC">
            <w:pPr>
              <w:spacing w:after="0" w:line="240" w:lineRule="auto"/>
              <w:jc w:val="center"/>
              <w:rPr>
                <w:rFonts w:ascii="Century Gothic" w:hAnsi="Century Gothic"/>
                <w:bCs/>
                <w:sz w:val="20"/>
                <w:szCs w:val="20"/>
              </w:rPr>
            </w:pPr>
          </w:p>
        </w:tc>
        <w:tc>
          <w:tcPr>
            <w:tcW w:w="6403" w:type="dxa"/>
            <w:tcBorders>
              <w:top w:val="single" w:sz="4" w:space="0" w:color="auto"/>
              <w:left w:val="single" w:sz="4" w:space="0" w:color="auto"/>
              <w:bottom w:val="single" w:sz="4" w:space="0" w:color="auto"/>
              <w:right w:val="single" w:sz="4" w:space="0" w:color="auto"/>
            </w:tcBorders>
          </w:tcPr>
          <w:p w14:paraId="7CF9A3F2" w14:textId="6DC8EF7F" w:rsidR="00C931EC" w:rsidRPr="00CC0B1A" w:rsidRDefault="00C931EC" w:rsidP="00C931EC">
            <w:pPr>
              <w:spacing w:after="0" w:line="240" w:lineRule="auto"/>
              <w:rPr>
                <w:rFonts w:ascii="Century Gothic" w:hAnsi="Century Gothic"/>
                <w:bCs/>
                <w:sz w:val="20"/>
                <w:szCs w:val="20"/>
              </w:rPr>
            </w:pPr>
            <w:r w:rsidRPr="00E264B8">
              <w:rPr>
                <w:rFonts w:ascii="Century Gothic" w:hAnsi="Century Gothic"/>
                <w:bCs/>
                <w:sz w:val="20"/>
                <w:szCs w:val="20"/>
              </w:rPr>
              <w:lastRenderedPageBreak/>
              <w:t xml:space="preserve">Changes the amount of a public work project that a board may perform using its own workforce, without awarding a </w:t>
            </w:r>
            <w:r w:rsidRPr="00E264B8">
              <w:rPr>
                <w:rFonts w:ascii="Century Gothic" w:hAnsi="Century Gothic"/>
                <w:bCs/>
                <w:sz w:val="20"/>
                <w:szCs w:val="20"/>
              </w:rPr>
              <w:lastRenderedPageBreak/>
              <w:t>contract, from an estimated cost of less than $250,000 to an estimated cost of less than $375,000, adjusted annually to account for inflation. Provides that the department of local government finance shall annually publish the adjusted cost estimate threshold on the department's website. Removes the distinction between a political subdivision that is a school corporation and a political subdivision that is not a school corporation for the cost of a public work project that is not subject to certain procedures. Provides that if a federal grant is to be issued to fund a portion of the construction on a public work project, the successful bidder has 90 days to proceed with the contract. Provides that plans and specifications approved by an architect or engineer are not required for certain public work on a public building.</w:t>
            </w:r>
          </w:p>
        </w:tc>
        <w:tc>
          <w:tcPr>
            <w:tcW w:w="1530" w:type="dxa"/>
            <w:tcBorders>
              <w:top w:val="single" w:sz="4" w:space="0" w:color="auto"/>
              <w:left w:val="single" w:sz="4" w:space="0" w:color="auto"/>
              <w:bottom w:val="single" w:sz="4" w:space="0" w:color="auto"/>
              <w:right w:val="single" w:sz="4" w:space="0" w:color="auto"/>
            </w:tcBorders>
          </w:tcPr>
          <w:p w14:paraId="28A93F6B" w14:textId="77777777" w:rsidR="00C931EC" w:rsidRDefault="00C931EC" w:rsidP="00C931EC">
            <w:pPr>
              <w:spacing w:after="0" w:line="240" w:lineRule="auto"/>
              <w:jc w:val="center"/>
              <w:rPr>
                <w:rFonts w:ascii="Century Gothic" w:hAnsi="Century Gothic"/>
                <w:bCs/>
                <w:sz w:val="20"/>
                <w:szCs w:val="20"/>
              </w:rPr>
            </w:pPr>
            <w:r>
              <w:rPr>
                <w:rFonts w:ascii="Century Gothic" w:hAnsi="Century Gothic"/>
                <w:bCs/>
                <w:sz w:val="20"/>
                <w:szCs w:val="20"/>
              </w:rPr>
              <w:lastRenderedPageBreak/>
              <w:t xml:space="preserve"> July 1, 2025</w:t>
            </w:r>
          </w:p>
          <w:p w14:paraId="7FF2B4B3" w14:textId="77777777" w:rsidR="00C931EC" w:rsidRDefault="00C931EC" w:rsidP="00C931EC">
            <w:pPr>
              <w:rPr>
                <w:rFonts w:ascii="Century Gothic" w:hAnsi="Century Gothic"/>
                <w:bCs/>
                <w:sz w:val="20"/>
                <w:szCs w:val="20"/>
              </w:rPr>
            </w:pPr>
          </w:p>
          <w:p w14:paraId="10137487" w14:textId="77777777" w:rsidR="00C931EC" w:rsidRDefault="00C931EC" w:rsidP="00C931EC">
            <w:pPr>
              <w:spacing w:after="0" w:line="240" w:lineRule="auto"/>
              <w:jc w:val="center"/>
              <w:rPr>
                <w:rFonts w:ascii="Century Gothic" w:hAnsi="Century Gothic"/>
                <w:bCs/>
                <w:sz w:val="20"/>
                <w:szCs w:val="20"/>
              </w:rPr>
            </w:pPr>
          </w:p>
        </w:tc>
      </w:tr>
      <w:tr w:rsidR="00C931EC" w:rsidRPr="00A172D1" w14:paraId="1B85589F" w14:textId="77777777" w:rsidTr="00141D6C">
        <w:tc>
          <w:tcPr>
            <w:tcW w:w="1918" w:type="dxa"/>
            <w:tcBorders>
              <w:top w:val="single" w:sz="4" w:space="0" w:color="auto"/>
              <w:left w:val="single" w:sz="4" w:space="0" w:color="auto"/>
              <w:bottom w:val="single" w:sz="4" w:space="0" w:color="auto"/>
              <w:right w:val="single" w:sz="4" w:space="0" w:color="auto"/>
            </w:tcBorders>
          </w:tcPr>
          <w:p w14:paraId="7C6F01F0" w14:textId="77777777" w:rsidR="00087145" w:rsidRPr="00CA45E0" w:rsidRDefault="00087145" w:rsidP="00087145">
            <w:pPr>
              <w:spacing w:after="0" w:line="240" w:lineRule="auto"/>
              <w:jc w:val="center"/>
              <w:rPr>
                <w:rFonts w:ascii="Century Gothic" w:hAnsi="Century Gothic"/>
                <w:sz w:val="20"/>
                <w:szCs w:val="20"/>
              </w:rPr>
            </w:pPr>
            <w:hyperlink r:id="rId17" w:history="1">
              <w:r w:rsidRPr="00CA45E0">
                <w:rPr>
                  <w:rStyle w:val="Hyperlink"/>
                  <w:rFonts w:ascii="Century Gothic" w:hAnsi="Century Gothic"/>
                  <w:sz w:val="20"/>
                  <w:szCs w:val="20"/>
                </w:rPr>
                <w:t>HEA 1412</w:t>
              </w:r>
            </w:hyperlink>
          </w:p>
          <w:p w14:paraId="49AA5032" w14:textId="77777777" w:rsidR="00087145" w:rsidRPr="00CA45E0" w:rsidRDefault="00087145" w:rsidP="00087145">
            <w:pPr>
              <w:spacing w:after="0" w:line="240" w:lineRule="auto"/>
              <w:jc w:val="center"/>
              <w:rPr>
                <w:rFonts w:ascii="Century Gothic" w:hAnsi="Century Gothic"/>
                <w:sz w:val="20"/>
                <w:szCs w:val="20"/>
              </w:rPr>
            </w:pPr>
          </w:p>
          <w:p w14:paraId="19DC6C5B" w14:textId="25D35952" w:rsidR="00C931EC" w:rsidRDefault="00087145" w:rsidP="00087145">
            <w:pPr>
              <w:spacing w:after="0" w:line="240" w:lineRule="auto"/>
              <w:jc w:val="center"/>
              <w:rPr>
                <w:rFonts w:ascii="Century Gothic" w:hAnsi="Century Gothic"/>
                <w:bCs/>
                <w:sz w:val="20"/>
                <w:szCs w:val="20"/>
              </w:rPr>
            </w:pPr>
            <w:proofErr w:type="gramStart"/>
            <w:r w:rsidRPr="00CA45E0">
              <w:rPr>
                <w:rFonts w:ascii="Century Gothic" w:hAnsi="Century Gothic"/>
                <w:sz w:val="20"/>
                <w:szCs w:val="20"/>
              </w:rPr>
              <w:t>Reporting of</w:t>
            </w:r>
            <w:proofErr w:type="gramEnd"/>
            <w:r w:rsidRPr="00CA45E0">
              <w:rPr>
                <w:rFonts w:ascii="Century Gothic" w:hAnsi="Century Gothic"/>
                <w:sz w:val="20"/>
                <w:szCs w:val="20"/>
              </w:rPr>
              <w:t xml:space="preserve"> Child Abuse</w:t>
            </w:r>
          </w:p>
        </w:tc>
        <w:tc>
          <w:tcPr>
            <w:tcW w:w="6403" w:type="dxa"/>
            <w:tcBorders>
              <w:top w:val="single" w:sz="4" w:space="0" w:color="auto"/>
              <w:left w:val="single" w:sz="4" w:space="0" w:color="auto"/>
              <w:bottom w:val="single" w:sz="4" w:space="0" w:color="auto"/>
              <w:right w:val="single" w:sz="4" w:space="0" w:color="auto"/>
            </w:tcBorders>
          </w:tcPr>
          <w:p w14:paraId="51260973" w14:textId="77777777" w:rsidR="00087145" w:rsidRDefault="00087145" w:rsidP="00087145">
            <w:pPr>
              <w:spacing w:after="0" w:line="240" w:lineRule="auto"/>
              <w:rPr>
                <w:rFonts w:ascii="Century Gothic" w:hAnsi="Century Gothic"/>
                <w:bCs/>
                <w:sz w:val="20"/>
                <w:szCs w:val="20"/>
              </w:rPr>
            </w:pPr>
            <w:r w:rsidRPr="00214073">
              <w:rPr>
                <w:rFonts w:ascii="Century Gothic" w:hAnsi="Century Gothic"/>
                <w:bCs/>
                <w:sz w:val="20"/>
                <w:szCs w:val="20"/>
              </w:rPr>
              <w:t xml:space="preserve">Provides that an individual's duty to report suspected child abuse or neglect may only be delegated to another person if certain conditions are met. Requires that if a report of suspected child abuse or neglect alleges that a staff member, youth coach, or volunteer of an institution, school, facility, organization, or agency is the abuser, law enforcement shall investigate to determine whether the institution, school, facility, organization, or agency knew that the alleged abuse was happening and failed to report the alleged abuse. </w:t>
            </w:r>
            <w:proofErr w:type="gramStart"/>
            <w:r w:rsidRPr="00214073">
              <w:rPr>
                <w:rFonts w:ascii="Century Gothic" w:hAnsi="Century Gothic"/>
                <w:bCs/>
                <w:sz w:val="20"/>
                <w:szCs w:val="20"/>
              </w:rPr>
              <w:t>Allows</w:t>
            </w:r>
            <w:proofErr w:type="gramEnd"/>
            <w:r w:rsidRPr="00214073">
              <w:rPr>
                <w:rFonts w:ascii="Century Gothic" w:hAnsi="Century Gothic"/>
                <w:bCs/>
                <w:sz w:val="20"/>
                <w:szCs w:val="20"/>
              </w:rPr>
              <w:t xml:space="preserve"> law enforcement to consider certain facts when determining whether the institution, school, facility, organization, or agency knew about the alleged abuse. Provides that a child is not a child in need of services due to a parent, guardian, or custodian referring to and raising a child consistent with the child's biological sex. Makes conforming changes.</w:t>
            </w:r>
          </w:p>
          <w:p w14:paraId="38359A07" w14:textId="77777777" w:rsidR="00C931EC" w:rsidRPr="00CC0B1A" w:rsidRDefault="00C931EC" w:rsidP="00C931EC">
            <w:pPr>
              <w:spacing w:after="0" w:line="240" w:lineRule="auto"/>
              <w:rPr>
                <w:rFonts w:ascii="Century Gothic" w:hAnsi="Century Gothic"/>
                <w:bCs/>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68F91E7" w14:textId="77777777" w:rsidR="00087145" w:rsidRDefault="00087145" w:rsidP="00087145">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7B62E202" w14:textId="77777777" w:rsidR="00C931EC" w:rsidRDefault="00C931EC" w:rsidP="00C931EC">
            <w:pPr>
              <w:spacing w:after="0" w:line="240" w:lineRule="auto"/>
              <w:jc w:val="center"/>
              <w:rPr>
                <w:rFonts w:ascii="Century Gothic" w:hAnsi="Century Gothic"/>
                <w:bCs/>
                <w:sz w:val="20"/>
                <w:szCs w:val="20"/>
              </w:rPr>
            </w:pPr>
          </w:p>
        </w:tc>
      </w:tr>
      <w:tr w:rsidR="008143A2" w:rsidRPr="00A172D1" w14:paraId="74A9FA2E" w14:textId="77777777" w:rsidTr="00141D6C">
        <w:tc>
          <w:tcPr>
            <w:tcW w:w="1918" w:type="dxa"/>
            <w:tcBorders>
              <w:top w:val="single" w:sz="4" w:space="0" w:color="auto"/>
              <w:left w:val="single" w:sz="4" w:space="0" w:color="auto"/>
              <w:bottom w:val="single" w:sz="4" w:space="0" w:color="auto"/>
              <w:right w:val="single" w:sz="4" w:space="0" w:color="auto"/>
            </w:tcBorders>
          </w:tcPr>
          <w:p w14:paraId="7020D9D6" w14:textId="77777777" w:rsidR="008143A2" w:rsidRDefault="008143A2" w:rsidP="008143A2">
            <w:pPr>
              <w:spacing w:after="0" w:line="240" w:lineRule="auto"/>
              <w:jc w:val="center"/>
              <w:rPr>
                <w:rFonts w:ascii="Century Gothic" w:hAnsi="Century Gothic"/>
                <w:sz w:val="20"/>
                <w:szCs w:val="20"/>
              </w:rPr>
            </w:pPr>
            <w:hyperlink r:id="rId18" w:history="1">
              <w:r w:rsidRPr="00BD3C44">
                <w:rPr>
                  <w:rStyle w:val="Hyperlink"/>
                  <w:rFonts w:ascii="Century Gothic" w:hAnsi="Century Gothic"/>
                  <w:sz w:val="20"/>
                  <w:szCs w:val="20"/>
                </w:rPr>
                <w:t>HEA 1427</w:t>
              </w:r>
            </w:hyperlink>
          </w:p>
          <w:p w14:paraId="3751D710" w14:textId="77777777" w:rsidR="008143A2" w:rsidRDefault="008143A2" w:rsidP="008143A2">
            <w:pPr>
              <w:spacing w:after="0" w:line="240" w:lineRule="auto"/>
              <w:jc w:val="center"/>
              <w:rPr>
                <w:rFonts w:ascii="Century Gothic" w:hAnsi="Century Gothic"/>
                <w:sz w:val="20"/>
                <w:szCs w:val="20"/>
              </w:rPr>
            </w:pPr>
          </w:p>
          <w:p w14:paraId="59B43F14" w14:textId="77777777" w:rsidR="008143A2" w:rsidRDefault="008143A2" w:rsidP="008143A2">
            <w:pPr>
              <w:spacing w:after="0" w:line="240" w:lineRule="auto"/>
              <w:jc w:val="center"/>
              <w:rPr>
                <w:rFonts w:ascii="Century Gothic" w:hAnsi="Century Gothic"/>
                <w:sz w:val="20"/>
                <w:szCs w:val="20"/>
              </w:rPr>
            </w:pPr>
            <w:r>
              <w:rPr>
                <w:rFonts w:ascii="Century Gothic" w:hAnsi="Century Gothic"/>
                <w:sz w:val="20"/>
                <w:szCs w:val="20"/>
              </w:rPr>
              <w:t>Department of Local Government Finance</w:t>
            </w:r>
          </w:p>
          <w:p w14:paraId="64DFA8C1" w14:textId="72E4B9EE" w:rsidR="008143A2" w:rsidRDefault="008143A2" w:rsidP="008143A2">
            <w:pPr>
              <w:spacing w:after="0" w:line="240" w:lineRule="auto"/>
              <w:jc w:val="center"/>
              <w:rPr>
                <w:rFonts w:ascii="Century Gothic" w:hAnsi="Century Gothic"/>
                <w:bCs/>
                <w:sz w:val="20"/>
                <w:szCs w:val="20"/>
              </w:rPr>
            </w:pPr>
            <w:r w:rsidRPr="00CA45E0">
              <w:rPr>
                <w:rFonts w:ascii="Century Gothic" w:hAnsi="Century Gothic"/>
                <w:sz w:val="20"/>
                <w:szCs w:val="20"/>
              </w:rPr>
              <w:t xml:space="preserve"> </w:t>
            </w:r>
            <w:r>
              <w:t xml:space="preserve"> </w:t>
            </w:r>
          </w:p>
          <w:p w14:paraId="53C4E8A8" w14:textId="77777777" w:rsidR="008143A2" w:rsidRDefault="008143A2" w:rsidP="008143A2">
            <w:pPr>
              <w:spacing w:after="0" w:line="240" w:lineRule="auto"/>
              <w:jc w:val="center"/>
              <w:rPr>
                <w:rFonts w:ascii="Century Gothic" w:hAnsi="Century Gothic"/>
                <w:bCs/>
                <w:sz w:val="20"/>
                <w:szCs w:val="20"/>
              </w:rPr>
            </w:pPr>
          </w:p>
          <w:p w14:paraId="6CA63B8B" w14:textId="12B80823" w:rsidR="008143A2" w:rsidRPr="00A172D1" w:rsidRDefault="008143A2" w:rsidP="008143A2">
            <w:pPr>
              <w:spacing w:after="0" w:line="240" w:lineRule="auto"/>
              <w:jc w:val="center"/>
              <w:rPr>
                <w:rFonts w:ascii="Century Gothic" w:hAnsi="Century Gothic"/>
                <w:bCs/>
                <w:sz w:val="20"/>
                <w:szCs w:val="20"/>
              </w:rPr>
            </w:pPr>
          </w:p>
        </w:tc>
        <w:tc>
          <w:tcPr>
            <w:tcW w:w="6403" w:type="dxa"/>
            <w:tcBorders>
              <w:top w:val="single" w:sz="4" w:space="0" w:color="auto"/>
              <w:left w:val="single" w:sz="4" w:space="0" w:color="auto"/>
              <w:bottom w:val="single" w:sz="4" w:space="0" w:color="auto"/>
              <w:right w:val="single" w:sz="4" w:space="0" w:color="auto"/>
            </w:tcBorders>
          </w:tcPr>
          <w:p w14:paraId="594FE838" w14:textId="77777777" w:rsidR="00D74BFF"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Removes the sunset of provisions that authorize the sale of bonds at a negotiated sale. </w:t>
            </w:r>
          </w:p>
          <w:p w14:paraId="50F5D45F" w14:textId="77777777" w:rsidR="00D74BFF" w:rsidRDefault="00D74BFF" w:rsidP="008143A2">
            <w:pPr>
              <w:spacing w:after="0" w:line="240" w:lineRule="auto"/>
              <w:rPr>
                <w:rFonts w:ascii="Century Gothic" w:hAnsi="Century Gothic"/>
                <w:bCs/>
                <w:sz w:val="20"/>
                <w:szCs w:val="20"/>
              </w:rPr>
            </w:pPr>
          </w:p>
          <w:p w14:paraId="360FC599" w14:textId="77777777" w:rsidR="00D74BFF"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Amends provisions pertaining to the investment of public funds in certain depositories. </w:t>
            </w:r>
          </w:p>
          <w:p w14:paraId="570C0055" w14:textId="77777777" w:rsidR="00D74BFF" w:rsidRDefault="00D74BFF" w:rsidP="008143A2">
            <w:pPr>
              <w:spacing w:after="0" w:line="240" w:lineRule="auto"/>
              <w:rPr>
                <w:rFonts w:ascii="Century Gothic" w:hAnsi="Century Gothic"/>
                <w:bCs/>
                <w:sz w:val="20"/>
                <w:szCs w:val="20"/>
              </w:rPr>
            </w:pPr>
          </w:p>
          <w:p w14:paraId="02F9BB98" w14:textId="77777777" w:rsidR="00800A64"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Requires the fiscal officer (rather than the executive) of a political subdivision to upload certain contracts to the Indiana transparency website (website). Permits the political subdivision to identify an individual other than the fiscal officer to upload contracts to the website. </w:t>
            </w:r>
          </w:p>
          <w:p w14:paraId="72C5C04E" w14:textId="77777777" w:rsidR="00800A64" w:rsidRDefault="00800A64" w:rsidP="008143A2">
            <w:pPr>
              <w:spacing w:after="0" w:line="240" w:lineRule="auto"/>
              <w:rPr>
                <w:rFonts w:ascii="Century Gothic" w:hAnsi="Century Gothic"/>
                <w:bCs/>
                <w:sz w:val="20"/>
                <w:szCs w:val="20"/>
              </w:rPr>
            </w:pPr>
          </w:p>
          <w:p w14:paraId="3FFA7C44" w14:textId="77777777" w:rsidR="004E61C1"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Provides that the change to the agricultural base rate in Senate Bill 1 does not apply for the January 1, 2025, assessment date to land in inventory. </w:t>
            </w:r>
          </w:p>
          <w:p w14:paraId="0C1C79B2" w14:textId="77777777" w:rsidR="004E61C1" w:rsidRDefault="004E61C1" w:rsidP="008143A2">
            <w:pPr>
              <w:spacing w:after="0" w:line="240" w:lineRule="auto"/>
              <w:rPr>
                <w:rFonts w:ascii="Century Gothic" w:hAnsi="Century Gothic"/>
                <w:bCs/>
                <w:sz w:val="20"/>
                <w:szCs w:val="20"/>
              </w:rPr>
            </w:pPr>
          </w:p>
          <w:p w14:paraId="3AE7ED92" w14:textId="783A145F" w:rsidR="009E358A"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Removes an exception to provisions added in Senate Bill 1 exempting depreciable personal property placed in service after January 1, 2025, from the 30% minimum valuation floor if property tax revenue that is attributable to the depreciable personal property is pledged as payment for bonds, leases, or other obligations. </w:t>
            </w:r>
          </w:p>
          <w:p w14:paraId="30C5E4A4" w14:textId="77777777" w:rsidR="00D22CD2" w:rsidRDefault="00D22CD2" w:rsidP="008143A2">
            <w:pPr>
              <w:spacing w:after="0" w:line="240" w:lineRule="auto"/>
              <w:rPr>
                <w:rFonts w:ascii="Century Gothic" w:hAnsi="Century Gothic"/>
                <w:bCs/>
                <w:sz w:val="20"/>
                <w:szCs w:val="20"/>
              </w:rPr>
            </w:pPr>
          </w:p>
          <w:p w14:paraId="262E9EBF" w14:textId="4ED0CA26" w:rsidR="002A2520"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Repeals the local property tax credits for veterans enacted in Senate Bill 1 and reinstates the property tax deductions in current law for veterans that were expired under Senate Bill 1.</w:t>
            </w:r>
          </w:p>
          <w:p w14:paraId="63E75915" w14:textId="77777777" w:rsidR="002A2520" w:rsidRDefault="002A2520" w:rsidP="008143A2">
            <w:pPr>
              <w:spacing w:after="0" w:line="240" w:lineRule="auto"/>
              <w:rPr>
                <w:rFonts w:ascii="Century Gothic" w:hAnsi="Century Gothic"/>
                <w:bCs/>
                <w:sz w:val="20"/>
                <w:szCs w:val="20"/>
              </w:rPr>
            </w:pPr>
          </w:p>
          <w:p w14:paraId="73BC8B1F" w14:textId="77777777" w:rsidR="00A75584" w:rsidRDefault="00A75584" w:rsidP="008143A2">
            <w:pPr>
              <w:spacing w:after="0" w:line="240" w:lineRule="auto"/>
              <w:rPr>
                <w:rFonts w:ascii="Century Gothic" w:hAnsi="Century Gothic"/>
                <w:bCs/>
                <w:sz w:val="20"/>
                <w:szCs w:val="20"/>
              </w:rPr>
            </w:pPr>
          </w:p>
          <w:p w14:paraId="2CF10C07" w14:textId="77777777" w:rsidR="002C0904" w:rsidRDefault="002C0904" w:rsidP="008143A2">
            <w:pPr>
              <w:spacing w:after="0" w:line="240" w:lineRule="auto"/>
              <w:rPr>
                <w:rFonts w:ascii="Century Gothic" w:hAnsi="Century Gothic"/>
                <w:bCs/>
                <w:sz w:val="20"/>
                <w:szCs w:val="20"/>
              </w:rPr>
            </w:pPr>
          </w:p>
          <w:p w14:paraId="3E52D788" w14:textId="76A82DC6" w:rsidR="00A75584"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Clarifies the deadline for submitting amended certified net assessed value amounts. </w:t>
            </w:r>
          </w:p>
          <w:p w14:paraId="67A4AA0E" w14:textId="77777777" w:rsidR="00A75584" w:rsidRDefault="00A75584" w:rsidP="008143A2">
            <w:pPr>
              <w:spacing w:after="0" w:line="240" w:lineRule="auto"/>
              <w:rPr>
                <w:rFonts w:ascii="Century Gothic" w:hAnsi="Century Gothic"/>
                <w:bCs/>
                <w:sz w:val="20"/>
                <w:szCs w:val="20"/>
              </w:rPr>
            </w:pPr>
          </w:p>
          <w:p w14:paraId="2F8A9C62" w14:textId="77777777" w:rsidR="002C0904" w:rsidRDefault="002C0904" w:rsidP="008143A2">
            <w:pPr>
              <w:spacing w:after="0" w:line="240" w:lineRule="auto"/>
              <w:rPr>
                <w:rFonts w:ascii="Century Gothic" w:hAnsi="Century Gothic"/>
                <w:bCs/>
                <w:sz w:val="20"/>
                <w:szCs w:val="20"/>
              </w:rPr>
            </w:pPr>
          </w:p>
          <w:p w14:paraId="5FBFB1C9" w14:textId="77777777" w:rsidR="005A5A20"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Specifies the calculation of the maximum permissible property tax levy for certain units that fail to comply with certain budget and tax levy review and adoption procedures. Adds provisions that: (1) require the DLGF to increase the maximum permissible property tax levy for certain qualifying municipalities for property taxes first due and payable in 2025 to include all debt service levies of the qualifying municipality for property taxes first due and payable in 2025; (2) specify that the adjustment is a one time and permanent increase; (3) modify the: (A) local income tax trust account threshold percentage of a county that contains a qualifying municipality (for purposes of determining whether the county shall receive a supplemental distribution); and (B) certified share allocation determination for a qualifying municipality; and (4) prohibit the use funds from the state general fund to make up certain local income tax related shortfalls. Provides temporary one time increases for the maximum permissible </w:t>
            </w:r>
            <w:proofErr w:type="gramStart"/>
            <w:r w:rsidRPr="00BF401B">
              <w:rPr>
                <w:rFonts w:ascii="Century Gothic" w:hAnsi="Century Gothic"/>
                <w:bCs/>
                <w:sz w:val="20"/>
                <w:szCs w:val="20"/>
              </w:rPr>
              <w:t>ad</w:t>
            </w:r>
            <w:proofErr w:type="gramEnd"/>
            <w:r w:rsidRPr="00BF401B">
              <w:rPr>
                <w:rFonts w:ascii="Century Gothic" w:hAnsi="Century Gothic"/>
                <w:bCs/>
                <w:sz w:val="20"/>
                <w:szCs w:val="20"/>
              </w:rPr>
              <w:t xml:space="preserve"> valorem property tax levies for Shelby County and the Shelby County solid waste management district. </w:t>
            </w:r>
          </w:p>
          <w:p w14:paraId="1EA04563" w14:textId="77777777" w:rsidR="005A5A20" w:rsidRDefault="005A5A20" w:rsidP="008143A2">
            <w:pPr>
              <w:spacing w:after="0" w:line="240" w:lineRule="auto"/>
              <w:rPr>
                <w:rFonts w:ascii="Century Gothic" w:hAnsi="Century Gothic"/>
                <w:bCs/>
                <w:sz w:val="20"/>
                <w:szCs w:val="20"/>
              </w:rPr>
            </w:pPr>
          </w:p>
          <w:p w14:paraId="3A56F2A6" w14:textId="77777777" w:rsidR="00EA4D81" w:rsidRDefault="008143A2" w:rsidP="008143A2">
            <w:pPr>
              <w:spacing w:after="0" w:line="240" w:lineRule="auto"/>
              <w:rPr>
                <w:rFonts w:ascii="Century Gothic" w:hAnsi="Century Gothic"/>
                <w:bCs/>
                <w:sz w:val="20"/>
                <w:szCs w:val="20"/>
              </w:rPr>
            </w:pPr>
            <w:r w:rsidRPr="00BF401B">
              <w:rPr>
                <w:rFonts w:ascii="Century Gothic" w:hAnsi="Century Gothic"/>
                <w:bCs/>
                <w:sz w:val="20"/>
                <w:szCs w:val="20"/>
              </w:rPr>
              <w:t xml:space="preserve">Provides that a tract or item of real property owned by a political subdivision may not be sold at a tax sale. </w:t>
            </w:r>
          </w:p>
          <w:p w14:paraId="2C7A89DF" w14:textId="77777777" w:rsidR="00D06198" w:rsidRDefault="00D06198" w:rsidP="008143A2">
            <w:pPr>
              <w:spacing w:after="0" w:line="240" w:lineRule="auto"/>
              <w:rPr>
                <w:rFonts w:ascii="Century Gothic" w:hAnsi="Century Gothic"/>
                <w:bCs/>
                <w:sz w:val="20"/>
                <w:szCs w:val="20"/>
              </w:rPr>
            </w:pPr>
          </w:p>
          <w:p w14:paraId="0D32A3BA" w14:textId="466FC8FA" w:rsidR="00600EBD" w:rsidRDefault="008143A2" w:rsidP="008143A2">
            <w:pPr>
              <w:spacing w:after="0" w:line="240" w:lineRule="auto"/>
              <w:rPr>
                <w:rFonts w:ascii="Century Gothic" w:hAnsi="Century Gothic"/>
                <w:bCs/>
                <w:sz w:val="20"/>
                <w:szCs w:val="20"/>
              </w:rPr>
            </w:pPr>
            <w:proofErr w:type="gramStart"/>
            <w:r w:rsidRPr="00BF401B">
              <w:rPr>
                <w:rFonts w:ascii="Century Gothic" w:hAnsi="Century Gothic"/>
                <w:bCs/>
                <w:sz w:val="20"/>
                <w:szCs w:val="20"/>
              </w:rPr>
              <w:t>Removes</w:t>
            </w:r>
            <w:proofErr w:type="gramEnd"/>
            <w:r w:rsidRPr="00BF401B">
              <w:rPr>
                <w:rFonts w:ascii="Century Gothic" w:hAnsi="Century Gothic"/>
                <w:bCs/>
                <w:sz w:val="20"/>
                <w:szCs w:val="20"/>
              </w:rPr>
              <w:t xml:space="preserve"> provisions enacted by HEA 1001-2025 that: (1) treated the local government investment pool as a financial institution; and (2) considered the seven</w:t>
            </w:r>
            <w:r w:rsidR="00600EBD">
              <w:rPr>
                <w:rFonts w:ascii="Century Gothic" w:hAnsi="Century Gothic"/>
                <w:bCs/>
                <w:sz w:val="20"/>
                <w:szCs w:val="20"/>
              </w:rPr>
              <w:t>-</w:t>
            </w:r>
            <w:r w:rsidRPr="00BF401B">
              <w:rPr>
                <w:rFonts w:ascii="Century Gothic" w:hAnsi="Century Gothic"/>
                <w:bCs/>
                <w:sz w:val="20"/>
                <w:szCs w:val="20"/>
              </w:rPr>
              <w:t xml:space="preserve">day yield published weekly by the treasurer of state to be a quote for purposes of the law governing the deposit and investment of public funds. </w:t>
            </w:r>
          </w:p>
          <w:p w14:paraId="40473144" w14:textId="147315B4" w:rsidR="008143A2" w:rsidRPr="00A172D1" w:rsidRDefault="008143A2" w:rsidP="008143A2">
            <w:pPr>
              <w:spacing w:after="0" w:line="240" w:lineRule="auto"/>
              <w:rPr>
                <w:rFonts w:ascii="Century Gothic" w:hAnsi="Century Gothic"/>
                <w:bCs/>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B3C0F96" w14:textId="77777777" w:rsidR="008143A2" w:rsidRDefault="0050334E" w:rsidP="008143A2">
            <w:pPr>
              <w:jc w:val="center"/>
              <w:rPr>
                <w:rFonts w:ascii="Century Gothic" w:hAnsi="Century Gothic"/>
                <w:sz w:val="20"/>
                <w:szCs w:val="20"/>
              </w:rPr>
            </w:pPr>
            <w:r>
              <w:rPr>
                <w:rFonts w:ascii="Century Gothic" w:hAnsi="Century Gothic"/>
                <w:sz w:val="20"/>
                <w:szCs w:val="20"/>
              </w:rPr>
              <w:lastRenderedPageBreak/>
              <w:t>July 1, 2025</w:t>
            </w:r>
          </w:p>
          <w:p w14:paraId="3FF535CD" w14:textId="77777777" w:rsidR="00012275" w:rsidRDefault="00012275" w:rsidP="008143A2">
            <w:pPr>
              <w:jc w:val="center"/>
              <w:rPr>
                <w:rFonts w:ascii="Century Gothic" w:hAnsi="Century Gothic"/>
                <w:sz w:val="20"/>
                <w:szCs w:val="20"/>
              </w:rPr>
            </w:pPr>
          </w:p>
          <w:p w14:paraId="72849194" w14:textId="77777777" w:rsidR="00012275" w:rsidRDefault="00012275" w:rsidP="008143A2">
            <w:pPr>
              <w:jc w:val="center"/>
              <w:rPr>
                <w:rFonts w:ascii="Century Gothic" w:hAnsi="Century Gothic"/>
                <w:sz w:val="20"/>
                <w:szCs w:val="20"/>
              </w:rPr>
            </w:pPr>
            <w:r>
              <w:rPr>
                <w:rFonts w:ascii="Century Gothic" w:hAnsi="Century Gothic"/>
                <w:sz w:val="20"/>
                <w:szCs w:val="20"/>
              </w:rPr>
              <w:t>July 1, 2025</w:t>
            </w:r>
          </w:p>
          <w:p w14:paraId="265FFE23" w14:textId="77777777" w:rsidR="00012275" w:rsidRDefault="00012275" w:rsidP="008143A2">
            <w:pPr>
              <w:jc w:val="center"/>
              <w:rPr>
                <w:rFonts w:ascii="Century Gothic" w:hAnsi="Century Gothic"/>
                <w:sz w:val="20"/>
                <w:szCs w:val="20"/>
              </w:rPr>
            </w:pPr>
          </w:p>
          <w:p w14:paraId="12868B77" w14:textId="77777777" w:rsidR="00012275" w:rsidRDefault="00E541CE" w:rsidP="008143A2">
            <w:pPr>
              <w:jc w:val="center"/>
              <w:rPr>
                <w:rFonts w:ascii="Century Gothic" w:hAnsi="Century Gothic"/>
                <w:sz w:val="20"/>
                <w:szCs w:val="20"/>
              </w:rPr>
            </w:pPr>
            <w:r>
              <w:rPr>
                <w:rFonts w:ascii="Century Gothic" w:hAnsi="Century Gothic"/>
                <w:sz w:val="20"/>
                <w:szCs w:val="20"/>
              </w:rPr>
              <w:t>July 1, 2025</w:t>
            </w:r>
          </w:p>
          <w:p w14:paraId="132FF6BD" w14:textId="77777777" w:rsidR="00E541CE" w:rsidRDefault="00E541CE" w:rsidP="008143A2">
            <w:pPr>
              <w:jc w:val="center"/>
              <w:rPr>
                <w:rFonts w:ascii="Century Gothic" w:hAnsi="Century Gothic"/>
                <w:sz w:val="20"/>
                <w:szCs w:val="20"/>
              </w:rPr>
            </w:pPr>
          </w:p>
          <w:p w14:paraId="14A4930F" w14:textId="77777777" w:rsidR="00E541CE" w:rsidRDefault="00E541CE" w:rsidP="008143A2">
            <w:pPr>
              <w:jc w:val="center"/>
              <w:rPr>
                <w:rFonts w:ascii="Century Gothic" w:hAnsi="Century Gothic"/>
                <w:sz w:val="20"/>
                <w:szCs w:val="20"/>
              </w:rPr>
            </w:pPr>
          </w:p>
          <w:p w14:paraId="7A7352EE" w14:textId="77777777" w:rsidR="00E541CE" w:rsidRDefault="004E61C1" w:rsidP="008143A2">
            <w:pPr>
              <w:jc w:val="center"/>
              <w:rPr>
                <w:rFonts w:ascii="Century Gothic" w:hAnsi="Century Gothic"/>
                <w:sz w:val="20"/>
                <w:szCs w:val="20"/>
              </w:rPr>
            </w:pPr>
            <w:r>
              <w:rPr>
                <w:rFonts w:ascii="Century Gothic" w:hAnsi="Century Gothic"/>
                <w:sz w:val="20"/>
                <w:szCs w:val="20"/>
              </w:rPr>
              <w:t>January 1, 2026</w:t>
            </w:r>
          </w:p>
          <w:p w14:paraId="2C8CBF44" w14:textId="77777777" w:rsidR="004E61C1" w:rsidRDefault="004E61C1" w:rsidP="008143A2">
            <w:pPr>
              <w:jc w:val="center"/>
              <w:rPr>
                <w:rFonts w:ascii="Century Gothic" w:hAnsi="Century Gothic"/>
                <w:sz w:val="20"/>
                <w:szCs w:val="20"/>
              </w:rPr>
            </w:pPr>
          </w:p>
          <w:p w14:paraId="65210A33" w14:textId="529A5B7C" w:rsidR="009E358A" w:rsidRDefault="009E358A" w:rsidP="008143A2">
            <w:pPr>
              <w:jc w:val="center"/>
              <w:rPr>
                <w:rFonts w:ascii="Century Gothic" w:hAnsi="Century Gothic"/>
                <w:sz w:val="20"/>
                <w:szCs w:val="20"/>
              </w:rPr>
            </w:pPr>
            <w:r>
              <w:rPr>
                <w:rFonts w:ascii="Century Gothic" w:hAnsi="Century Gothic"/>
                <w:sz w:val="20"/>
                <w:szCs w:val="20"/>
              </w:rPr>
              <w:t>Retroactive to January 1, 2025</w:t>
            </w:r>
          </w:p>
          <w:p w14:paraId="04613106" w14:textId="77777777" w:rsidR="004E61C1" w:rsidRDefault="004E61C1" w:rsidP="008143A2">
            <w:pPr>
              <w:jc w:val="center"/>
              <w:rPr>
                <w:rFonts w:ascii="Century Gothic" w:hAnsi="Century Gothic"/>
                <w:sz w:val="20"/>
                <w:szCs w:val="20"/>
              </w:rPr>
            </w:pPr>
          </w:p>
          <w:p w14:paraId="36243297" w14:textId="77777777" w:rsidR="00D22CD2" w:rsidRDefault="00D22CD2" w:rsidP="008143A2">
            <w:pPr>
              <w:jc w:val="center"/>
              <w:rPr>
                <w:rFonts w:ascii="Century Gothic" w:hAnsi="Century Gothic"/>
                <w:sz w:val="20"/>
                <w:szCs w:val="20"/>
              </w:rPr>
            </w:pPr>
          </w:p>
          <w:p w14:paraId="1F0A7E56" w14:textId="77777777" w:rsidR="00D22CD2" w:rsidRDefault="00D22CD2" w:rsidP="00D22CD2">
            <w:pPr>
              <w:jc w:val="center"/>
              <w:rPr>
                <w:rFonts w:ascii="Century Gothic" w:hAnsi="Century Gothic"/>
                <w:sz w:val="20"/>
                <w:szCs w:val="20"/>
              </w:rPr>
            </w:pPr>
            <w:r>
              <w:rPr>
                <w:rFonts w:ascii="Century Gothic" w:hAnsi="Century Gothic"/>
                <w:sz w:val="20"/>
                <w:szCs w:val="20"/>
              </w:rPr>
              <w:t>Retroactive to January 1, 2025</w:t>
            </w:r>
          </w:p>
          <w:p w14:paraId="74FBB052" w14:textId="77777777" w:rsidR="002C0904" w:rsidRDefault="002C0904" w:rsidP="008143A2">
            <w:pPr>
              <w:jc w:val="center"/>
              <w:rPr>
                <w:rFonts w:ascii="Century Gothic" w:hAnsi="Century Gothic"/>
                <w:sz w:val="20"/>
                <w:szCs w:val="20"/>
              </w:rPr>
            </w:pPr>
          </w:p>
          <w:p w14:paraId="36D82F9D" w14:textId="0CDF7E44" w:rsidR="00D22CD2" w:rsidRDefault="00627927" w:rsidP="008143A2">
            <w:pPr>
              <w:jc w:val="center"/>
              <w:rPr>
                <w:rFonts w:ascii="Century Gothic" w:hAnsi="Century Gothic"/>
                <w:sz w:val="20"/>
                <w:szCs w:val="20"/>
              </w:rPr>
            </w:pPr>
            <w:r>
              <w:rPr>
                <w:rFonts w:ascii="Century Gothic" w:hAnsi="Century Gothic"/>
                <w:sz w:val="20"/>
                <w:szCs w:val="20"/>
              </w:rPr>
              <w:t>July 1, 2025</w:t>
            </w:r>
          </w:p>
          <w:p w14:paraId="19CD21C6" w14:textId="77777777" w:rsidR="00E2041A" w:rsidRDefault="00E2041A" w:rsidP="008143A2">
            <w:pPr>
              <w:jc w:val="center"/>
              <w:rPr>
                <w:rFonts w:ascii="Century Gothic" w:hAnsi="Century Gothic"/>
                <w:sz w:val="20"/>
                <w:szCs w:val="20"/>
              </w:rPr>
            </w:pPr>
          </w:p>
          <w:p w14:paraId="16AD8BF4" w14:textId="1DA2DC4B" w:rsidR="00E2041A" w:rsidRDefault="001A4262" w:rsidP="008143A2">
            <w:pPr>
              <w:jc w:val="center"/>
              <w:rPr>
                <w:rFonts w:ascii="Century Gothic" w:hAnsi="Century Gothic"/>
                <w:sz w:val="20"/>
                <w:szCs w:val="20"/>
              </w:rPr>
            </w:pPr>
            <w:r>
              <w:rPr>
                <w:rFonts w:ascii="Century Gothic" w:hAnsi="Century Gothic"/>
                <w:sz w:val="20"/>
                <w:szCs w:val="20"/>
              </w:rPr>
              <w:t>Upon passage</w:t>
            </w:r>
          </w:p>
          <w:p w14:paraId="734B7564" w14:textId="77777777" w:rsidR="00E2041A" w:rsidRDefault="00E2041A" w:rsidP="008143A2">
            <w:pPr>
              <w:jc w:val="center"/>
              <w:rPr>
                <w:rFonts w:ascii="Century Gothic" w:hAnsi="Century Gothic"/>
                <w:sz w:val="20"/>
                <w:szCs w:val="20"/>
              </w:rPr>
            </w:pPr>
          </w:p>
          <w:p w14:paraId="1E5A09F0" w14:textId="77777777" w:rsidR="00E2041A" w:rsidRDefault="00E2041A" w:rsidP="008143A2">
            <w:pPr>
              <w:jc w:val="center"/>
              <w:rPr>
                <w:rFonts w:ascii="Century Gothic" w:hAnsi="Century Gothic"/>
                <w:sz w:val="20"/>
                <w:szCs w:val="20"/>
              </w:rPr>
            </w:pPr>
          </w:p>
          <w:p w14:paraId="3A88715E" w14:textId="77777777" w:rsidR="00E2041A" w:rsidRDefault="00E2041A" w:rsidP="008143A2">
            <w:pPr>
              <w:jc w:val="center"/>
              <w:rPr>
                <w:rFonts w:ascii="Century Gothic" w:hAnsi="Century Gothic"/>
                <w:sz w:val="20"/>
                <w:szCs w:val="20"/>
              </w:rPr>
            </w:pPr>
          </w:p>
          <w:p w14:paraId="73D23E45" w14:textId="77777777" w:rsidR="00E2041A" w:rsidRDefault="00E2041A" w:rsidP="008143A2">
            <w:pPr>
              <w:jc w:val="center"/>
              <w:rPr>
                <w:rFonts w:ascii="Century Gothic" w:hAnsi="Century Gothic"/>
                <w:sz w:val="20"/>
                <w:szCs w:val="20"/>
              </w:rPr>
            </w:pPr>
          </w:p>
          <w:p w14:paraId="4F0A6337" w14:textId="77777777" w:rsidR="00E2041A" w:rsidRDefault="00E2041A" w:rsidP="008143A2">
            <w:pPr>
              <w:jc w:val="center"/>
              <w:rPr>
                <w:rFonts w:ascii="Century Gothic" w:hAnsi="Century Gothic"/>
                <w:sz w:val="20"/>
                <w:szCs w:val="20"/>
              </w:rPr>
            </w:pPr>
          </w:p>
          <w:p w14:paraId="2BAC3262" w14:textId="77777777" w:rsidR="00E2041A" w:rsidRDefault="00E2041A" w:rsidP="008143A2">
            <w:pPr>
              <w:jc w:val="center"/>
              <w:rPr>
                <w:rFonts w:ascii="Century Gothic" w:hAnsi="Century Gothic"/>
                <w:sz w:val="20"/>
                <w:szCs w:val="20"/>
              </w:rPr>
            </w:pPr>
          </w:p>
          <w:p w14:paraId="41E57AFE" w14:textId="77777777" w:rsidR="00E2041A" w:rsidRDefault="00E2041A" w:rsidP="008143A2">
            <w:pPr>
              <w:jc w:val="center"/>
              <w:rPr>
                <w:rFonts w:ascii="Century Gothic" w:hAnsi="Century Gothic"/>
                <w:sz w:val="20"/>
                <w:szCs w:val="20"/>
              </w:rPr>
            </w:pPr>
          </w:p>
          <w:p w14:paraId="39825698" w14:textId="77777777" w:rsidR="00E2041A" w:rsidRDefault="00E2041A" w:rsidP="008143A2">
            <w:pPr>
              <w:jc w:val="center"/>
              <w:rPr>
                <w:rFonts w:ascii="Century Gothic" w:hAnsi="Century Gothic"/>
                <w:sz w:val="20"/>
                <w:szCs w:val="20"/>
              </w:rPr>
            </w:pPr>
          </w:p>
          <w:p w14:paraId="4D831F8F" w14:textId="77777777" w:rsidR="00E2041A" w:rsidRDefault="00E2041A" w:rsidP="008143A2">
            <w:pPr>
              <w:jc w:val="center"/>
              <w:rPr>
                <w:rFonts w:ascii="Century Gothic" w:hAnsi="Century Gothic"/>
                <w:sz w:val="20"/>
                <w:szCs w:val="20"/>
              </w:rPr>
            </w:pPr>
          </w:p>
          <w:p w14:paraId="57781F22" w14:textId="77777777" w:rsidR="00E2041A" w:rsidRDefault="00E2041A" w:rsidP="008143A2">
            <w:pPr>
              <w:jc w:val="center"/>
              <w:rPr>
                <w:rFonts w:ascii="Century Gothic" w:hAnsi="Century Gothic"/>
                <w:sz w:val="20"/>
                <w:szCs w:val="20"/>
              </w:rPr>
            </w:pPr>
          </w:p>
          <w:p w14:paraId="29548169" w14:textId="7063165D" w:rsidR="00E2041A" w:rsidRDefault="00E2041A" w:rsidP="008143A2">
            <w:pPr>
              <w:jc w:val="center"/>
              <w:rPr>
                <w:rFonts w:ascii="Century Gothic" w:hAnsi="Century Gothic"/>
                <w:sz w:val="20"/>
                <w:szCs w:val="20"/>
              </w:rPr>
            </w:pPr>
            <w:r>
              <w:rPr>
                <w:rFonts w:ascii="Century Gothic" w:hAnsi="Century Gothic"/>
                <w:sz w:val="20"/>
                <w:szCs w:val="20"/>
              </w:rPr>
              <w:t>Upon Passage</w:t>
            </w:r>
          </w:p>
          <w:p w14:paraId="47A52697" w14:textId="77777777" w:rsidR="00E2041A" w:rsidRDefault="00E2041A" w:rsidP="008143A2">
            <w:pPr>
              <w:jc w:val="center"/>
              <w:rPr>
                <w:rFonts w:ascii="Century Gothic" w:hAnsi="Century Gothic"/>
                <w:sz w:val="20"/>
                <w:szCs w:val="20"/>
              </w:rPr>
            </w:pPr>
          </w:p>
          <w:p w14:paraId="0639DB98" w14:textId="46541B82" w:rsidR="00E2041A" w:rsidRPr="00C23A56" w:rsidRDefault="00FC3A04" w:rsidP="008143A2">
            <w:pPr>
              <w:jc w:val="center"/>
              <w:rPr>
                <w:rFonts w:ascii="Century Gothic" w:hAnsi="Century Gothic"/>
                <w:sz w:val="20"/>
                <w:szCs w:val="20"/>
              </w:rPr>
            </w:pPr>
            <w:r>
              <w:rPr>
                <w:rFonts w:ascii="Century Gothic" w:hAnsi="Century Gothic"/>
                <w:sz w:val="20"/>
                <w:szCs w:val="20"/>
              </w:rPr>
              <w:t>July 1, 2025</w:t>
            </w:r>
          </w:p>
        </w:tc>
      </w:tr>
      <w:tr w:rsidR="008143A2" w:rsidRPr="00A172D1" w14:paraId="5C3AAB3B" w14:textId="77777777" w:rsidTr="00141D6C">
        <w:tc>
          <w:tcPr>
            <w:tcW w:w="1918" w:type="dxa"/>
            <w:tcBorders>
              <w:top w:val="single" w:sz="4" w:space="0" w:color="auto"/>
              <w:left w:val="single" w:sz="4" w:space="0" w:color="auto"/>
              <w:bottom w:val="single" w:sz="4" w:space="0" w:color="auto"/>
              <w:right w:val="single" w:sz="4" w:space="0" w:color="auto"/>
            </w:tcBorders>
          </w:tcPr>
          <w:p w14:paraId="452806A3" w14:textId="77777777" w:rsidR="008143A2" w:rsidRDefault="008143A2" w:rsidP="008143A2">
            <w:pPr>
              <w:spacing w:after="0" w:line="240" w:lineRule="auto"/>
              <w:jc w:val="center"/>
              <w:rPr>
                <w:rFonts w:ascii="Century Gothic" w:hAnsi="Century Gothic"/>
                <w:bCs/>
                <w:sz w:val="20"/>
                <w:szCs w:val="20"/>
              </w:rPr>
            </w:pPr>
            <w:hyperlink r:id="rId19" w:history="1">
              <w:r w:rsidRPr="000076AF">
                <w:rPr>
                  <w:rStyle w:val="Hyperlink"/>
                  <w:rFonts w:ascii="Century Gothic" w:hAnsi="Century Gothic"/>
                  <w:bCs/>
                  <w:sz w:val="20"/>
                  <w:szCs w:val="20"/>
                </w:rPr>
                <w:t>HEA 1509</w:t>
              </w:r>
            </w:hyperlink>
          </w:p>
          <w:p w14:paraId="2B936AB7" w14:textId="77777777" w:rsidR="008143A2" w:rsidRDefault="008143A2" w:rsidP="008143A2">
            <w:pPr>
              <w:spacing w:after="0" w:line="240" w:lineRule="auto"/>
              <w:jc w:val="center"/>
              <w:rPr>
                <w:rFonts w:ascii="Century Gothic" w:hAnsi="Century Gothic"/>
                <w:bCs/>
                <w:sz w:val="20"/>
                <w:szCs w:val="20"/>
              </w:rPr>
            </w:pPr>
          </w:p>
          <w:p w14:paraId="0E6AE153" w14:textId="5171BD9B" w:rsidR="008143A2" w:rsidRDefault="008143A2" w:rsidP="008143A2">
            <w:pPr>
              <w:spacing w:after="0" w:line="240" w:lineRule="auto"/>
              <w:jc w:val="center"/>
            </w:pPr>
            <w:r>
              <w:rPr>
                <w:rFonts w:ascii="Century Gothic" w:hAnsi="Century Gothic"/>
                <w:bCs/>
                <w:sz w:val="20"/>
                <w:szCs w:val="20"/>
              </w:rPr>
              <w:t>Appointed Officials</w:t>
            </w:r>
          </w:p>
        </w:tc>
        <w:tc>
          <w:tcPr>
            <w:tcW w:w="6403" w:type="dxa"/>
            <w:tcBorders>
              <w:top w:val="single" w:sz="4" w:space="0" w:color="auto"/>
              <w:left w:val="single" w:sz="4" w:space="0" w:color="auto"/>
              <w:bottom w:val="single" w:sz="4" w:space="0" w:color="auto"/>
              <w:right w:val="single" w:sz="4" w:space="0" w:color="auto"/>
            </w:tcBorders>
          </w:tcPr>
          <w:p w14:paraId="3552D504" w14:textId="3CB4E22B" w:rsidR="008143A2" w:rsidRPr="005875E3" w:rsidRDefault="008143A2" w:rsidP="008143A2">
            <w:pPr>
              <w:spacing w:after="0" w:line="240" w:lineRule="auto"/>
              <w:rPr>
                <w:rFonts w:ascii="Century Gothic" w:hAnsi="Century Gothic"/>
                <w:bCs/>
                <w:sz w:val="20"/>
                <w:szCs w:val="20"/>
              </w:rPr>
            </w:pPr>
            <w:r w:rsidRPr="00CC0B1A">
              <w:rPr>
                <w:rFonts w:ascii="Century Gothic" w:hAnsi="Century Gothic"/>
                <w:bCs/>
                <w:sz w:val="20"/>
                <w:szCs w:val="20"/>
              </w:rPr>
              <w:t xml:space="preserve">Requires disclosure of the appointing authority and </w:t>
            </w:r>
            <w:proofErr w:type="gramStart"/>
            <w:r w:rsidRPr="00CC0B1A">
              <w:rPr>
                <w:rFonts w:ascii="Century Gothic" w:hAnsi="Century Gothic"/>
                <w:bCs/>
                <w:sz w:val="20"/>
                <w:szCs w:val="20"/>
              </w:rPr>
              <w:t>term</w:t>
            </w:r>
            <w:proofErr w:type="gramEnd"/>
            <w:r w:rsidRPr="00CC0B1A">
              <w:rPr>
                <w:rFonts w:ascii="Century Gothic" w:hAnsi="Century Gothic"/>
                <w:bCs/>
                <w:sz w:val="20"/>
                <w:szCs w:val="20"/>
              </w:rPr>
              <w:t xml:space="preserve"> of an appointed public officer: (1) in the meeting notice and agenda of the board on which the public officer is appointed to serve; and (2) on the board's website or appointing authority's website, if any. Provides that if the appointing authority or board does not have a website, the information must be published on the Internet through the computer gateway administered by the office of technology.</w:t>
            </w:r>
          </w:p>
        </w:tc>
        <w:tc>
          <w:tcPr>
            <w:tcW w:w="1530" w:type="dxa"/>
            <w:tcBorders>
              <w:top w:val="single" w:sz="4" w:space="0" w:color="auto"/>
              <w:left w:val="single" w:sz="4" w:space="0" w:color="auto"/>
              <w:bottom w:val="single" w:sz="4" w:space="0" w:color="auto"/>
              <w:right w:val="single" w:sz="4" w:space="0" w:color="auto"/>
            </w:tcBorders>
          </w:tcPr>
          <w:p w14:paraId="45C2C635" w14:textId="6FF4A056" w:rsidR="008143A2" w:rsidRDefault="008143A2" w:rsidP="008143A2">
            <w:pPr>
              <w:spacing w:after="0" w:line="240" w:lineRule="auto"/>
              <w:jc w:val="center"/>
              <w:rPr>
                <w:rFonts w:ascii="Century Gothic" w:hAnsi="Century Gothic"/>
                <w:bCs/>
                <w:sz w:val="20"/>
                <w:szCs w:val="20"/>
              </w:rPr>
            </w:pPr>
            <w:r>
              <w:rPr>
                <w:rFonts w:ascii="Century Gothic" w:hAnsi="Century Gothic"/>
                <w:bCs/>
                <w:sz w:val="20"/>
                <w:szCs w:val="20"/>
              </w:rPr>
              <w:t>July 1, 2024</w:t>
            </w:r>
          </w:p>
        </w:tc>
      </w:tr>
      <w:tr w:rsidR="008143A2" w:rsidRPr="00A172D1" w14:paraId="569A56E8" w14:textId="77777777" w:rsidTr="00141D6C">
        <w:tc>
          <w:tcPr>
            <w:tcW w:w="1918" w:type="dxa"/>
            <w:tcBorders>
              <w:top w:val="single" w:sz="4" w:space="0" w:color="auto"/>
              <w:left w:val="single" w:sz="4" w:space="0" w:color="auto"/>
              <w:bottom w:val="single" w:sz="4" w:space="0" w:color="auto"/>
              <w:right w:val="single" w:sz="4" w:space="0" w:color="auto"/>
            </w:tcBorders>
          </w:tcPr>
          <w:p w14:paraId="5A1360C6" w14:textId="77777777" w:rsidR="008143A2" w:rsidRPr="00BC28E9" w:rsidRDefault="008143A2" w:rsidP="008143A2">
            <w:pPr>
              <w:spacing w:after="0" w:line="240" w:lineRule="auto"/>
              <w:jc w:val="center"/>
              <w:rPr>
                <w:rFonts w:ascii="Century Gothic" w:hAnsi="Century Gothic"/>
                <w:sz w:val="20"/>
                <w:szCs w:val="20"/>
              </w:rPr>
            </w:pPr>
            <w:hyperlink r:id="rId20" w:history="1">
              <w:r w:rsidRPr="00BC28E9">
                <w:rPr>
                  <w:rStyle w:val="Hyperlink"/>
                  <w:rFonts w:ascii="Century Gothic" w:hAnsi="Century Gothic"/>
                  <w:sz w:val="20"/>
                  <w:szCs w:val="20"/>
                </w:rPr>
                <w:t>HEA 1559</w:t>
              </w:r>
            </w:hyperlink>
          </w:p>
          <w:p w14:paraId="7525720C" w14:textId="77777777" w:rsidR="008143A2" w:rsidRPr="00BC28E9" w:rsidRDefault="008143A2" w:rsidP="008143A2">
            <w:pPr>
              <w:spacing w:after="0" w:line="240" w:lineRule="auto"/>
              <w:jc w:val="center"/>
              <w:rPr>
                <w:rFonts w:ascii="Century Gothic" w:hAnsi="Century Gothic"/>
                <w:sz w:val="20"/>
                <w:szCs w:val="20"/>
              </w:rPr>
            </w:pPr>
          </w:p>
          <w:p w14:paraId="1A851B88" w14:textId="5BA75A76" w:rsidR="008143A2" w:rsidRPr="00A172D1" w:rsidRDefault="008143A2" w:rsidP="008143A2">
            <w:pPr>
              <w:spacing w:after="0" w:line="240" w:lineRule="auto"/>
              <w:jc w:val="center"/>
              <w:rPr>
                <w:rFonts w:ascii="Century Gothic" w:hAnsi="Century Gothic"/>
                <w:bCs/>
                <w:sz w:val="20"/>
                <w:szCs w:val="20"/>
              </w:rPr>
            </w:pPr>
            <w:r w:rsidRPr="00BC28E9">
              <w:rPr>
                <w:rFonts w:ascii="Century Gothic" w:hAnsi="Century Gothic"/>
                <w:sz w:val="20"/>
                <w:szCs w:val="20"/>
              </w:rPr>
              <w:lastRenderedPageBreak/>
              <w:t>Construction Manager as Constructor</w:t>
            </w:r>
            <w:r>
              <w:t xml:space="preserve"> </w:t>
            </w:r>
          </w:p>
        </w:tc>
        <w:tc>
          <w:tcPr>
            <w:tcW w:w="6403" w:type="dxa"/>
            <w:tcBorders>
              <w:top w:val="single" w:sz="4" w:space="0" w:color="auto"/>
              <w:left w:val="single" w:sz="4" w:space="0" w:color="auto"/>
              <w:bottom w:val="single" w:sz="4" w:space="0" w:color="auto"/>
              <w:right w:val="single" w:sz="4" w:space="0" w:color="auto"/>
            </w:tcBorders>
          </w:tcPr>
          <w:p w14:paraId="7F7DDD5C" w14:textId="0D6728FE" w:rsidR="008143A2" w:rsidRPr="00A172D1" w:rsidRDefault="008143A2" w:rsidP="008143A2">
            <w:pPr>
              <w:spacing w:after="0" w:line="240" w:lineRule="auto"/>
              <w:rPr>
                <w:rFonts w:ascii="Century Gothic" w:hAnsi="Century Gothic"/>
                <w:bCs/>
                <w:sz w:val="20"/>
                <w:szCs w:val="20"/>
              </w:rPr>
            </w:pPr>
            <w:r w:rsidRPr="005875E3">
              <w:rPr>
                <w:rFonts w:ascii="Century Gothic" w:hAnsi="Century Gothic"/>
                <w:bCs/>
                <w:sz w:val="20"/>
                <w:szCs w:val="20"/>
              </w:rPr>
              <w:lastRenderedPageBreak/>
              <w:t>Provides that when a public agency chooses to employ a construction manager as constructor (</w:t>
            </w:r>
            <w:proofErr w:type="spellStart"/>
            <w:r w:rsidRPr="005875E3">
              <w:rPr>
                <w:rFonts w:ascii="Century Gothic" w:hAnsi="Century Gothic"/>
                <w:bCs/>
                <w:sz w:val="20"/>
                <w:szCs w:val="20"/>
              </w:rPr>
              <w:t>CMc</w:t>
            </w:r>
            <w:proofErr w:type="spellEnd"/>
            <w:r w:rsidRPr="005875E3">
              <w:rPr>
                <w:rFonts w:ascii="Century Gothic" w:hAnsi="Century Gothic"/>
                <w:bCs/>
                <w:sz w:val="20"/>
                <w:szCs w:val="20"/>
              </w:rPr>
              <w:t xml:space="preserve">) on a public works project, the applicable contract award standard for the project is "lowest and best". Increases the maximum amount of </w:t>
            </w:r>
            <w:r w:rsidRPr="005875E3">
              <w:rPr>
                <w:rFonts w:ascii="Century Gothic" w:hAnsi="Century Gothic"/>
                <w:bCs/>
                <w:sz w:val="20"/>
                <w:szCs w:val="20"/>
              </w:rPr>
              <w:lastRenderedPageBreak/>
              <w:t xml:space="preserve">work a </w:t>
            </w:r>
            <w:proofErr w:type="spellStart"/>
            <w:r w:rsidRPr="005875E3">
              <w:rPr>
                <w:rFonts w:ascii="Century Gothic" w:hAnsi="Century Gothic"/>
                <w:bCs/>
                <w:sz w:val="20"/>
                <w:szCs w:val="20"/>
              </w:rPr>
              <w:t>CMc</w:t>
            </w:r>
            <w:proofErr w:type="spellEnd"/>
            <w:r w:rsidRPr="005875E3">
              <w:rPr>
                <w:rFonts w:ascii="Century Gothic" w:hAnsi="Century Gothic"/>
                <w:bCs/>
                <w:sz w:val="20"/>
                <w:szCs w:val="20"/>
              </w:rPr>
              <w:t xml:space="preserve"> may perform on a project from 20% of the total value of a project to 30% of the total value of a project.</w:t>
            </w:r>
          </w:p>
        </w:tc>
        <w:tc>
          <w:tcPr>
            <w:tcW w:w="1530" w:type="dxa"/>
            <w:tcBorders>
              <w:top w:val="single" w:sz="4" w:space="0" w:color="auto"/>
              <w:left w:val="single" w:sz="4" w:space="0" w:color="auto"/>
              <w:bottom w:val="single" w:sz="4" w:space="0" w:color="auto"/>
              <w:right w:val="single" w:sz="4" w:space="0" w:color="auto"/>
            </w:tcBorders>
          </w:tcPr>
          <w:p w14:paraId="1AA21207" w14:textId="30FE1F3C" w:rsidR="008143A2" w:rsidRPr="00A172D1" w:rsidRDefault="008143A2" w:rsidP="008143A2">
            <w:pPr>
              <w:spacing w:after="0" w:line="240" w:lineRule="auto"/>
              <w:jc w:val="center"/>
              <w:rPr>
                <w:rFonts w:ascii="Century Gothic" w:hAnsi="Century Gothic"/>
                <w:bCs/>
                <w:sz w:val="20"/>
                <w:szCs w:val="20"/>
              </w:rPr>
            </w:pPr>
            <w:r>
              <w:rPr>
                <w:rFonts w:ascii="Century Gothic" w:hAnsi="Century Gothic"/>
                <w:bCs/>
                <w:sz w:val="20"/>
                <w:szCs w:val="20"/>
              </w:rPr>
              <w:lastRenderedPageBreak/>
              <w:t xml:space="preserve">July 1, </w:t>
            </w:r>
            <w:proofErr w:type="gramStart"/>
            <w:r>
              <w:rPr>
                <w:rFonts w:ascii="Century Gothic" w:hAnsi="Century Gothic"/>
                <w:bCs/>
                <w:sz w:val="20"/>
                <w:szCs w:val="20"/>
              </w:rPr>
              <w:t>2025</w:t>
            </w:r>
            <w:proofErr w:type="gramEnd"/>
            <w:r>
              <w:rPr>
                <w:rFonts w:ascii="Century Gothic" w:hAnsi="Century Gothic"/>
                <w:bCs/>
                <w:sz w:val="20"/>
                <w:szCs w:val="20"/>
              </w:rPr>
              <w:t xml:space="preserve"> </w:t>
            </w:r>
          </w:p>
        </w:tc>
      </w:tr>
      <w:tr w:rsidR="008143A2" w:rsidRPr="00A172D1" w14:paraId="5618D11C" w14:textId="77777777" w:rsidTr="00141D6C">
        <w:tc>
          <w:tcPr>
            <w:tcW w:w="1918" w:type="dxa"/>
            <w:tcBorders>
              <w:top w:val="single" w:sz="4" w:space="0" w:color="auto"/>
              <w:left w:val="single" w:sz="4" w:space="0" w:color="auto"/>
              <w:bottom w:val="single" w:sz="4" w:space="0" w:color="auto"/>
              <w:right w:val="single" w:sz="4" w:space="0" w:color="auto"/>
            </w:tcBorders>
          </w:tcPr>
          <w:p w14:paraId="5457073F" w14:textId="3AE5B3EF" w:rsidR="008143A2" w:rsidRPr="00AA46EA" w:rsidRDefault="008143A2" w:rsidP="008143A2">
            <w:pPr>
              <w:spacing w:after="0" w:line="240" w:lineRule="auto"/>
              <w:jc w:val="center"/>
              <w:rPr>
                <w:rFonts w:ascii="Century Gothic" w:hAnsi="Century Gothic"/>
                <w:sz w:val="20"/>
                <w:szCs w:val="20"/>
              </w:rPr>
            </w:pPr>
            <w:hyperlink r:id="rId21" w:history="1">
              <w:r w:rsidRPr="00AA46EA">
                <w:rPr>
                  <w:rStyle w:val="Hyperlink"/>
                  <w:rFonts w:ascii="Century Gothic" w:hAnsi="Century Gothic"/>
                  <w:sz w:val="20"/>
                  <w:szCs w:val="20"/>
                </w:rPr>
                <w:t>HEA 1641</w:t>
              </w:r>
            </w:hyperlink>
          </w:p>
          <w:p w14:paraId="3E3114EB" w14:textId="77777777" w:rsidR="008143A2" w:rsidRDefault="008143A2" w:rsidP="008143A2">
            <w:pPr>
              <w:spacing w:after="0" w:line="240" w:lineRule="auto"/>
              <w:jc w:val="center"/>
              <w:rPr>
                <w:rFonts w:ascii="Century Gothic" w:hAnsi="Century Gothic"/>
                <w:sz w:val="20"/>
                <w:szCs w:val="20"/>
              </w:rPr>
            </w:pPr>
          </w:p>
          <w:p w14:paraId="1746531F" w14:textId="0885F9BD" w:rsidR="008143A2" w:rsidRPr="00692ED4" w:rsidRDefault="008143A2" w:rsidP="008143A2">
            <w:pPr>
              <w:spacing w:after="0" w:line="240" w:lineRule="auto"/>
              <w:jc w:val="center"/>
              <w:rPr>
                <w:rFonts w:ascii="Century Gothic" w:hAnsi="Century Gothic"/>
                <w:sz w:val="20"/>
                <w:szCs w:val="20"/>
              </w:rPr>
            </w:pPr>
            <w:r w:rsidRPr="00AA46EA">
              <w:rPr>
                <w:rFonts w:ascii="Century Gothic" w:hAnsi="Century Gothic"/>
                <w:sz w:val="20"/>
                <w:szCs w:val="20"/>
              </w:rPr>
              <w:t>Executive Sessions</w:t>
            </w:r>
          </w:p>
        </w:tc>
        <w:tc>
          <w:tcPr>
            <w:tcW w:w="6403" w:type="dxa"/>
            <w:tcBorders>
              <w:top w:val="single" w:sz="4" w:space="0" w:color="auto"/>
              <w:left w:val="single" w:sz="4" w:space="0" w:color="auto"/>
              <w:bottom w:val="single" w:sz="4" w:space="0" w:color="auto"/>
              <w:right w:val="single" w:sz="4" w:space="0" w:color="auto"/>
            </w:tcBorders>
          </w:tcPr>
          <w:p w14:paraId="7FEF856E" w14:textId="51498B05" w:rsidR="008143A2" w:rsidRPr="00A172D1" w:rsidRDefault="008143A2" w:rsidP="008143A2">
            <w:pPr>
              <w:spacing w:after="0" w:line="240" w:lineRule="auto"/>
              <w:rPr>
                <w:rFonts w:ascii="Century Gothic" w:hAnsi="Century Gothic"/>
                <w:bCs/>
                <w:sz w:val="20"/>
                <w:szCs w:val="20"/>
              </w:rPr>
            </w:pPr>
            <w:r w:rsidRPr="00F56DD4">
              <w:rPr>
                <w:rFonts w:ascii="Century Gothic" w:hAnsi="Century Gothic"/>
                <w:bCs/>
                <w:sz w:val="20"/>
                <w:szCs w:val="20"/>
              </w:rPr>
              <w:t>Allows an executive session to be held to communicate with an attorney, subject to the attorney client privilege.</w:t>
            </w:r>
          </w:p>
        </w:tc>
        <w:tc>
          <w:tcPr>
            <w:tcW w:w="1530" w:type="dxa"/>
            <w:tcBorders>
              <w:top w:val="single" w:sz="4" w:space="0" w:color="auto"/>
              <w:left w:val="single" w:sz="4" w:space="0" w:color="auto"/>
              <w:bottom w:val="single" w:sz="4" w:space="0" w:color="auto"/>
              <w:right w:val="single" w:sz="4" w:space="0" w:color="auto"/>
            </w:tcBorders>
          </w:tcPr>
          <w:p w14:paraId="7F8D3D34" w14:textId="0B41AAB2" w:rsidR="008143A2" w:rsidRDefault="008143A2" w:rsidP="008143A2">
            <w:pPr>
              <w:spacing w:after="0" w:line="240" w:lineRule="auto"/>
              <w:jc w:val="center"/>
              <w:rPr>
                <w:rFonts w:ascii="Century Gothic" w:hAnsi="Century Gothic"/>
                <w:bCs/>
                <w:sz w:val="20"/>
                <w:szCs w:val="20"/>
              </w:rPr>
            </w:pPr>
            <w:r>
              <w:rPr>
                <w:rFonts w:ascii="Century Gothic" w:hAnsi="Century Gothic"/>
                <w:bCs/>
                <w:sz w:val="20"/>
                <w:szCs w:val="20"/>
              </w:rPr>
              <w:t xml:space="preserve"> </w:t>
            </w:r>
          </w:p>
          <w:p w14:paraId="776EB143" w14:textId="2E36DC2A" w:rsidR="008143A2" w:rsidRDefault="008143A2" w:rsidP="008143A2">
            <w:pPr>
              <w:spacing w:after="0" w:line="240" w:lineRule="auto"/>
              <w:jc w:val="center"/>
              <w:rPr>
                <w:rFonts w:ascii="Century Gothic" w:hAnsi="Century Gothic"/>
                <w:bCs/>
                <w:sz w:val="20"/>
                <w:szCs w:val="20"/>
              </w:rPr>
            </w:pPr>
            <w:r>
              <w:rPr>
                <w:rFonts w:ascii="Century Gothic" w:hAnsi="Century Gothic"/>
                <w:bCs/>
                <w:sz w:val="20"/>
                <w:szCs w:val="20"/>
              </w:rPr>
              <w:t>July 1, 2025</w:t>
            </w:r>
          </w:p>
          <w:p w14:paraId="22DEBD81" w14:textId="79A66FC5" w:rsidR="008143A2" w:rsidRPr="00A172D1" w:rsidRDefault="008143A2" w:rsidP="008143A2">
            <w:pPr>
              <w:spacing w:after="0" w:line="240" w:lineRule="auto"/>
              <w:jc w:val="center"/>
              <w:rPr>
                <w:rFonts w:ascii="Century Gothic" w:hAnsi="Century Gothic"/>
                <w:bCs/>
                <w:sz w:val="20"/>
                <w:szCs w:val="20"/>
              </w:rPr>
            </w:pPr>
          </w:p>
        </w:tc>
      </w:tr>
    </w:tbl>
    <w:p w14:paraId="17DBE939" w14:textId="77777777" w:rsidR="007A766A" w:rsidRPr="00A172D1" w:rsidRDefault="007A766A">
      <w:pPr>
        <w:rPr>
          <w:bCs/>
        </w:rPr>
      </w:pPr>
    </w:p>
    <w:sectPr w:rsidR="007A766A" w:rsidRPr="00A172D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48501" w14:textId="77777777" w:rsidR="00F04B7C" w:rsidRDefault="00F04B7C" w:rsidP="00B23DD8">
      <w:pPr>
        <w:spacing w:after="0" w:line="240" w:lineRule="auto"/>
      </w:pPr>
      <w:r>
        <w:separator/>
      </w:r>
    </w:p>
  </w:endnote>
  <w:endnote w:type="continuationSeparator" w:id="0">
    <w:p w14:paraId="555F2CE8" w14:textId="77777777" w:rsidR="00F04B7C" w:rsidRDefault="00F04B7C" w:rsidP="00B2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D7D3" w14:textId="344F1B41" w:rsidR="00B23DD8" w:rsidRDefault="00B23DD8" w:rsidP="00B23DD8">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4FA4" w14:textId="77777777" w:rsidR="00F04B7C" w:rsidRDefault="00F04B7C" w:rsidP="00B23DD8">
      <w:pPr>
        <w:spacing w:after="0" w:line="240" w:lineRule="auto"/>
      </w:pPr>
      <w:r>
        <w:separator/>
      </w:r>
    </w:p>
  </w:footnote>
  <w:footnote w:type="continuationSeparator" w:id="0">
    <w:p w14:paraId="1FFD83CD" w14:textId="77777777" w:rsidR="00F04B7C" w:rsidRDefault="00F04B7C" w:rsidP="00B2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674B6"/>
    <w:multiLevelType w:val="hybridMultilevel"/>
    <w:tmpl w:val="854296D0"/>
    <w:lvl w:ilvl="0" w:tplc="2C5661A6">
      <w:numFmt w:val="bullet"/>
      <w:lvlText w:val="-"/>
      <w:lvlJc w:val="left"/>
      <w:pPr>
        <w:ind w:left="720" w:hanging="360"/>
      </w:pPr>
      <w:rPr>
        <w:rFonts w:ascii="Century Gothic" w:eastAsia="Calibri" w:hAnsi="Century Gothic"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95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8C"/>
    <w:rsid w:val="00005286"/>
    <w:rsid w:val="000076AF"/>
    <w:rsid w:val="00012275"/>
    <w:rsid w:val="00015D48"/>
    <w:rsid w:val="000171ED"/>
    <w:rsid w:val="00020D04"/>
    <w:rsid w:val="0003561F"/>
    <w:rsid w:val="00040041"/>
    <w:rsid w:val="0004742B"/>
    <w:rsid w:val="000477A7"/>
    <w:rsid w:val="00052D15"/>
    <w:rsid w:val="00053C97"/>
    <w:rsid w:val="000549ED"/>
    <w:rsid w:val="00056AC7"/>
    <w:rsid w:val="00060E24"/>
    <w:rsid w:val="00061ED0"/>
    <w:rsid w:val="000630D3"/>
    <w:rsid w:val="000661C4"/>
    <w:rsid w:val="00073284"/>
    <w:rsid w:val="00082CED"/>
    <w:rsid w:val="00086897"/>
    <w:rsid w:val="00086BBA"/>
    <w:rsid w:val="00087145"/>
    <w:rsid w:val="00095FFD"/>
    <w:rsid w:val="000A02A8"/>
    <w:rsid w:val="000B20C6"/>
    <w:rsid w:val="000B29C3"/>
    <w:rsid w:val="000E3C18"/>
    <w:rsid w:val="000F0396"/>
    <w:rsid w:val="000F79AB"/>
    <w:rsid w:val="001108E7"/>
    <w:rsid w:val="00125553"/>
    <w:rsid w:val="0013178A"/>
    <w:rsid w:val="001320C5"/>
    <w:rsid w:val="00141D6C"/>
    <w:rsid w:val="0014260E"/>
    <w:rsid w:val="00145648"/>
    <w:rsid w:val="00162A7E"/>
    <w:rsid w:val="00162CEA"/>
    <w:rsid w:val="001725EC"/>
    <w:rsid w:val="001778DF"/>
    <w:rsid w:val="00183B7E"/>
    <w:rsid w:val="00192313"/>
    <w:rsid w:val="00193ED4"/>
    <w:rsid w:val="001A4262"/>
    <w:rsid w:val="001A5068"/>
    <w:rsid w:val="001A581A"/>
    <w:rsid w:val="001B31EF"/>
    <w:rsid w:val="001B413B"/>
    <w:rsid w:val="001B5A7A"/>
    <w:rsid w:val="001C4940"/>
    <w:rsid w:val="001C4DB3"/>
    <w:rsid w:val="001C66AF"/>
    <w:rsid w:val="001D214E"/>
    <w:rsid w:val="00200B63"/>
    <w:rsid w:val="0020152F"/>
    <w:rsid w:val="00202682"/>
    <w:rsid w:val="00205B6C"/>
    <w:rsid w:val="00212950"/>
    <w:rsid w:val="00214073"/>
    <w:rsid w:val="002164C7"/>
    <w:rsid w:val="00231B59"/>
    <w:rsid w:val="00240842"/>
    <w:rsid w:val="002434E8"/>
    <w:rsid w:val="00245ED5"/>
    <w:rsid w:val="0024786A"/>
    <w:rsid w:val="00250CCF"/>
    <w:rsid w:val="002607E0"/>
    <w:rsid w:val="00263D02"/>
    <w:rsid w:val="0026633D"/>
    <w:rsid w:val="00267ACC"/>
    <w:rsid w:val="002715F6"/>
    <w:rsid w:val="002720AB"/>
    <w:rsid w:val="00274560"/>
    <w:rsid w:val="00281DB5"/>
    <w:rsid w:val="002824CA"/>
    <w:rsid w:val="002824F4"/>
    <w:rsid w:val="002859A5"/>
    <w:rsid w:val="002927DD"/>
    <w:rsid w:val="002A2520"/>
    <w:rsid w:val="002C0904"/>
    <w:rsid w:val="002C430A"/>
    <w:rsid w:val="002C47DD"/>
    <w:rsid w:val="002C7FC0"/>
    <w:rsid w:val="002E432F"/>
    <w:rsid w:val="002E5CEA"/>
    <w:rsid w:val="002F05A4"/>
    <w:rsid w:val="00312DE4"/>
    <w:rsid w:val="0033085E"/>
    <w:rsid w:val="0033317A"/>
    <w:rsid w:val="00333D13"/>
    <w:rsid w:val="003343A6"/>
    <w:rsid w:val="00342B95"/>
    <w:rsid w:val="00345E61"/>
    <w:rsid w:val="00347F9A"/>
    <w:rsid w:val="00350A80"/>
    <w:rsid w:val="00365CF4"/>
    <w:rsid w:val="00365E79"/>
    <w:rsid w:val="00373BD2"/>
    <w:rsid w:val="00382F3F"/>
    <w:rsid w:val="00383085"/>
    <w:rsid w:val="003830C1"/>
    <w:rsid w:val="00385C3C"/>
    <w:rsid w:val="00397229"/>
    <w:rsid w:val="003B066D"/>
    <w:rsid w:val="003C14D6"/>
    <w:rsid w:val="003C3D5B"/>
    <w:rsid w:val="003C3DEA"/>
    <w:rsid w:val="003E3131"/>
    <w:rsid w:val="003F2049"/>
    <w:rsid w:val="003F38DC"/>
    <w:rsid w:val="003F6FD1"/>
    <w:rsid w:val="00402C96"/>
    <w:rsid w:val="00412844"/>
    <w:rsid w:val="00416320"/>
    <w:rsid w:val="004172B9"/>
    <w:rsid w:val="00437C3A"/>
    <w:rsid w:val="00442EEE"/>
    <w:rsid w:val="00452369"/>
    <w:rsid w:val="00472FD8"/>
    <w:rsid w:val="00476D91"/>
    <w:rsid w:val="004830EC"/>
    <w:rsid w:val="00483C16"/>
    <w:rsid w:val="00490B27"/>
    <w:rsid w:val="004A074B"/>
    <w:rsid w:val="004A196F"/>
    <w:rsid w:val="004B3B74"/>
    <w:rsid w:val="004C1214"/>
    <w:rsid w:val="004D65BF"/>
    <w:rsid w:val="004E2D0A"/>
    <w:rsid w:val="004E5BCE"/>
    <w:rsid w:val="004E61C1"/>
    <w:rsid w:val="004F2FC4"/>
    <w:rsid w:val="004F480B"/>
    <w:rsid w:val="00500A5C"/>
    <w:rsid w:val="00501446"/>
    <w:rsid w:val="00501BE1"/>
    <w:rsid w:val="0050291A"/>
    <w:rsid w:val="0050334E"/>
    <w:rsid w:val="0051580C"/>
    <w:rsid w:val="005210CC"/>
    <w:rsid w:val="00522F94"/>
    <w:rsid w:val="00530F60"/>
    <w:rsid w:val="005502EF"/>
    <w:rsid w:val="00557C35"/>
    <w:rsid w:val="00561960"/>
    <w:rsid w:val="00564C49"/>
    <w:rsid w:val="00567A7B"/>
    <w:rsid w:val="00571C63"/>
    <w:rsid w:val="00576BEB"/>
    <w:rsid w:val="005875E3"/>
    <w:rsid w:val="00594707"/>
    <w:rsid w:val="005A1D1E"/>
    <w:rsid w:val="005A5A20"/>
    <w:rsid w:val="005C3AF7"/>
    <w:rsid w:val="005C4B01"/>
    <w:rsid w:val="005C5FD3"/>
    <w:rsid w:val="005C66D5"/>
    <w:rsid w:val="005C7D77"/>
    <w:rsid w:val="005D2CF8"/>
    <w:rsid w:val="005E6BC0"/>
    <w:rsid w:val="00600DE5"/>
    <w:rsid w:val="00600EBD"/>
    <w:rsid w:val="006033B3"/>
    <w:rsid w:val="00604FD9"/>
    <w:rsid w:val="00613ECE"/>
    <w:rsid w:val="00627927"/>
    <w:rsid w:val="00630227"/>
    <w:rsid w:val="00633ADD"/>
    <w:rsid w:val="00634A50"/>
    <w:rsid w:val="00641476"/>
    <w:rsid w:val="00655860"/>
    <w:rsid w:val="006655BC"/>
    <w:rsid w:val="006742B9"/>
    <w:rsid w:val="00674C6A"/>
    <w:rsid w:val="00675F28"/>
    <w:rsid w:val="00680654"/>
    <w:rsid w:val="00681E9C"/>
    <w:rsid w:val="00684366"/>
    <w:rsid w:val="00686965"/>
    <w:rsid w:val="006902FF"/>
    <w:rsid w:val="00692ED4"/>
    <w:rsid w:val="006A587A"/>
    <w:rsid w:val="006A7C2C"/>
    <w:rsid w:val="006B7EFF"/>
    <w:rsid w:val="006D25DA"/>
    <w:rsid w:val="006E6F2B"/>
    <w:rsid w:val="006E755E"/>
    <w:rsid w:val="006F0526"/>
    <w:rsid w:val="007151CC"/>
    <w:rsid w:val="0073103B"/>
    <w:rsid w:val="00732277"/>
    <w:rsid w:val="007350C7"/>
    <w:rsid w:val="007420DB"/>
    <w:rsid w:val="0074625B"/>
    <w:rsid w:val="00752B31"/>
    <w:rsid w:val="00760660"/>
    <w:rsid w:val="00765BCF"/>
    <w:rsid w:val="00771D0A"/>
    <w:rsid w:val="00773284"/>
    <w:rsid w:val="0077799B"/>
    <w:rsid w:val="00782532"/>
    <w:rsid w:val="00784538"/>
    <w:rsid w:val="00797B9D"/>
    <w:rsid w:val="007A766A"/>
    <w:rsid w:val="007B3F5C"/>
    <w:rsid w:val="007E1FBB"/>
    <w:rsid w:val="007E4ECB"/>
    <w:rsid w:val="007F0F9E"/>
    <w:rsid w:val="007F6D2B"/>
    <w:rsid w:val="0080098C"/>
    <w:rsid w:val="00800A64"/>
    <w:rsid w:val="00803039"/>
    <w:rsid w:val="0080726F"/>
    <w:rsid w:val="0081439D"/>
    <w:rsid w:val="008143A2"/>
    <w:rsid w:val="008167FF"/>
    <w:rsid w:val="008407E2"/>
    <w:rsid w:val="00856EC6"/>
    <w:rsid w:val="00857612"/>
    <w:rsid w:val="008579F9"/>
    <w:rsid w:val="00857E4D"/>
    <w:rsid w:val="00870FFB"/>
    <w:rsid w:val="008721D6"/>
    <w:rsid w:val="008740E1"/>
    <w:rsid w:val="008913B1"/>
    <w:rsid w:val="008B7E38"/>
    <w:rsid w:val="008C295B"/>
    <w:rsid w:val="008C3032"/>
    <w:rsid w:val="008C704D"/>
    <w:rsid w:val="008D40D1"/>
    <w:rsid w:val="008F31D0"/>
    <w:rsid w:val="008F446E"/>
    <w:rsid w:val="0091454B"/>
    <w:rsid w:val="009321CA"/>
    <w:rsid w:val="009334EB"/>
    <w:rsid w:val="009346AF"/>
    <w:rsid w:val="00945D53"/>
    <w:rsid w:val="00954B24"/>
    <w:rsid w:val="00972E86"/>
    <w:rsid w:val="00973305"/>
    <w:rsid w:val="00973926"/>
    <w:rsid w:val="00975CC3"/>
    <w:rsid w:val="009763B1"/>
    <w:rsid w:val="009909CE"/>
    <w:rsid w:val="00994DB9"/>
    <w:rsid w:val="0099507D"/>
    <w:rsid w:val="009B1427"/>
    <w:rsid w:val="009B168B"/>
    <w:rsid w:val="009B32B9"/>
    <w:rsid w:val="009C295D"/>
    <w:rsid w:val="009E358A"/>
    <w:rsid w:val="00A00BB4"/>
    <w:rsid w:val="00A02470"/>
    <w:rsid w:val="00A11A42"/>
    <w:rsid w:val="00A11BA9"/>
    <w:rsid w:val="00A11F43"/>
    <w:rsid w:val="00A143C3"/>
    <w:rsid w:val="00A16201"/>
    <w:rsid w:val="00A172D1"/>
    <w:rsid w:val="00A2013D"/>
    <w:rsid w:val="00A20970"/>
    <w:rsid w:val="00A6219A"/>
    <w:rsid w:val="00A75584"/>
    <w:rsid w:val="00A762E2"/>
    <w:rsid w:val="00A82157"/>
    <w:rsid w:val="00A85C00"/>
    <w:rsid w:val="00A87E70"/>
    <w:rsid w:val="00AA1607"/>
    <w:rsid w:val="00AA46EA"/>
    <w:rsid w:val="00AA52A7"/>
    <w:rsid w:val="00AB2D1F"/>
    <w:rsid w:val="00AB4B02"/>
    <w:rsid w:val="00AD3070"/>
    <w:rsid w:val="00AD759A"/>
    <w:rsid w:val="00B0438F"/>
    <w:rsid w:val="00B050A6"/>
    <w:rsid w:val="00B16BA4"/>
    <w:rsid w:val="00B23DD8"/>
    <w:rsid w:val="00B2735F"/>
    <w:rsid w:val="00B3760E"/>
    <w:rsid w:val="00B433B6"/>
    <w:rsid w:val="00B56289"/>
    <w:rsid w:val="00B720FA"/>
    <w:rsid w:val="00B806D3"/>
    <w:rsid w:val="00B833C9"/>
    <w:rsid w:val="00B83D1C"/>
    <w:rsid w:val="00B85E2B"/>
    <w:rsid w:val="00B9488C"/>
    <w:rsid w:val="00B9594B"/>
    <w:rsid w:val="00BA12CC"/>
    <w:rsid w:val="00BA4A29"/>
    <w:rsid w:val="00BB0338"/>
    <w:rsid w:val="00BB141E"/>
    <w:rsid w:val="00BB6AA6"/>
    <w:rsid w:val="00BB7650"/>
    <w:rsid w:val="00BC28E9"/>
    <w:rsid w:val="00BD19B3"/>
    <w:rsid w:val="00BD3528"/>
    <w:rsid w:val="00BD3C44"/>
    <w:rsid w:val="00BD56B1"/>
    <w:rsid w:val="00BD6623"/>
    <w:rsid w:val="00BD6804"/>
    <w:rsid w:val="00BF401B"/>
    <w:rsid w:val="00C015A2"/>
    <w:rsid w:val="00C01B33"/>
    <w:rsid w:val="00C050C0"/>
    <w:rsid w:val="00C208BF"/>
    <w:rsid w:val="00C20C91"/>
    <w:rsid w:val="00C21CF8"/>
    <w:rsid w:val="00C23A56"/>
    <w:rsid w:val="00C37858"/>
    <w:rsid w:val="00C410B4"/>
    <w:rsid w:val="00C46DE0"/>
    <w:rsid w:val="00C5405B"/>
    <w:rsid w:val="00C56F33"/>
    <w:rsid w:val="00C629AA"/>
    <w:rsid w:val="00C66934"/>
    <w:rsid w:val="00C72497"/>
    <w:rsid w:val="00C72D92"/>
    <w:rsid w:val="00C84015"/>
    <w:rsid w:val="00C92E88"/>
    <w:rsid w:val="00C931EC"/>
    <w:rsid w:val="00C955F8"/>
    <w:rsid w:val="00C96306"/>
    <w:rsid w:val="00CA45E0"/>
    <w:rsid w:val="00CB58D6"/>
    <w:rsid w:val="00CC0B1A"/>
    <w:rsid w:val="00CD072A"/>
    <w:rsid w:val="00CE23EF"/>
    <w:rsid w:val="00CE57FC"/>
    <w:rsid w:val="00CE7663"/>
    <w:rsid w:val="00CF5510"/>
    <w:rsid w:val="00D03EFA"/>
    <w:rsid w:val="00D04CD8"/>
    <w:rsid w:val="00D06198"/>
    <w:rsid w:val="00D14D02"/>
    <w:rsid w:val="00D22CD2"/>
    <w:rsid w:val="00D33993"/>
    <w:rsid w:val="00D37CB2"/>
    <w:rsid w:val="00D40584"/>
    <w:rsid w:val="00D447DC"/>
    <w:rsid w:val="00D471A1"/>
    <w:rsid w:val="00D61CDA"/>
    <w:rsid w:val="00D73C01"/>
    <w:rsid w:val="00D743B1"/>
    <w:rsid w:val="00D74BFF"/>
    <w:rsid w:val="00D82BBD"/>
    <w:rsid w:val="00D835E8"/>
    <w:rsid w:val="00D877B3"/>
    <w:rsid w:val="00D905B8"/>
    <w:rsid w:val="00D905E4"/>
    <w:rsid w:val="00D917C8"/>
    <w:rsid w:val="00D91B44"/>
    <w:rsid w:val="00D94722"/>
    <w:rsid w:val="00DB56EB"/>
    <w:rsid w:val="00DB5739"/>
    <w:rsid w:val="00DB7231"/>
    <w:rsid w:val="00DE62A8"/>
    <w:rsid w:val="00DF5AED"/>
    <w:rsid w:val="00DF78DC"/>
    <w:rsid w:val="00E00543"/>
    <w:rsid w:val="00E10DA7"/>
    <w:rsid w:val="00E2041A"/>
    <w:rsid w:val="00E219D2"/>
    <w:rsid w:val="00E264B8"/>
    <w:rsid w:val="00E26A22"/>
    <w:rsid w:val="00E30F1E"/>
    <w:rsid w:val="00E44EC3"/>
    <w:rsid w:val="00E462C1"/>
    <w:rsid w:val="00E541CE"/>
    <w:rsid w:val="00E56F5C"/>
    <w:rsid w:val="00E62C10"/>
    <w:rsid w:val="00E63DDA"/>
    <w:rsid w:val="00E66A87"/>
    <w:rsid w:val="00E67FA9"/>
    <w:rsid w:val="00E732F4"/>
    <w:rsid w:val="00E77508"/>
    <w:rsid w:val="00E77A06"/>
    <w:rsid w:val="00E803B8"/>
    <w:rsid w:val="00E811B4"/>
    <w:rsid w:val="00E822B9"/>
    <w:rsid w:val="00E87055"/>
    <w:rsid w:val="00EA0076"/>
    <w:rsid w:val="00EA35B3"/>
    <w:rsid w:val="00EA4D81"/>
    <w:rsid w:val="00EB03BE"/>
    <w:rsid w:val="00ED2E0F"/>
    <w:rsid w:val="00ED5DB8"/>
    <w:rsid w:val="00ED74CF"/>
    <w:rsid w:val="00EE12C1"/>
    <w:rsid w:val="00EE2595"/>
    <w:rsid w:val="00EE77D1"/>
    <w:rsid w:val="00EF1AD0"/>
    <w:rsid w:val="00EF5543"/>
    <w:rsid w:val="00F02C43"/>
    <w:rsid w:val="00F04B7C"/>
    <w:rsid w:val="00F12923"/>
    <w:rsid w:val="00F14C24"/>
    <w:rsid w:val="00F14C64"/>
    <w:rsid w:val="00F31737"/>
    <w:rsid w:val="00F328A7"/>
    <w:rsid w:val="00F328C5"/>
    <w:rsid w:val="00F3291C"/>
    <w:rsid w:val="00F33967"/>
    <w:rsid w:val="00F3599A"/>
    <w:rsid w:val="00F3667A"/>
    <w:rsid w:val="00F466EF"/>
    <w:rsid w:val="00F523C3"/>
    <w:rsid w:val="00F532DE"/>
    <w:rsid w:val="00F56321"/>
    <w:rsid w:val="00F5686F"/>
    <w:rsid w:val="00F56DD4"/>
    <w:rsid w:val="00F6403E"/>
    <w:rsid w:val="00F67F1E"/>
    <w:rsid w:val="00F70A8C"/>
    <w:rsid w:val="00F80522"/>
    <w:rsid w:val="00F813EE"/>
    <w:rsid w:val="00F82B5E"/>
    <w:rsid w:val="00F9701C"/>
    <w:rsid w:val="00FA4818"/>
    <w:rsid w:val="00FB10E2"/>
    <w:rsid w:val="00FC1508"/>
    <w:rsid w:val="00FC3A04"/>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17A1"/>
  <w15:chartTrackingRefBased/>
  <w15:docId w15:val="{C717CD0E-496E-4697-B538-1DA5E67B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8C"/>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0A8C"/>
    <w:rPr>
      <w:color w:val="0563C1"/>
      <w:u w:val="single"/>
    </w:rPr>
  </w:style>
  <w:style w:type="paragraph" w:styleId="ListParagraph">
    <w:name w:val="List Paragraph"/>
    <w:basedOn w:val="Normal"/>
    <w:uiPriority w:val="34"/>
    <w:qFormat/>
    <w:rsid w:val="009346AF"/>
    <w:pPr>
      <w:ind w:left="720"/>
      <w:contextualSpacing/>
    </w:pPr>
  </w:style>
  <w:style w:type="character" w:styleId="UnresolvedMention">
    <w:name w:val="Unresolved Mention"/>
    <w:basedOn w:val="DefaultParagraphFont"/>
    <w:uiPriority w:val="99"/>
    <w:semiHidden/>
    <w:unhideWhenUsed/>
    <w:rsid w:val="00FF7E70"/>
    <w:rPr>
      <w:color w:val="605E5C"/>
      <w:shd w:val="clear" w:color="auto" w:fill="E1DFDD"/>
    </w:rPr>
  </w:style>
  <w:style w:type="paragraph" w:styleId="Header">
    <w:name w:val="header"/>
    <w:basedOn w:val="Normal"/>
    <w:link w:val="HeaderChar"/>
    <w:uiPriority w:val="99"/>
    <w:unhideWhenUsed/>
    <w:rsid w:val="00B23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DD8"/>
    <w:rPr>
      <w:rFonts w:ascii="Calibri" w:eastAsia="Calibri" w:hAnsi="Calibri" w:cs="Times New Roman"/>
      <w:kern w:val="0"/>
      <w14:ligatures w14:val="none"/>
    </w:rPr>
  </w:style>
  <w:style w:type="paragraph" w:styleId="Footer">
    <w:name w:val="footer"/>
    <w:basedOn w:val="Normal"/>
    <w:link w:val="FooterChar"/>
    <w:uiPriority w:val="99"/>
    <w:unhideWhenUsed/>
    <w:rsid w:val="00B23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DD8"/>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086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egislative/2025/bills/senate/1/details" TargetMode="External"/><Relationship Id="rId13" Type="http://schemas.openxmlformats.org/officeDocument/2006/relationships/hyperlink" Target="https://iga.in.gov/legislative/2025/bills/house/1001/details" TargetMode="External"/><Relationship Id="rId18" Type="http://schemas.openxmlformats.org/officeDocument/2006/relationships/hyperlink" Target="https://iga.in.gov/legislative/2025/bills/house/1427/details" TargetMode="External"/><Relationship Id="rId3" Type="http://schemas.openxmlformats.org/officeDocument/2006/relationships/settings" Target="settings.xml"/><Relationship Id="rId21" Type="http://schemas.openxmlformats.org/officeDocument/2006/relationships/hyperlink" Target="https://iga.in.gov/legislative/2025/bills/house/1641/details" TargetMode="External"/><Relationship Id="rId7" Type="http://schemas.openxmlformats.org/officeDocument/2006/relationships/image" Target="media/image1.jpeg"/><Relationship Id="rId12" Type="http://schemas.openxmlformats.org/officeDocument/2006/relationships/hyperlink" Target="https://iga.in.gov/legislative/2025/bills/senate/472/details" TargetMode="External"/><Relationship Id="rId17" Type="http://schemas.openxmlformats.org/officeDocument/2006/relationships/hyperlink" Target="https://iga.in.gov/legislative/2025/bills/house/1412/details" TargetMode="External"/><Relationship Id="rId2" Type="http://schemas.openxmlformats.org/officeDocument/2006/relationships/styles" Target="styles.xml"/><Relationship Id="rId16" Type="http://schemas.openxmlformats.org/officeDocument/2006/relationships/hyperlink" Target="https://iga.in.gov/legislative/2025/bills/house/1198/details" TargetMode="External"/><Relationship Id="rId20" Type="http://schemas.openxmlformats.org/officeDocument/2006/relationships/hyperlink" Target="https://iga.in.gov/legislative/2025/bills/house/1559/detai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ga.in.gov/legislative/2025/bills/senate/371/detai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ga.in.gov/legislative/2025/bills/house/1134/details" TargetMode="External"/><Relationship Id="rId23" Type="http://schemas.openxmlformats.org/officeDocument/2006/relationships/fontTable" Target="fontTable.xml"/><Relationship Id="rId10" Type="http://schemas.openxmlformats.org/officeDocument/2006/relationships/hyperlink" Target="https://iga.in.gov/legislative/2025/bills/senate/143/details" TargetMode="External"/><Relationship Id="rId19" Type="http://schemas.openxmlformats.org/officeDocument/2006/relationships/hyperlink" Target="https://iga.in.gov/legislative/2025/bills/house/1509/details" TargetMode="External"/><Relationship Id="rId4" Type="http://schemas.openxmlformats.org/officeDocument/2006/relationships/webSettings" Target="webSettings.xml"/><Relationship Id="rId9" Type="http://schemas.openxmlformats.org/officeDocument/2006/relationships/hyperlink" Target="https://iga.in.gov/legislative/2025/bills/senate/5/details" TargetMode="External"/><Relationship Id="rId14" Type="http://schemas.openxmlformats.org/officeDocument/2006/relationships/hyperlink" Target="https://iga.in.gov/legislative/2025/bills/house/1033/detail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3332</TotalTime>
  <Pages>9</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Sylvia</dc:creator>
  <cp:keywords/>
  <dc:description/>
  <cp:lastModifiedBy>Watson, Sylvia</cp:lastModifiedBy>
  <cp:revision>170</cp:revision>
  <cp:lastPrinted>2023-06-16T16:49:00Z</cp:lastPrinted>
  <dcterms:created xsi:type="dcterms:W3CDTF">2025-04-09T18:23:00Z</dcterms:created>
  <dcterms:modified xsi:type="dcterms:W3CDTF">2025-12-02T20:22:00Z</dcterms:modified>
</cp:coreProperties>
</file>