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6135" w14:textId="2A074397" w:rsidR="001C05A9" w:rsidRPr="00472724" w:rsidRDefault="001E0C7C" w:rsidP="00D6621B">
      <w:pPr>
        <w:spacing w:after="0" w:line="240" w:lineRule="auto"/>
        <w:jc w:val="center"/>
        <w:rPr>
          <w:rFonts w:ascii="Arial Nova Light" w:hAnsi="Arial Nova Light"/>
          <w:b/>
          <w:sz w:val="40"/>
          <w:szCs w:val="40"/>
        </w:rPr>
      </w:pPr>
      <w:r w:rsidRPr="00472724">
        <w:rPr>
          <w:rFonts w:ascii="Arial Nova Light" w:hAnsi="Arial Nova Light"/>
          <w:noProof/>
          <w:sz w:val="24"/>
          <w:szCs w:val="24"/>
        </w:rPr>
        <w:drawing>
          <wp:anchor distT="0" distB="0" distL="114300" distR="114300" simplePos="0" relativeHeight="251657728" behindDoc="1" locked="0" layoutInCell="1" allowOverlap="1" wp14:anchorId="07843020" wp14:editId="4159B87C">
            <wp:simplePos x="0" y="0"/>
            <wp:positionH relativeFrom="column">
              <wp:posOffset>715010</wp:posOffset>
            </wp:positionH>
            <wp:positionV relativeFrom="paragraph">
              <wp:posOffset>-215265</wp:posOffset>
            </wp:positionV>
            <wp:extent cx="588010" cy="598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1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21B" w:rsidRPr="00472724">
        <w:rPr>
          <w:rFonts w:ascii="Arial Nova Light" w:hAnsi="Arial Nova Light"/>
          <w:b/>
          <w:sz w:val="40"/>
          <w:szCs w:val="40"/>
        </w:rPr>
        <w:t xml:space="preserve">   </w:t>
      </w:r>
      <w:r w:rsidR="00B36B10" w:rsidRPr="00472724">
        <w:rPr>
          <w:rFonts w:ascii="Arial Nova Light" w:hAnsi="Arial Nova Light"/>
          <w:b/>
          <w:sz w:val="40"/>
          <w:szCs w:val="40"/>
        </w:rPr>
        <w:t>20</w:t>
      </w:r>
      <w:r w:rsidR="00472724" w:rsidRPr="00472724">
        <w:rPr>
          <w:rFonts w:ascii="Arial Nova Light" w:hAnsi="Arial Nova Light"/>
          <w:b/>
          <w:sz w:val="40"/>
          <w:szCs w:val="40"/>
        </w:rPr>
        <w:t>21</w:t>
      </w:r>
      <w:r w:rsidR="00B36B10" w:rsidRPr="00472724">
        <w:rPr>
          <w:rFonts w:ascii="Arial Nova Light" w:hAnsi="Arial Nova Light"/>
          <w:b/>
          <w:sz w:val="40"/>
          <w:szCs w:val="40"/>
        </w:rPr>
        <w:t xml:space="preserve"> Legislation</w:t>
      </w:r>
    </w:p>
    <w:p w14:paraId="7CC9A8EB" w14:textId="18DEE829" w:rsidR="001C05A9" w:rsidRPr="00472724" w:rsidRDefault="00D6621B" w:rsidP="00B36B10">
      <w:pPr>
        <w:spacing w:after="0" w:line="240" w:lineRule="auto"/>
        <w:rPr>
          <w:rFonts w:ascii="Arial Nova Light" w:hAnsi="Arial Nova Light"/>
          <w:b/>
          <w:sz w:val="40"/>
          <w:szCs w:val="40"/>
        </w:rPr>
      </w:pPr>
      <w:r w:rsidRPr="00472724">
        <w:rPr>
          <w:rFonts w:ascii="Arial Nova Light" w:hAnsi="Arial Nova Light"/>
          <w:sz w:val="18"/>
          <w:szCs w:val="18"/>
        </w:rPr>
        <w:t xml:space="preserve">                                                    </w:t>
      </w:r>
      <w:r w:rsidR="00B36B10" w:rsidRPr="00472724">
        <w:rPr>
          <w:rFonts w:ascii="Arial Nova Light" w:hAnsi="Arial Nova Light"/>
          <w:sz w:val="18"/>
          <w:szCs w:val="18"/>
        </w:rPr>
        <w:t>Click on the Enrolled Act numbers to get to the full text of the bill</w:t>
      </w:r>
    </w:p>
    <w:p w14:paraId="5F623ADA" w14:textId="77777777" w:rsidR="00B36B10" w:rsidRPr="00472724" w:rsidRDefault="00B36B10" w:rsidP="00B36B10">
      <w:pPr>
        <w:spacing w:after="0" w:line="240" w:lineRule="auto"/>
        <w:jc w:val="center"/>
        <w:rPr>
          <w:rFonts w:ascii="Arial Nova Light" w:hAnsi="Arial Nova Light"/>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6540"/>
        <w:gridCol w:w="1463"/>
      </w:tblGrid>
      <w:tr w:rsidR="00C94CBD" w:rsidRPr="00472724" w14:paraId="4BD4ED67" w14:textId="77777777" w:rsidTr="00734044">
        <w:tc>
          <w:tcPr>
            <w:tcW w:w="1735" w:type="dxa"/>
            <w:shd w:val="clear" w:color="auto" w:fill="FFF2CC"/>
          </w:tcPr>
          <w:p w14:paraId="5678A438" w14:textId="77777777" w:rsidR="00B36B10" w:rsidRPr="00472724" w:rsidRDefault="00B36B10" w:rsidP="000D2E04">
            <w:pPr>
              <w:spacing w:after="0" w:line="240" w:lineRule="auto"/>
              <w:jc w:val="center"/>
              <w:rPr>
                <w:rFonts w:ascii="Arial Nova Light" w:hAnsi="Arial Nova Light"/>
                <w:b/>
              </w:rPr>
            </w:pPr>
            <w:r w:rsidRPr="00472724">
              <w:rPr>
                <w:rFonts w:ascii="Arial Nova Light" w:hAnsi="Arial Nova Light"/>
                <w:b/>
              </w:rPr>
              <w:t>Enrolled Act</w:t>
            </w:r>
          </w:p>
        </w:tc>
        <w:tc>
          <w:tcPr>
            <w:tcW w:w="6540" w:type="dxa"/>
            <w:shd w:val="clear" w:color="auto" w:fill="FFF2CC"/>
          </w:tcPr>
          <w:p w14:paraId="6D40EF2D" w14:textId="77777777" w:rsidR="00B36B10" w:rsidRPr="00472724" w:rsidRDefault="00B36B10" w:rsidP="000D2E04">
            <w:pPr>
              <w:spacing w:after="0" w:line="240" w:lineRule="auto"/>
              <w:jc w:val="center"/>
              <w:rPr>
                <w:rFonts w:ascii="Arial Nova Light" w:hAnsi="Arial Nova Light"/>
                <w:b/>
              </w:rPr>
            </w:pPr>
            <w:r w:rsidRPr="00472724">
              <w:rPr>
                <w:rFonts w:ascii="Arial Nova Light" w:hAnsi="Arial Nova Light"/>
                <w:b/>
              </w:rPr>
              <w:t>Synopsys</w:t>
            </w:r>
            <w:r w:rsidR="00383569" w:rsidRPr="00472724">
              <w:rPr>
                <w:rFonts w:ascii="Arial Nova Light" w:hAnsi="Arial Nova Light"/>
                <w:b/>
              </w:rPr>
              <w:t xml:space="preserve"> of Applicable Provisions</w:t>
            </w:r>
          </w:p>
          <w:p w14:paraId="6F2494B2" w14:textId="77777777" w:rsidR="00171ACC" w:rsidRPr="00472724" w:rsidRDefault="00171ACC" w:rsidP="00171ACC">
            <w:pPr>
              <w:spacing w:after="0" w:line="240" w:lineRule="auto"/>
              <w:jc w:val="center"/>
              <w:rPr>
                <w:rFonts w:ascii="Arial Nova Light" w:hAnsi="Arial Nova Light"/>
                <w:sz w:val="16"/>
                <w:szCs w:val="16"/>
              </w:rPr>
            </w:pPr>
            <w:r w:rsidRPr="00472724">
              <w:rPr>
                <w:rFonts w:ascii="Arial Nova Light" w:hAnsi="Arial Nova Light"/>
                <w:sz w:val="16"/>
                <w:szCs w:val="16"/>
              </w:rPr>
              <w:t>Additional text has been added in some sections to supplement the iga.IN.gov digest</w:t>
            </w:r>
          </w:p>
          <w:p w14:paraId="69695A89" w14:textId="77777777" w:rsidR="00171ACC" w:rsidRPr="00472724" w:rsidRDefault="00171ACC" w:rsidP="00171ACC">
            <w:pPr>
              <w:spacing w:after="0" w:line="240" w:lineRule="auto"/>
              <w:jc w:val="center"/>
              <w:rPr>
                <w:rFonts w:ascii="Arial Nova Light" w:hAnsi="Arial Nova Light"/>
                <w:sz w:val="16"/>
                <w:szCs w:val="16"/>
              </w:rPr>
            </w:pPr>
            <w:r w:rsidRPr="00472724">
              <w:rPr>
                <w:rFonts w:ascii="Arial Nova Light" w:hAnsi="Arial Nova Light"/>
                <w:sz w:val="16"/>
                <w:szCs w:val="16"/>
              </w:rPr>
              <w:t xml:space="preserve">Sections of the iga.IN.gov digest irrelevant to libraries have been excluded  </w:t>
            </w:r>
          </w:p>
        </w:tc>
        <w:tc>
          <w:tcPr>
            <w:tcW w:w="1463" w:type="dxa"/>
            <w:shd w:val="clear" w:color="auto" w:fill="FFF2CC"/>
          </w:tcPr>
          <w:p w14:paraId="09C32CF0" w14:textId="77777777" w:rsidR="00B36B10" w:rsidRPr="00472724" w:rsidRDefault="00B36B10" w:rsidP="000D2E04">
            <w:pPr>
              <w:spacing w:after="0" w:line="240" w:lineRule="auto"/>
              <w:jc w:val="center"/>
              <w:rPr>
                <w:rFonts w:ascii="Arial Nova Light" w:hAnsi="Arial Nova Light"/>
                <w:b/>
              </w:rPr>
            </w:pPr>
            <w:r w:rsidRPr="00472724">
              <w:rPr>
                <w:rFonts w:ascii="Arial Nova Light" w:hAnsi="Arial Nova Light"/>
                <w:b/>
              </w:rPr>
              <w:t>Effective</w:t>
            </w:r>
          </w:p>
          <w:p w14:paraId="1F9FADA2" w14:textId="77777777" w:rsidR="00B36B10" w:rsidRPr="00472724" w:rsidRDefault="00B36B10" w:rsidP="000D2E04">
            <w:pPr>
              <w:spacing w:after="0" w:line="240" w:lineRule="auto"/>
              <w:jc w:val="center"/>
              <w:rPr>
                <w:rFonts w:ascii="Arial Nova Light" w:hAnsi="Arial Nova Light"/>
                <w:b/>
              </w:rPr>
            </w:pPr>
            <w:r w:rsidRPr="00472724">
              <w:rPr>
                <w:rFonts w:ascii="Arial Nova Light" w:hAnsi="Arial Nova Light"/>
                <w:b/>
              </w:rPr>
              <w:t>Date</w:t>
            </w:r>
          </w:p>
        </w:tc>
      </w:tr>
      <w:tr w:rsidR="003835F5" w:rsidRPr="00472724" w14:paraId="3EB03D36" w14:textId="77777777" w:rsidTr="00734044">
        <w:tc>
          <w:tcPr>
            <w:tcW w:w="1735" w:type="dxa"/>
            <w:shd w:val="clear" w:color="auto" w:fill="auto"/>
          </w:tcPr>
          <w:p w14:paraId="42A4622F" w14:textId="415FD1A4" w:rsidR="003835F5" w:rsidRPr="00472724" w:rsidRDefault="00472724" w:rsidP="00FF78CE">
            <w:pPr>
              <w:jc w:val="center"/>
              <w:rPr>
                <w:rStyle w:val="Hyperlink"/>
                <w:rFonts w:ascii="Arial Nova Light" w:hAnsi="Arial Nova Light"/>
              </w:rPr>
            </w:pPr>
            <w:r>
              <w:rPr>
                <w:rFonts w:ascii="Arial Nova Light" w:hAnsi="Arial Nova Light"/>
              </w:rPr>
              <w:fldChar w:fldCharType="begin"/>
            </w:r>
            <w:r>
              <w:rPr>
                <w:rFonts w:ascii="Arial Nova Light" w:hAnsi="Arial Nova Light"/>
              </w:rPr>
              <w:instrText xml:space="preserve"> HYPERLINK "http://iga.in.gov/legislative/2021/bills/senate/1" \l "document-20de0afa" </w:instrText>
            </w:r>
            <w:r>
              <w:rPr>
                <w:rFonts w:ascii="Arial Nova Light" w:hAnsi="Arial Nova Light"/>
              </w:rPr>
              <w:fldChar w:fldCharType="separate"/>
            </w:r>
            <w:r w:rsidRPr="00472724">
              <w:rPr>
                <w:rStyle w:val="Hyperlink"/>
                <w:rFonts w:ascii="Arial Nova Light" w:hAnsi="Arial Nova Light"/>
              </w:rPr>
              <w:t>S</w:t>
            </w:r>
            <w:r w:rsidR="000B2754">
              <w:rPr>
                <w:rStyle w:val="Hyperlink"/>
                <w:rFonts w:ascii="Arial Nova Light" w:hAnsi="Arial Nova Light"/>
              </w:rPr>
              <w:t>E</w:t>
            </w:r>
            <w:r w:rsidR="000B2754">
              <w:rPr>
                <w:rStyle w:val="Hyperlink"/>
              </w:rPr>
              <w:t>A</w:t>
            </w:r>
            <w:r w:rsidRPr="00472724">
              <w:rPr>
                <w:rStyle w:val="Hyperlink"/>
                <w:rFonts w:ascii="Arial Nova Light" w:hAnsi="Arial Nova Light"/>
              </w:rPr>
              <w:t xml:space="preserve"> </w:t>
            </w:r>
            <w:r w:rsidR="000B2754">
              <w:rPr>
                <w:rStyle w:val="Hyperlink"/>
                <w:rFonts w:ascii="Arial Nova Light" w:hAnsi="Arial Nova Light"/>
              </w:rPr>
              <w:t>00</w:t>
            </w:r>
            <w:r w:rsidRPr="00472724">
              <w:rPr>
                <w:rStyle w:val="Hyperlink"/>
                <w:rFonts w:ascii="Arial Nova Light" w:hAnsi="Arial Nova Light"/>
              </w:rPr>
              <w:t>1</w:t>
            </w:r>
          </w:p>
          <w:p w14:paraId="37576FC7" w14:textId="60FF40E7" w:rsidR="00FF78CE" w:rsidRPr="00472724" w:rsidRDefault="00472724" w:rsidP="00FF78CE">
            <w:pPr>
              <w:jc w:val="center"/>
              <w:rPr>
                <w:rFonts w:ascii="Arial Nova Light" w:hAnsi="Arial Nova Light"/>
              </w:rPr>
            </w:pPr>
            <w:r>
              <w:rPr>
                <w:rFonts w:ascii="Arial Nova Light" w:hAnsi="Arial Nova Light"/>
              </w:rPr>
              <w:fldChar w:fldCharType="end"/>
            </w:r>
            <w:r w:rsidRPr="00472724">
              <w:rPr>
                <w:rFonts w:ascii="Arial Nova Light" w:hAnsi="Arial Nova Light"/>
                <w:b/>
                <w:bCs/>
              </w:rPr>
              <w:t xml:space="preserve"> </w:t>
            </w:r>
            <w:r w:rsidRPr="00472724">
              <w:rPr>
                <w:rFonts w:ascii="Arial Nova Light" w:hAnsi="Arial Nova Light"/>
              </w:rPr>
              <w:t>Civil immunity related to COVID-19</w:t>
            </w:r>
          </w:p>
        </w:tc>
        <w:tc>
          <w:tcPr>
            <w:tcW w:w="6540" w:type="dxa"/>
            <w:shd w:val="clear" w:color="auto" w:fill="auto"/>
          </w:tcPr>
          <w:p w14:paraId="6EB68633" w14:textId="77777777" w:rsidR="00472724" w:rsidRDefault="00472724" w:rsidP="00FC6593">
            <w:pPr>
              <w:rPr>
                <w:rFonts w:ascii="Arial Nova Light" w:hAnsi="Arial Nova Light"/>
              </w:rPr>
            </w:pPr>
            <w:r w:rsidRPr="00472724">
              <w:rPr>
                <w:rFonts w:ascii="Arial Nova Light" w:hAnsi="Arial Nova Light"/>
              </w:rPr>
              <w:t xml:space="preserve">Provides civil tort immunity for damages arising from COVID-19 on the premises owned or operated by a person (including a </w:t>
            </w:r>
            <w:r w:rsidRPr="00851A48">
              <w:rPr>
                <w:rFonts w:ascii="Arial Nova Light" w:hAnsi="Arial Nova Light"/>
              </w:rPr>
              <w:t>political subdivision</w:t>
            </w:r>
            <w:r w:rsidRPr="00F93E8D">
              <w:rPr>
                <w:rFonts w:ascii="Arial Nova Light" w:hAnsi="Arial Nova Light"/>
                <w:b/>
                <w:bCs/>
              </w:rPr>
              <w:t xml:space="preserve"> </w:t>
            </w:r>
            <w:r w:rsidRPr="00472724">
              <w:rPr>
                <w:rFonts w:ascii="Arial Nova Light" w:hAnsi="Arial Nova Light"/>
              </w:rPr>
              <w:t xml:space="preserve">or government office) except for an act or omission that constitutes gross negligence or willful or wanton misconduct (including fraud and intentionally tortious acts). </w:t>
            </w:r>
          </w:p>
          <w:p w14:paraId="306802CE" w14:textId="37EF4EC1" w:rsidR="003835F5" w:rsidRPr="00472724" w:rsidRDefault="00472724" w:rsidP="00FC6593">
            <w:pPr>
              <w:rPr>
                <w:rFonts w:ascii="Arial Nova Light" w:hAnsi="Arial Nova Light"/>
              </w:rPr>
            </w:pPr>
            <w:r w:rsidRPr="00472724">
              <w:rPr>
                <w:rFonts w:ascii="Arial Nova Light" w:hAnsi="Arial Nova Light"/>
              </w:rPr>
              <w:t>Prohibits class action suits</w:t>
            </w:r>
            <w:r>
              <w:rPr>
                <w:rFonts w:ascii="Arial Nova Light" w:hAnsi="Arial Nova Light"/>
              </w:rPr>
              <w:t>.</w:t>
            </w:r>
            <w:r w:rsidR="000B2754">
              <w:rPr>
                <w:rFonts w:ascii="Arial Nova Light" w:hAnsi="Arial Nova Light"/>
              </w:rPr>
              <w:t xml:space="preserve"> Expires December 31, 2024. </w:t>
            </w:r>
          </w:p>
        </w:tc>
        <w:tc>
          <w:tcPr>
            <w:tcW w:w="1463" w:type="dxa"/>
            <w:shd w:val="clear" w:color="auto" w:fill="auto"/>
          </w:tcPr>
          <w:p w14:paraId="09C4FA41" w14:textId="3F61500E" w:rsidR="00A23B7C" w:rsidRDefault="00A23B7C" w:rsidP="003835F5">
            <w:pPr>
              <w:spacing w:after="0" w:line="240" w:lineRule="auto"/>
              <w:jc w:val="center"/>
              <w:rPr>
                <w:rFonts w:ascii="Arial Nova Light" w:hAnsi="Arial Nova Light"/>
              </w:rPr>
            </w:pPr>
            <w:r>
              <w:rPr>
                <w:rFonts w:ascii="Arial Nova Light" w:hAnsi="Arial Nova Light"/>
              </w:rPr>
              <w:t>Effective</w:t>
            </w:r>
          </w:p>
          <w:p w14:paraId="214066B0" w14:textId="72E830EE" w:rsidR="003835F5" w:rsidRPr="00472724" w:rsidRDefault="00A23B7C" w:rsidP="003835F5">
            <w:pPr>
              <w:spacing w:after="0" w:line="240" w:lineRule="auto"/>
              <w:jc w:val="center"/>
              <w:rPr>
                <w:rFonts w:ascii="Arial Nova Light" w:hAnsi="Arial Nova Light"/>
              </w:rPr>
            </w:pPr>
            <w:r>
              <w:rPr>
                <w:rFonts w:ascii="Arial Nova Light" w:hAnsi="Arial Nova Light"/>
              </w:rPr>
              <w:t>u</w:t>
            </w:r>
            <w:r w:rsidR="00A23D2D">
              <w:rPr>
                <w:rFonts w:ascii="Arial Nova Light" w:hAnsi="Arial Nova Light"/>
              </w:rPr>
              <w:t>pon passage</w:t>
            </w:r>
          </w:p>
        </w:tc>
      </w:tr>
      <w:tr w:rsidR="003835F5" w:rsidRPr="00472724" w14:paraId="2AE504A0" w14:textId="77777777" w:rsidTr="00734044">
        <w:tc>
          <w:tcPr>
            <w:tcW w:w="1735" w:type="dxa"/>
            <w:shd w:val="clear" w:color="auto" w:fill="auto"/>
          </w:tcPr>
          <w:p w14:paraId="321F3567" w14:textId="4FF742D0" w:rsidR="003835F5" w:rsidRPr="00472724" w:rsidRDefault="003C3FBE" w:rsidP="00FF78CE">
            <w:pPr>
              <w:jc w:val="center"/>
              <w:rPr>
                <w:rFonts w:ascii="Arial Nova Light" w:hAnsi="Arial Nova Light"/>
              </w:rPr>
            </w:pPr>
            <w:hyperlink r:id="rId8" w:anchor="document-929d0b6f" w:history="1">
              <w:r w:rsidR="00F93E8D" w:rsidRPr="00F93E8D">
                <w:rPr>
                  <w:rStyle w:val="Hyperlink"/>
                  <w:rFonts w:ascii="Arial Nova Light" w:hAnsi="Arial Nova Light"/>
                </w:rPr>
                <w:t>HEA 1072</w:t>
              </w:r>
            </w:hyperlink>
          </w:p>
          <w:p w14:paraId="72508C34" w14:textId="04C6E8AD" w:rsidR="00FF78CE" w:rsidRPr="00472724" w:rsidRDefault="00F93E8D" w:rsidP="00FF78CE">
            <w:pPr>
              <w:jc w:val="center"/>
              <w:rPr>
                <w:rFonts w:ascii="Arial Nova Light" w:hAnsi="Arial Nova Light"/>
              </w:rPr>
            </w:pPr>
            <w:r w:rsidRPr="00F93E8D">
              <w:rPr>
                <w:rFonts w:ascii="Arial Nova Light" w:hAnsi="Arial Nova Light"/>
              </w:rPr>
              <w:t>Personal delivery devices</w:t>
            </w:r>
          </w:p>
        </w:tc>
        <w:tc>
          <w:tcPr>
            <w:tcW w:w="6540" w:type="dxa"/>
            <w:shd w:val="clear" w:color="auto" w:fill="auto"/>
          </w:tcPr>
          <w:p w14:paraId="326BACB5" w14:textId="66CE18E1" w:rsidR="003835F5" w:rsidRPr="00472724" w:rsidRDefault="00F93E8D" w:rsidP="003835F5">
            <w:pPr>
              <w:rPr>
                <w:rFonts w:ascii="Arial Nova Light" w:hAnsi="Arial Nova Light"/>
              </w:rPr>
            </w:pPr>
            <w:r w:rsidRPr="00F93E8D">
              <w:rPr>
                <w:rFonts w:ascii="Arial Nova Light" w:hAnsi="Arial Nova Light"/>
              </w:rPr>
              <w:t xml:space="preserve">Provides that a </w:t>
            </w:r>
            <w:r w:rsidRPr="00851A48">
              <w:rPr>
                <w:rFonts w:ascii="Arial Nova Light" w:hAnsi="Arial Nova Light"/>
              </w:rPr>
              <w:t>political subdivision</w:t>
            </w:r>
            <w:r w:rsidRPr="00F93E8D">
              <w:rPr>
                <w:rFonts w:ascii="Arial Nova Light" w:hAnsi="Arial Nova Light"/>
              </w:rPr>
              <w:t xml:space="preserve"> may participate in the regulation of personal delivery devices. </w:t>
            </w:r>
          </w:p>
        </w:tc>
        <w:tc>
          <w:tcPr>
            <w:tcW w:w="1463" w:type="dxa"/>
            <w:shd w:val="clear" w:color="auto" w:fill="auto"/>
          </w:tcPr>
          <w:p w14:paraId="74E25BB4" w14:textId="27ED133D" w:rsidR="007B27DF" w:rsidRPr="00472724" w:rsidRDefault="007E3FCB" w:rsidP="00F93E8D">
            <w:pPr>
              <w:spacing w:after="0" w:line="240" w:lineRule="auto"/>
              <w:rPr>
                <w:rFonts w:ascii="Arial Nova Light" w:hAnsi="Arial Nova Light"/>
              </w:rPr>
            </w:pPr>
            <w:r>
              <w:rPr>
                <w:rFonts w:ascii="Arial Nova Light" w:hAnsi="Arial Nova Light"/>
              </w:rPr>
              <w:t>July 1, 2021</w:t>
            </w:r>
          </w:p>
        </w:tc>
      </w:tr>
      <w:tr w:rsidR="00B01C86" w:rsidRPr="00472724" w14:paraId="12989A42" w14:textId="77777777" w:rsidTr="00734044">
        <w:tc>
          <w:tcPr>
            <w:tcW w:w="1735" w:type="dxa"/>
            <w:shd w:val="clear" w:color="auto" w:fill="auto"/>
          </w:tcPr>
          <w:p w14:paraId="55156668" w14:textId="4C892EA1" w:rsidR="00B01C86" w:rsidRPr="00472724" w:rsidRDefault="003C3FBE" w:rsidP="00B01C86">
            <w:pPr>
              <w:jc w:val="center"/>
              <w:rPr>
                <w:rFonts w:ascii="Arial Nova Light" w:hAnsi="Arial Nova Light"/>
              </w:rPr>
            </w:pPr>
            <w:hyperlink r:id="rId9" w:anchor="document-97ac7980" w:history="1">
              <w:r w:rsidR="00B01C86" w:rsidRPr="00472724">
                <w:rPr>
                  <w:rStyle w:val="Hyperlink"/>
                  <w:rFonts w:ascii="Arial Nova Light" w:hAnsi="Arial Nova Light"/>
                </w:rPr>
                <w:t xml:space="preserve">HEA </w:t>
              </w:r>
              <w:r w:rsidR="00B01C86">
                <w:rPr>
                  <w:rStyle w:val="Hyperlink"/>
                  <w:rFonts w:ascii="Arial Nova Light" w:hAnsi="Arial Nova Light"/>
                </w:rPr>
                <w:t>115</w:t>
              </w:r>
              <w:r w:rsidR="00B01C86" w:rsidRPr="00472724">
                <w:rPr>
                  <w:rStyle w:val="Hyperlink"/>
                  <w:rFonts w:ascii="Arial Nova Light" w:hAnsi="Arial Nova Light"/>
                </w:rPr>
                <w:t>6</w:t>
              </w:r>
            </w:hyperlink>
          </w:p>
          <w:p w14:paraId="310690A7" w14:textId="1ACA2ACD" w:rsidR="00B01C86" w:rsidRPr="00472724" w:rsidRDefault="00B01C86" w:rsidP="00B01C86">
            <w:pPr>
              <w:jc w:val="center"/>
              <w:rPr>
                <w:rFonts w:ascii="Arial Nova Light" w:hAnsi="Arial Nova Light"/>
              </w:rPr>
            </w:pPr>
            <w:r w:rsidRPr="00FF6BD6">
              <w:rPr>
                <w:rFonts w:ascii="Arial Nova Light" w:hAnsi="Arial Nova Light"/>
              </w:rPr>
              <w:t>Prohibition on microchipping employees</w:t>
            </w:r>
          </w:p>
        </w:tc>
        <w:tc>
          <w:tcPr>
            <w:tcW w:w="6540" w:type="dxa"/>
            <w:shd w:val="clear" w:color="auto" w:fill="auto"/>
          </w:tcPr>
          <w:p w14:paraId="5D29A1F1" w14:textId="0EAEAC39" w:rsidR="00B01C86" w:rsidRPr="00472724" w:rsidRDefault="00FB39FB" w:rsidP="00B01C86">
            <w:pPr>
              <w:rPr>
                <w:rFonts w:ascii="Arial Nova Light" w:hAnsi="Arial Nova Light"/>
              </w:rPr>
            </w:pPr>
            <w:r>
              <w:rPr>
                <w:rFonts w:ascii="Arial Nova Light" w:hAnsi="Arial Nova Light"/>
              </w:rPr>
              <w:t>Clarifies</w:t>
            </w:r>
            <w:r w:rsidR="00B01C86" w:rsidRPr="00FF6BD6">
              <w:rPr>
                <w:rFonts w:ascii="Arial Nova Light" w:hAnsi="Arial Nova Light"/>
              </w:rPr>
              <w:t xml:space="preserve"> that the definition of an </w:t>
            </w:r>
            <w:r w:rsidR="00B01C86" w:rsidRPr="00851A48">
              <w:rPr>
                <w:rFonts w:ascii="Arial Nova Light" w:hAnsi="Arial Nova Light"/>
              </w:rPr>
              <w:t>"employer"</w:t>
            </w:r>
            <w:r w:rsidR="00B01C86" w:rsidRPr="00FF6BD6">
              <w:rPr>
                <w:rFonts w:ascii="Arial Nova Light" w:hAnsi="Arial Nova Light"/>
              </w:rPr>
              <w:t xml:space="preserve"> subject to the prohibition against requiring the implantation of devices includes the state or any individual, partnership, association, limited liability company, corporation, business trust, or other governmental entity or </w:t>
            </w:r>
            <w:r w:rsidR="00B01C86" w:rsidRPr="00851A48">
              <w:rPr>
                <w:rFonts w:ascii="Arial Nova Light" w:hAnsi="Arial Nova Light"/>
              </w:rPr>
              <w:t>political subdivision</w:t>
            </w:r>
            <w:r w:rsidR="00B01C86" w:rsidRPr="00FF6BD6">
              <w:rPr>
                <w:rFonts w:ascii="Arial Nova Light" w:hAnsi="Arial Nova Light"/>
              </w:rPr>
              <w:t xml:space="preserve"> that has one or more employees.</w:t>
            </w:r>
          </w:p>
        </w:tc>
        <w:tc>
          <w:tcPr>
            <w:tcW w:w="1463" w:type="dxa"/>
            <w:shd w:val="clear" w:color="auto" w:fill="auto"/>
          </w:tcPr>
          <w:p w14:paraId="19EC201C" w14:textId="0C9E6AE6" w:rsidR="00B01C86" w:rsidRPr="00472724" w:rsidRDefault="00FB39FB" w:rsidP="00B01C86">
            <w:pPr>
              <w:spacing w:after="0" w:line="240" w:lineRule="auto"/>
              <w:jc w:val="center"/>
              <w:rPr>
                <w:rFonts w:ascii="Arial Nova Light" w:hAnsi="Arial Nova Light"/>
              </w:rPr>
            </w:pPr>
            <w:r>
              <w:rPr>
                <w:rFonts w:ascii="Arial Nova Light" w:hAnsi="Arial Nova Light"/>
              </w:rPr>
              <w:t>July 1, 2021</w:t>
            </w:r>
          </w:p>
        </w:tc>
      </w:tr>
      <w:tr w:rsidR="00B01C86" w:rsidRPr="00472724" w14:paraId="6C31AC96" w14:textId="77777777" w:rsidTr="00734044">
        <w:tc>
          <w:tcPr>
            <w:tcW w:w="1735" w:type="dxa"/>
            <w:shd w:val="clear" w:color="auto" w:fill="auto"/>
          </w:tcPr>
          <w:p w14:paraId="461DC9D3" w14:textId="6C20E2D1" w:rsidR="00B01C86" w:rsidRPr="00472724" w:rsidRDefault="003C3FBE" w:rsidP="00B01C86">
            <w:pPr>
              <w:jc w:val="center"/>
              <w:rPr>
                <w:rFonts w:ascii="Arial Nova Light" w:hAnsi="Arial Nova Light"/>
              </w:rPr>
            </w:pPr>
            <w:hyperlink r:id="rId10" w:anchor="document-d7b5f2f7" w:history="1">
              <w:r w:rsidR="00B01C86" w:rsidRPr="00472724">
                <w:rPr>
                  <w:rStyle w:val="Hyperlink"/>
                  <w:rFonts w:ascii="Arial Nova Light" w:hAnsi="Arial Nova Light"/>
                </w:rPr>
                <w:t>HEA 1</w:t>
              </w:r>
              <w:r w:rsidR="00B01C86">
                <w:rPr>
                  <w:rStyle w:val="Hyperlink"/>
                  <w:rFonts w:ascii="Arial Nova Light" w:hAnsi="Arial Nova Light"/>
                </w:rPr>
                <w:t>27</w:t>
              </w:r>
              <w:r w:rsidR="00B01C86" w:rsidRPr="00472724">
                <w:rPr>
                  <w:rStyle w:val="Hyperlink"/>
                  <w:rFonts w:ascii="Arial Nova Light" w:hAnsi="Arial Nova Light"/>
                </w:rPr>
                <w:t>1</w:t>
              </w:r>
            </w:hyperlink>
          </w:p>
          <w:p w14:paraId="7FD47013" w14:textId="4C0A6CCD" w:rsidR="00B01C86" w:rsidRPr="00472724" w:rsidRDefault="00B01C86" w:rsidP="00B01C86">
            <w:pPr>
              <w:jc w:val="center"/>
              <w:rPr>
                <w:rFonts w:ascii="Arial Nova Light" w:hAnsi="Arial Nova Light"/>
              </w:rPr>
            </w:pPr>
            <w:r w:rsidRPr="00464C57">
              <w:rPr>
                <w:rFonts w:ascii="Arial Nova Light" w:hAnsi="Arial Nova Light"/>
              </w:rPr>
              <w:t>Department of local government finance</w:t>
            </w:r>
          </w:p>
        </w:tc>
        <w:tc>
          <w:tcPr>
            <w:tcW w:w="6540" w:type="dxa"/>
            <w:shd w:val="clear" w:color="auto" w:fill="auto"/>
          </w:tcPr>
          <w:p w14:paraId="31EBDD46" w14:textId="4B8B22D2" w:rsidR="00B01C86" w:rsidRDefault="00B01C86" w:rsidP="00B01C86">
            <w:pPr>
              <w:rPr>
                <w:rFonts w:ascii="Arial Nova Light" w:hAnsi="Arial Nova Light"/>
              </w:rPr>
            </w:pPr>
            <w:r w:rsidRPr="00464C57">
              <w:rPr>
                <w:rFonts w:ascii="Arial Nova Light" w:hAnsi="Arial Nova Light"/>
              </w:rPr>
              <w:t xml:space="preserve">Provides that the fiscal officer of a </w:t>
            </w:r>
            <w:r w:rsidRPr="00851A48">
              <w:rPr>
                <w:rFonts w:ascii="Arial Nova Light" w:hAnsi="Arial Nova Light"/>
              </w:rPr>
              <w:t>political subdivision</w:t>
            </w:r>
            <w:r w:rsidRPr="00464C57">
              <w:rPr>
                <w:rFonts w:ascii="Arial Nova Light" w:hAnsi="Arial Nova Light"/>
              </w:rPr>
              <w:t xml:space="preserve"> shall provide the DLGF with a report of any annexations that took place within the county during the preceding year. Provides that for certain actions taken by the DLGF on tax levies and budgets of a </w:t>
            </w:r>
            <w:r w:rsidRPr="00851A48">
              <w:rPr>
                <w:rFonts w:ascii="Arial Nova Light" w:hAnsi="Arial Nova Light"/>
              </w:rPr>
              <w:t>political subdivision</w:t>
            </w:r>
            <w:r w:rsidRPr="00464C57">
              <w:rPr>
                <w:rFonts w:ascii="Arial Nova Light" w:hAnsi="Arial Nova Light"/>
              </w:rPr>
              <w:t xml:space="preserve">, the DLGF shall certify its action. Provides that 25 taxpayers of a </w:t>
            </w:r>
            <w:r w:rsidRPr="00851A48">
              <w:rPr>
                <w:rFonts w:ascii="Arial Nova Light" w:hAnsi="Arial Nova Light"/>
              </w:rPr>
              <w:t>political subdivision</w:t>
            </w:r>
            <w:r w:rsidRPr="00464C57">
              <w:rPr>
                <w:rFonts w:ascii="Arial Nova Light" w:hAnsi="Arial Nova Light"/>
              </w:rPr>
              <w:t xml:space="preserve"> must sign a written request for certain public hearings on budgets, tax rates, or tax levies. Provides that a </w:t>
            </w:r>
            <w:r w:rsidRPr="00851A48">
              <w:rPr>
                <w:rFonts w:ascii="Arial Nova Light" w:hAnsi="Arial Nova Light"/>
              </w:rPr>
              <w:t>political subdivision</w:t>
            </w:r>
            <w:r w:rsidRPr="00464C57">
              <w:rPr>
                <w:rFonts w:ascii="Arial Nova Light" w:hAnsi="Arial Nova Light"/>
              </w:rPr>
              <w:t xml:space="preserve"> shall include an appropriation for bond proceeds in its budget for the ensuing year. </w:t>
            </w:r>
          </w:p>
          <w:p w14:paraId="1DA20D99" w14:textId="77777777" w:rsidR="00B01C86" w:rsidRDefault="00B01C86" w:rsidP="00B01C86">
            <w:pPr>
              <w:rPr>
                <w:rFonts w:ascii="Arial Nova Light" w:hAnsi="Arial Nova Light"/>
              </w:rPr>
            </w:pPr>
            <w:r w:rsidRPr="00464C57">
              <w:rPr>
                <w:rFonts w:ascii="Arial Nova Light" w:hAnsi="Arial Nova Light"/>
              </w:rPr>
              <w:t xml:space="preserve">Provides procedures for the Goshen </w:t>
            </w:r>
            <w:r w:rsidRPr="00851A48">
              <w:rPr>
                <w:rFonts w:ascii="Arial Nova Light" w:hAnsi="Arial Nova Light"/>
              </w:rPr>
              <w:t>public library.</w:t>
            </w:r>
            <w:r w:rsidRPr="00464C57">
              <w:rPr>
                <w:rFonts w:ascii="Arial Nova Light" w:hAnsi="Arial Nova Light"/>
              </w:rPr>
              <w:t xml:space="preserve"> </w:t>
            </w:r>
          </w:p>
          <w:p w14:paraId="6F349ACD" w14:textId="3F25DAAC" w:rsidR="00B01C86" w:rsidRDefault="00B01C86" w:rsidP="00B01C86">
            <w:pPr>
              <w:rPr>
                <w:rFonts w:ascii="Arial Nova Light" w:hAnsi="Arial Nova Light"/>
              </w:rPr>
            </w:pPr>
            <w:r w:rsidRPr="00464C57">
              <w:rPr>
                <w:rFonts w:ascii="Arial Nova Light" w:hAnsi="Arial Nova Light"/>
              </w:rPr>
              <w:t xml:space="preserve">Provides that a </w:t>
            </w:r>
            <w:r w:rsidRPr="00851A48">
              <w:rPr>
                <w:rFonts w:ascii="Arial Nova Light" w:hAnsi="Arial Nova Light"/>
              </w:rPr>
              <w:t>political subdivision</w:t>
            </w:r>
            <w:r w:rsidRPr="00464C57">
              <w:rPr>
                <w:rFonts w:ascii="Arial Nova Light" w:hAnsi="Arial Nova Light"/>
              </w:rPr>
              <w:t xml:space="preserve"> that decides to establish a cumulative fund must give notice in the form required by the DLGF.</w:t>
            </w:r>
            <w:r>
              <w:rPr>
                <w:rFonts w:ascii="Arial Nova Light" w:hAnsi="Arial Nova Light"/>
              </w:rPr>
              <w:t xml:space="preserve"> </w:t>
            </w:r>
            <w:r w:rsidRPr="00464C57">
              <w:rPr>
                <w:rFonts w:ascii="Arial Nova Light" w:hAnsi="Arial Nova Light"/>
              </w:rPr>
              <w:t xml:space="preserve">Provides that the DLGF is not required to hold a cumulative fund tax levy public hearing unless the petition expressly alleges that the </w:t>
            </w:r>
            <w:r w:rsidRPr="00851A48">
              <w:rPr>
                <w:rFonts w:ascii="Arial Nova Light" w:hAnsi="Arial Nova Light"/>
              </w:rPr>
              <w:t>political subdivision</w:t>
            </w:r>
            <w:r w:rsidRPr="00464C57">
              <w:rPr>
                <w:rFonts w:ascii="Arial Nova Light" w:hAnsi="Arial Nova Light"/>
              </w:rPr>
              <w:t xml:space="preserve"> failed to comply with certain procedural requirements. </w:t>
            </w:r>
          </w:p>
          <w:p w14:paraId="2288B47D" w14:textId="4458242A" w:rsidR="00B01C86" w:rsidRPr="00472724" w:rsidRDefault="00B01C86" w:rsidP="00B01C86">
            <w:pPr>
              <w:rPr>
                <w:rFonts w:ascii="Arial Nova Light" w:hAnsi="Arial Nova Light"/>
              </w:rPr>
            </w:pPr>
            <w:r w:rsidRPr="00464C57">
              <w:rPr>
                <w:rFonts w:ascii="Arial Nova Light" w:hAnsi="Arial Nova Light"/>
              </w:rPr>
              <w:t xml:space="preserve">Provides that after a </w:t>
            </w:r>
            <w:r w:rsidRPr="00851A48">
              <w:rPr>
                <w:rFonts w:ascii="Arial Nova Light" w:hAnsi="Arial Nova Light"/>
              </w:rPr>
              <w:t>political subdivision</w:t>
            </w:r>
            <w:r w:rsidRPr="00464C57">
              <w:rPr>
                <w:rFonts w:ascii="Arial Nova Light" w:hAnsi="Arial Nova Light"/>
              </w:rPr>
              <w:t xml:space="preserve"> complies with the cumulative fund tax levy procedural rules, a property tax may be levied annually at the rate adopted by the political subdivision and certified by the DLGF. Extends the sunset date for provisions that </w:t>
            </w:r>
            <w:r w:rsidRPr="00464C57">
              <w:rPr>
                <w:rFonts w:ascii="Arial Nova Light" w:hAnsi="Arial Nova Light"/>
              </w:rPr>
              <w:lastRenderedPageBreak/>
              <w:t xml:space="preserve">permit certain </w:t>
            </w:r>
            <w:r w:rsidRPr="00851A48">
              <w:rPr>
                <w:rFonts w:ascii="Arial Nova Light" w:hAnsi="Arial Nova Light"/>
              </w:rPr>
              <w:t>political subdivisions</w:t>
            </w:r>
            <w:r w:rsidRPr="00464C57">
              <w:rPr>
                <w:rFonts w:ascii="Arial Nova Light" w:hAnsi="Arial Nova Light"/>
              </w:rPr>
              <w:t xml:space="preserve"> to sell bonds at a negotiated sale from July 1, 2021, to July 1, 2023, and includes all counties, townships, cities, towns, and school corporations under those provisions. Increases the amount that a </w:t>
            </w:r>
            <w:r w:rsidRPr="00851A48">
              <w:rPr>
                <w:rFonts w:ascii="Arial Nova Light" w:hAnsi="Arial Nova Light"/>
              </w:rPr>
              <w:t>political subdivision</w:t>
            </w:r>
            <w:r w:rsidRPr="00464C57">
              <w:rPr>
                <w:rFonts w:ascii="Arial Nova Light" w:hAnsi="Arial Nova Light"/>
              </w:rPr>
              <w:t xml:space="preserve"> may transfer into its rainy day fund from 10% to 15% during calendar years 2021 through 2024. </w:t>
            </w:r>
          </w:p>
        </w:tc>
        <w:tc>
          <w:tcPr>
            <w:tcW w:w="1463" w:type="dxa"/>
            <w:shd w:val="clear" w:color="auto" w:fill="auto"/>
          </w:tcPr>
          <w:p w14:paraId="099BA53A" w14:textId="031FF9F4" w:rsidR="00B01C86" w:rsidRPr="00472724" w:rsidRDefault="00BE1428" w:rsidP="00B01C86">
            <w:pPr>
              <w:spacing w:after="0" w:line="240" w:lineRule="auto"/>
              <w:jc w:val="center"/>
              <w:rPr>
                <w:rFonts w:ascii="Arial Nova Light" w:hAnsi="Arial Nova Light"/>
              </w:rPr>
            </w:pPr>
            <w:r>
              <w:rPr>
                <w:rFonts w:ascii="Arial Nova Light" w:hAnsi="Arial Nova Light"/>
              </w:rPr>
              <w:lastRenderedPageBreak/>
              <w:t>July 1, 2021</w:t>
            </w:r>
          </w:p>
          <w:p w14:paraId="331E5193" w14:textId="77777777" w:rsidR="00B01C86" w:rsidRPr="00472724" w:rsidRDefault="00B01C86" w:rsidP="00B01C86">
            <w:pPr>
              <w:spacing w:after="0" w:line="240" w:lineRule="auto"/>
              <w:jc w:val="center"/>
              <w:rPr>
                <w:rFonts w:ascii="Arial Nova Light" w:hAnsi="Arial Nova Light"/>
              </w:rPr>
            </w:pPr>
          </w:p>
          <w:p w14:paraId="2D2C5463" w14:textId="77777777" w:rsidR="00B01C86" w:rsidRPr="00472724" w:rsidRDefault="00B01C86" w:rsidP="00B01C86">
            <w:pPr>
              <w:spacing w:after="0" w:line="240" w:lineRule="auto"/>
              <w:jc w:val="center"/>
              <w:rPr>
                <w:rFonts w:ascii="Arial Nova Light" w:hAnsi="Arial Nova Light"/>
              </w:rPr>
            </w:pPr>
          </w:p>
          <w:p w14:paraId="18AE2798" w14:textId="77777777" w:rsidR="00B01C86" w:rsidRPr="00472724" w:rsidRDefault="00B01C86" w:rsidP="00B01C86">
            <w:pPr>
              <w:spacing w:after="0" w:line="240" w:lineRule="auto"/>
              <w:jc w:val="center"/>
              <w:rPr>
                <w:rFonts w:ascii="Arial Nova Light" w:hAnsi="Arial Nova Light"/>
              </w:rPr>
            </w:pPr>
            <w:r w:rsidRPr="00472724">
              <w:rPr>
                <w:rFonts w:ascii="Arial Nova Light" w:hAnsi="Arial Nova Light"/>
              </w:rPr>
              <w:t xml:space="preserve"> </w:t>
            </w:r>
          </w:p>
        </w:tc>
      </w:tr>
      <w:tr w:rsidR="00B01C86" w:rsidRPr="00472724" w14:paraId="6F86FED1" w14:textId="77777777" w:rsidTr="00734044">
        <w:tc>
          <w:tcPr>
            <w:tcW w:w="1735" w:type="dxa"/>
            <w:shd w:val="clear" w:color="auto" w:fill="auto"/>
          </w:tcPr>
          <w:p w14:paraId="2C9E1244" w14:textId="5A720429" w:rsidR="00B01C86" w:rsidRPr="00A3107B" w:rsidRDefault="00B01C86" w:rsidP="00B01C86">
            <w:pPr>
              <w:jc w:val="center"/>
              <w:rPr>
                <w:rStyle w:val="Hyperlink"/>
                <w:rFonts w:ascii="Arial Nova Light" w:hAnsi="Arial Nova Light"/>
              </w:rPr>
            </w:pPr>
            <w:r>
              <w:rPr>
                <w:rFonts w:ascii="Arial Nova Light" w:hAnsi="Arial Nova Light"/>
              </w:rPr>
              <w:fldChar w:fldCharType="begin"/>
            </w:r>
            <w:r>
              <w:rPr>
                <w:rFonts w:ascii="Arial Nova Light" w:hAnsi="Arial Nova Light"/>
              </w:rPr>
              <w:instrText xml:space="preserve"> HYPERLINK "http://iga.in.gov/legislative/2021/bills/senate/187" \l "document-aa533875" </w:instrText>
            </w:r>
            <w:r>
              <w:rPr>
                <w:rFonts w:ascii="Arial Nova Light" w:hAnsi="Arial Nova Light"/>
              </w:rPr>
              <w:fldChar w:fldCharType="separate"/>
            </w:r>
            <w:r w:rsidRPr="00A3107B">
              <w:rPr>
                <w:rStyle w:val="Hyperlink"/>
                <w:rFonts w:ascii="Arial Nova Light" w:hAnsi="Arial Nova Light"/>
              </w:rPr>
              <w:t>SEA 187</w:t>
            </w:r>
          </w:p>
          <w:p w14:paraId="472F7286" w14:textId="7615BAB0" w:rsidR="00B01C86" w:rsidRPr="00472724" w:rsidRDefault="00B01C86" w:rsidP="00B01C86">
            <w:pPr>
              <w:jc w:val="center"/>
              <w:rPr>
                <w:rFonts w:ascii="Arial Nova Light" w:hAnsi="Arial Nova Light"/>
              </w:rPr>
            </w:pPr>
            <w:r>
              <w:rPr>
                <w:rFonts w:ascii="Arial Nova Light" w:hAnsi="Arial Nova Light"/>
              </w:rPr>
              <w:fldChar w:fldCharType="end"/>
            </w:r>
            <w:r w:rsidRPr="00A3107B">
              <w:rPr>
                <w:rFonts w:ascii="Arial Nova Light" w:hAnsi="Arial Nova Light"/>
              </w:rPr>
              <w:t xml:space="preserve"> Protection of monuments, memorials, and statues</w:t>
            </w:r>
          </w:p>
        </w:tc>
        <w:tc>
          <w:tcPr>
            <w:tcW w:w="6540" w:type="dxa"/>
            <w:shd w:val="clear" w:color="auto" w:fill="auto"/>
          </w:tcPr>
          <w:p w14:paraId="54B002A6" w14:textId="6302805C" w:rsidR="00B01C86" w:rsidRPr="00472724" w:rsidRDefault="00B01C86" w:rsidP="00B01C86">
            <w:pPr>
              <w:rPr>
                <w:rFonts w:ascii="Arial Nova Light" w:hAnsi="Arial Nova Light"/>
              </w:rPr>
            </w:pPr>
            <w:r w:rsidRPr="00A3107B">
              <w:rPr>
                <w:rFonts w:ascii="Arial Nova Light" w:hAnsi="Arial Nova Light"/>
              </w:rPr>
              <w:t xml:space="preserve">Requires the state police department to prioritize the investigation and prosecution of persons who destroy, damage, vandalize, or desecrate a monument, memorial, or statue. Provides that a state agency may provide discretionary funding to a </w:t>
            </w:r>
            <w:r w:rsidRPr="00851A48">
              <w:rPr>
                <w:rFonts w:ascii="Arial Nova Light" w:hAnsi="Arial Nova Light"/>
              </w:rPr>
              <w:t>political subdivision</w:t>
            </w:r>
            <w:r w:rsidRPr="00A3107B">
              <w:rPr>
                <w:rFonts w:ascii="Arial Nova Light" w:hAnsi="Arial Nova Light"/>
              </w:rPr>
              <w:t xml:space="preserve"> for a respective grant program after considering whether the political subdivision has taken all appropriate enforcement actions to protect public monuments, memorials, and statues from destruction or vandalism. </w:t>
            </w:r>
          </w:p>
        </w:tc>
        <w:tc>
          <w:tcPr>
            <w:tcW w:w="1463" w:type="dxa"/>
            <w:shd w:val="clear" w:color="auto" w:fill="auto"/>
          </w:tcPr>
          <w:p w14:paraId="17C266AC" w14:textId="0A8F144A" w:rsidR="00B01C86" w:rsidRPr="00472724" w:rsidRDefault="00B7745C" w:rsidP="00B01C86">
            <w:pPr>
              <w:spacing w:after="0" w:line="240" w:lineRule="auto"/>
              <w:jc w:val="center"/>
              <w:rPr>
                <w:rFonts w:ascii="Arial Nova Light" w:hAnsi="Arial Nova Light"/>
              </w:rPr>
            </w:pPr>
            <w:r>
              <w:rPr>
                <w:rFonts w:ascii="Arial Nova Light" w:hAnsi="Arial Nova Light"/>
              </w:rPr>
              <w:t>July 1, 2021</w:t>
            </w:r>
          </w:p>
          <w:p w14:paraId="17E983FE" w14:textId="77777777" w:rsidR="00B01C86" w:rsidRPr="00472724" w:rsidRDefault="00B01C86" w:rsidP="00B01C86">
            <w:pPr>
              <w:spacing w:after="0" w:line="240" w:lineRule="auto"/>
              <w:jc w:val="center"/>
              <w:rPr>
                <w:rFonts w:ascii="Arial Nova Light" w:hAnsi="Arial Nova Light"/>
              </w:rPr>
            </w:pPr>
          </w:p>
          <w:p w14:paraId="747960E4" w14:textId="77777777" w:rsidR="00B01C86" w:rsidRPr="00472724" w:rsidRDefault="00B01C86" w:rsidP="00B01C86">
            <w:pPr>
              <w:spacing w:after="0" w:line="240" w:lineRule="auto"/>
              <w:rPr>
                <w:rFonts w:ascii="Arial Nova Light" w:hAnsi="Arial Nova Light"/>
              </w:rPr>
            </w:pPr>
          </w:p>
        </w:tc>
      </w:tr>
      <w:tr w:rsidR="00B01C86" w:rsidRPr="00472724" w14:paraId="59C6D02D" w14:textId="77777777" w:rsidTr="00734044">
        <w:tc>
          <w:tcPr>
            <w:tcW w:w="1735" w:type="dxa"/>
            <w:shd w:val="clear" w:color="auto" w:fill="auto"/>
          </w:tcPr>
          <w:p w14:paraId="2DF463E0" w14:textId="77777777" w:rsidR="00B01C86" w:rsidRDefault="003C3FBE" w:rsidP="00B01C86">
            <w:pPr>
              <w:jc w:val="center"/>
              <w:rPr>
                <w:rFonts w:ascii="Arial Nova Light" w:hAnsi="Arial Nova Light"/>
              </w:rPr>
            </w:pPr>
            <w:hyperlink r:id="rId11" w:anchor="document-6e852013" w:history="1">
              <w:r w:rsidR="00B01C86">
                <w:rPr>
                  <w:rStyle w:val="Hyperlink"/>
                  <w:rFonts w:ascii="Arial Nova Light" w:hAnsi="Arial Nova Light"/>
                </w:rPr>
                <w:t>SEA 263</w:t>
              </w:r>
            </w:hyperlink>
          </w:p>
          <w:p w14:paraId="6FED4314" w14:textId="595A19D4" w:rsidR="00B01C86" w:rsidRPr="00472724" w:rsidRDefault="00B01C86" w:rsidP="00B01C86">
            <w:pPr>
              <w:jc w:val="center"/>
              <w:rPr>
                <w:rFonts w:ascii="Arial Nova Light" w:hAnsi="Arial Nova Light"/>
              </w:rPr>
            </w:pPr>
            <w:r w:rsidRPr="00D1501A">
              <w:rPr>
                <w:rFonts w:ascii="Arial Nova Light" w:hAnsi="Arial Nova Light"/>
              </w:rPr>
              <w:t>Religious activities as essential services</w:t>
            </w:r>
          </w:p>
        </w:tc>
        <w:tc>
          <w:tcPr>
            <w:tcW w:w="6540" w:type="dxa"/>
            <w:shd w:val="clear" w:color="auto" w:fill="auto"/>
          </w:tcPr>
          <w:p w14:paraId="7C334D8C" w14:textId="64AD4D38" w:rsidR="00B01C86" w:rsidRPr="00472724" w:rsidRDefault="00B01C86" w:rsidP="00B01C86">
            <w:pPr>
              <w:rPr>
                <w:rFonts w:ascii="Arial Nova Light" w:hAnsi="Arial Nova Light"/>
              </w:rPr>
            </w:pPr>
            <w:r w:rsidRPr="00D1501A">
              <w:rPr>
                <w:rFonts w:ascii="Arial Nova Light" w:hAnsi="Arial Nova Light"/>
              </w:rPr>
              <w:t xml:space="preserve">Prohibits the state and a </w:t>
            </w:r>
            <w:r w:rsidRPr="0066381E">
              <w:rPr>
                <w:rFonts w:ascii="Arial Nova Light" w:hAnsi="Arial Nova Light"/>
              </w:rPr>
              <w:t>political subdivision</w:t>
            </w:r>
            <w:r w:rsidRPr="00D1501A">
              <w:rPr>
                <w:rFonts w:ascii="Arial Nova Light" w:hAnsi="Arial Nova Light"/>
              </w:rPr>
              <w:t xml:space="preserve"> from imposing restrictions on a religious organization that are more restrictive than the restrictions imposed upon other businesses and organizations that provide essential services to the public. </w:t>
            </w:r>
          </w:p>
        </w:tc>
        <w:tc>
          <w:tcPr>
            <w:tcW w:w="1463" w:type="dxa"/>
            <w:shd w:val="clear" w:color="auto" w:fill="auto"/>
          </w:tcPr>
          <w:p w14:paraId="5732FAA7" w14:textId="5C731A3E" w:rsidR="00B01C86" w:rsidRPr="00472724" w:rsidRDefault="00610965" w:rsidP="00B01C86">
            <w:pPr>
              <w:spacing w:after="0" w:line="240" w:lineRule="auto"/>
              <w:jc w:val="center"/>
              <w:rPr>
                <w:rFonts w:ascii="Arial Nova Light" w:hAnsi="Arial Nova Light"/>
              </w:rPr>
            </w:pPr>
            <w:r>
              <w:rPr>
                <w:rFonts w:ascii="Arial Nova Light" w:hAnsi="Arial Nova Light"/>
              </w:rPr>
              <w:t>July 1, 2021</w:t>
            </w:r>
          </w:p>
        </w:tc>
      </w:tr>
      <w:tr w:rsidR="00B01C86" w:rsidRPr="00472724" w14:paraId="5F6B7EF4" w14:textId="77777777" w:rsidTr="00734044">
        <w:tc>
          <w:tcPr>
            <w:tcW w:w="1735" w:type="dxa"/>
            <w:shd w:val="clear" w:color="auto" w:fill="auto"/>
          </w:tcPr>
          <w:p w14:paraId="207BDDE7" w14:textId="77777777" w:rsidR="00B01C86" w:rsidRDefault="003C3FBE" w:rsidP="00B01C86">
            <w:pPr>
              <w:jc w:val="center"/>
              <w:rPr>
                <w:rFonts w:ascii="Arial Nova Light" w:hAnsi="Arial Nova Light"/>
              </w:rPr>
            </w:pPr>
            <w:hyperlink r:id="rId12" w:anchor="document-c939fb7b" w:history="1">
              <w:r w:rsidR="00B01C86">
                <w:rPr>
                  <w:rStyle w:val="Hyperlink"/>
                  <w:rFonts w:ascii="Arial Nova Light" w:hAnsi="Arial Nova Light"/>
                </w:rPr>
                <w:t>HEA 1309</w:t>
              </w:r>
            </w:hyperlink>
          </w:p>
          <w:p w14:paraId="3B2D43B0" w14:textId="000CB664" w:rsidR="00B01C86" w:rsidRPr="00472724" w:rsidRDefault="00B01C86" w:rsidP="00B01C86">
            <w:pPr>
              <w:jc w:val="center"/>
              <w:rPr>
                <w:rFonts w:ascii="Arial Nova Light" w:hAnsi="Arial Nova Light"/>
              </w:rPr>
            </w:pPr>
            <w:r w:rsidRPr="00EE2967">
              <w:rPr>
                <w:rFonts w:ascii="Arial Nova Light" w:hAnsi="Arial Nova Light"/>
              </w:rPr>
              <w:t>Pregnancy accommodation</w:t>
            </w:r>
          </w:p>
        </w:tc>
        <w:tc>
          <w:tcPr>
            <w:tcW w:w="6540" w:type="dxa"/>
            <w:shd w:val="clear" w:color="auto" w:fill="auto"/>
          </w:tcPr>
          <w:p w14:paraId="1CF65258" w14:textId="57FC0063" w:rsidR="00B01C86" w:rsidRDefault="00977E93" w:rsidP="00B01C86">
            <w:pPr>
              <w:rPr>
                <w:rFonts w:ascii="Arial Nova Light" w:hAnsi="Arial Nova Light"/>
              </w:rPr>
            </w:pPr>
            <w:r>
              <w:rPr>
                <w:rFonts w:ascii="Arial Nova Light" w:hAnsi="Arial Nova Light"/>
              </w:rPr>
              <w:t xml:space="preserve">Applies to employers with 15 employees or more. </w:t>
            </w:r>
            <w:r w:rsidR="00B01C86" w:rsidRPr="00EE2967">
              <w:rPr>
                <w:rFonts w:ascii="Arial Nova Light" w:hAnsi="Arial Nova Light"/>
              </w:rPr>
              <w:t xml:space="preserve">Allows an employee to request an accommodation for the employee's pregnancy. Requires an </w:t>
            </w:r>
            <w:r w:rsidR="00B01C86" w:rsidRPr="005164FD">
              <w:rPr>
                <w:rFonts w:ascii="Arial Nova Light" w:hAnsi="Arial Nova Light"/>
              </w:rPr>
              <w:t>employer</w:t>
            </w:r>
            <w:r w:rsidR="00B01C86" w:rsidRPr="00EE2967">
              <w:rPr>
                <w:rFonts w:ascii="Arial Nova Light" w:hAnsi="Arial Nova Light"/>
              </w:rPr>
              <w:t xml:space="preserve"> to respond to an employee's request for an accommodation within a reasonable time frame. </w:t>
            </w:r>
          </w:p>
          <w:p w14:paraId="107B47D9" w14:textId="77777777" w:rsidR="00B01C86" w:rsidRDefault="00B01C86" w:rsidP="00B01C86">
            <w:pPr>
              <w:rPr>
                <w:rFonts w:ascii="Arial Nova Light" w:hAnsi="Arial Nova Light"/>
              </w:rPr>
            </w:pPr>
            <w:r w:rsidRPr="00EE2967">
              <w:rPr>
                <w:rFonts w:ascii="Arial Nova Light" w:hAnsi="Arial Nova Light"/>
              </w:rPr>
              <w:t xml:space="preserve">Provides that a request for accommodation does not require an </w:t>
            </w:r>
            <w:r w:rsidRPr="005164FD">
              <w:rPr>
                <w:rFonts w:ascii="Arial Nova Light" w:hAnsi="Arial Nova Light"/>
              </w:rPr>
              <w:t>employer</w:t>
            </w:r>
            <w:r w:rsidRPr="00EE2967">
              <w:rPr>
                <w:rFonts w:ascii="Arial Nova Light" w:hAnsi="Arial Nova Light"/>
              </w:rPr>
              <w:t xml:space="preserve"> to provide an accommodation for an employee's pregnancy, or impose a duty or obligation upon the employer to provide an accommodation or an exception to the employer's policies unless existing federal or state laws require that an accommodation must be made. </w:t>
            </w:r>
          </w:p>
          <w:p w14:paraId="528A7BA5" w14:textId="30C1A8F3" w:rsidR="00B01C86" w:rsidRPr="00472724" w:rsidRDefault="00B01C86" w:rsidP="00B01C86">
            <w:pPr>
              <w:rPr>
                <w:rFonts w:ascii="Arial Nova Light" w:hAnsi="Arial Nova Light"/>
              </w:rPr>
            </w:pPr>
            <w:r w:rsidRPr="00EE2967">
              <w:rPr>
                <w:rFonts w:ascii="Arial Nova Light" w:hAnsi="Arial Nova Light"/>
              </w:rPr>
              <w:t xml:space="preserve">Prohibits an </w:t>
            </w:r>
            <w:r w:rsidRPr="005164FD">
              <w:rPr>
                <w:rFonts w:ascii="Arial Nova Light" w:hAnsi="Arial Nova Light"/>
              </w:rPr>
              <w:t>employer</w:t>
            </w:r>
            <w:r w:rsidRPr="00EE2967">
              <w:rPr>
                <w:rFonts w:ascii="Arial Nova Light" w:hAnsi="Arial Nova Light"/>
              </w:rPr>
              <w:t xml:space="preserve"> from disciplining, terminating, or retaliating against an employee because the employee has requested or used an accommodation for the employee's pregnancy.</w:t>
            </w:r>
          </w:p>
        </w:tc>
        <w:tc>
          <w:tcPr>
            <w:tcW w:w="1463" w:type="dxa"/>
            <w:shd w:val="clear" w:color="auto" w:fill="auto"/>
          </w:tcPr>
          <w:p w14:paraId="25B65870" w14:textId="60CA5E6D" w:rsidR="00B01C86" w:rsidRPr="00472724" w:rsidRDefault="000A24EC" w:rsidP="00B01C86">
            <w:pPr>
              <w:spacing w:after="0" w:line="240" w:lineRule="auto"/>
              <w:jc w:val="center"/>
              <w:rPr>
                <w:rFonts w:ascii="Arial Nova Light" w:hAnsi="Arial Nova Light"/>
              </w:rPr>
            </w:pPr>
            <w:r>
              <w:rPr>
                <w:rFonts w:ascii="Arial Nova Light" w:hAnsi="Arial Nova Light"/>
              </w:rPr>
              <w:t>July 1, 2021</w:t>
            </w:r>
          </w:p>
        </w:tc>
      </w:tr>
      <w:tr w:rsidR="00B01C86" w:rsidRPr="00472724" w14:paraId="6E28ABCF" w14:textId="77777777" w:rsidTr="00734044">
        <w:tc>
          <w:tcPr>
            <w:tcW w:w="1735" w:type="dxa"/>
            <w:shd w:val="clear" w:color="auto" w:fill="auto"/>
          </w:tcPr>
          <w:p w14:paraId="3D305C9B" w14:textId="726E1271" w:rsidR="00B01C86" w:rsidRPr="00EE2967" w:rsidRDefault="00B01C86" w:rsidP="00B01C86">
            <w:pPr>
              <w:jc w:val="center"/>
              <w:rPr>
                <w:rStyle w:val="Hyperlink"/>
                <w:rFonts w:ascii="Arial Nova Light" w:hAnsi="Arial Nova Light"/>
              </w:rPr>
            </w:pPr>
            <w:r>
              <w:rPr>
                <w:rFonts w:ascii="Arial Nova Light" w:hAnsi="Arial Nova Light"/>
              </w:rPr>
              <w:fldChar w:fldCharType="begin"/>
            </w:r>
            <w:r>
              <w:rPr>
                <w:rFonts w:ascii="Arial Nova Light" w:hAnsi="Arial Nova Light"/>
              </w:rPr>
              <w:instrText xml:space="preserve"> HYPERLINK "http://iga.in.gov/legislative/2021/bills/house/1437" \l "digest-heading" </w:instrText>
            </w:r>
            <w:r>
              <w:rPr>
                <w:rFonts w:ascii="Arial Nova Light" w:hAnsi="Arial Nova Light"/>
              </w:rPr>
              <w:fldChar w:fldCharType="separate"/>
            </w:r>
            <w:r w:rsidRPr="00EE2967">
              <w:rPr>
                <w:rStyle w:val="Hyperlink"/>
                <w:rFonts w:ascii="Arial Nova Light" w:hAnsi="Arial Nova Light"/>
              </w:rPr>
              <w:t>HEA 1</w:t>
            </w:r>
            <w:r>
              <w:rPr>
                <w:rStyle w:val="Hyperlink"/>
                <w:rFonts w:ascii="Arial Nova Light" w:hAnsi="Arial Nova Light"/>
              </w:rPr>
              <w:t>437</w:t>
            </w:r>
          </w:p>
          <w:p w14:paraId="7FA611F5" w14:textId="78A20383" w:rsidR="00B01C86" w:rsidRPr="00472724" w:rsidRDefault="00B01C86" w:rsidP="00B01C86">
            <w:pPr>
              <w:jc w:val="center"/>
              <w:rPr>
                <w:rFonts w:ascii="Arial Nova Light" w:hAnsi="Arial Nova Light"/>
              </w:rPr>
            </w:pPr>
            <w:r>
              <w:rPr>
                <w:rFonts w:ascii="Arial Nova Light" w:hAnsi="Arial Nova Light"/>
              </w:rPr>
              <w:fldChar w:fldCharType="end"/>
            </w:r>
            <w:r w:rsidRPr="00EE2967">
              <w:rPr>
                <w:rFonts w:ascii="Arial Nova Light" w:hAnsi="Arial Nova Light"/>
              </w:rPr>
              <w:t>Electronic meetings and signatures.</w:t>
            </w:r>
          </w:p>
        </w:tc>
        <w:tc>
          <w:tcPr>
            <w:tcW w:w="6540" w:type="dxa"/>
            <w:shd w:val="clear" w:color="auto" w:fill="auto"/>
          </w:tcPr>
          <w:p w14:paraId="63D1D52B" w14:textId="282B4C75" w:rsidR="00B01C86" w:rsidRDefault="00B01C86" w:rsidP="00B01C86">
            <w:pPr>
              <w:rPr>
                <w:rFonts w:ascii="Arial Nova Light" w:hAnsi="Arial Nova Light"/>
              </w:rPr>
            </w:pPr>
            <w:r w:rsidRPr="00EE2967">
              <w:rPr>
                <w:rFonts w:ascii="Arial Nova Light" w:hAnsi="Arial Nova Light"/>
              </w:rPr>
              <w:t xml:space="preserve">Allows a member of a governing body of a </w:t>
            </w:r>
            <w:r w:rsidRPr="006777E3">
              <w:rPr>
                <w:rFonts w:ascii="Arial Nova Light" w:hAnsi="Arial Nova Light"/>
              </w:rPr>
              <w:t>political subdivision</w:t>
            </w:r>
            <w:r w:rsidRPr="00EE2967">
              <w:rPr>
                <w:rFonts w:ascii="Arial Nova Light" w:hAnsi="Arial Nova Light"/>
              </w:rPr>
              <w:t xml:space="preserve"> to participate in a meeting electronically subject to </w:t>
            </w:r>
            <w:r>
              <w:rPr>
                <w:rFonts w:ascii="Arial Nova Light" w:hAnsi="Arial Nova Light"/>
              </w:rPr>
              <w:t>conditions.</w:t>
            </w:r>
            <w:r w:rsidR="006777E3">
              <w:rPr>
                <w:rFonts w:ascii="Arial Nova Light" w:hAnsi="Arial Nova Light"/>
              </w:rPr>
              <w:t xml:space="preserve"> (see separate memo on HEA 1437</w:t>
            </w:r>
            <w:r w:rsidR="005B3AD5">
              <w:rPr>
                <w:rFonts w:ascii="Arial Nova Light" w:hAnsi="Arial Nova Light"/>
              </w:rPr>
              <w:t>)</w:t>
            </w:r>
          </w:p>
          <w:p w14:paraId="37009324" w14:textId="77777777" w:rsidR="00B01C86" w:rsidRDefault="00B01C86" w:rsidP="00B01C86">
            <w:pPr>
              <w:rPr>
                <w:rFonts w:ascii="Arial Nova Light" w:hAnsi="Arial Nova Light"/>
              </w:rPr>
            </w:pPr>
            <w:r w:rsidRPr="00EE2967">
              <w:rPr>
                <w:rFonts w:ascii="Arial Nova Light" w:hAnsi="Arial Nova Light"/>
              </w:rPr>
              <w:t xml:space="preserve">Adds provisions applicable to state and local public agencies when a state or local disaster emergency is declared. </w:t>
            </w:r>
          </w:p>
          <w:p w14:paraId="210BDA65" w14:textId="2BE2CDDE" w:rsidR="002B10EE" w:rsidRPr="00EE2967" w:rsidRDefault="002B10EE" w:rsidP="00B01C86">
            <w:pPr>
              <w:rPr>
                <w:rFonts w:ascii="Arial Nova Light" w:hAnsi="Arial Nova Light"/>
              </w:rPr>
            </w:pPr>
          </w:p>
        </w:tc>
        <w:tc>
          <w:tcPr>
            <w:tcW w:w="1463" w:type="dxa"/>
            <w:shd w:val="clear" w:color="auto" w:fill="auto"/>
          </w:tcPr>
          <w:p w14:paraId="5EC607DE" w14:textId="74975C41" w:rsidR="00B01C86" w:rsidRPr="00472724" w:rsidRDefault="00C76EFF" w:rsidP="00B01C86">
            <w:pPr>
              <w:spacing w:after="0" w:line="240" w:lineRule="auto"/>
              <w:jc w:val="center"/>
              <w:rPr>
                <w:rFonts w:ascii="Arial Nova Light" w:hAnsi="Arial Nova Light"/>
              </w:rPr>
            </w:pPr>
            <w:r>
              <w:rPr>
                <w:rFonts w:ascii="Arial Nova Light" w:hAnsi="Arial Nova Light"/>
              </w:rPr>
              <w:t xml:space="preserve">Effective </w:t>
            </w:r>
            <w:r w:rsidR="00A23B7C">
              <w:rPr>
                <w:rFonts w:ascii="Arial Nova Light" w:hAnsi="Arial Nova Light"/>
              </w:rPr>
              <w:t>u</w:t>
            </w:r>
            <w:r>
              <w:rPr>
                <w:rFonts w:ascii="Arial Nova Light" w:hAnsi="Arial Nova Light"/>
              </w:rPr>
              <w:t xml:space="preserve">pon </w:t>
            </w:r>
            <w:r w:rsidR="00A23B7C">
              <w:rPr>
                <w:rFonts w:ascii="Arial Nova Light" w:hAnsi="Arial Nova Light"/>
              </w:rPr>
              <w:t>p</w:t>
            </w:r>
            <w:r w:rsidR="00B6325F">
              <w:rPr>
                <w:rFonts w:ascii="Arial Nova Light" w:hAnsi="Arial Nova Light"/>
              </w:rPr>
              <w:t>assage</w:t>
            </w:r>
          </w:p>
        </w:tc>
      </w:tr>
      <w:tr w:rsidR="00B01C86" w:rsidRPr="00472724" w14:paraId="125FDB43" w14:textId="77777777" w:rsidTr="00734044">
        <w:tc>
          <w:tcPr>
            <w:tcW w:w="1735" w:type="dxa"/>
            <w:shd w:val="clear" w:color="auto" w:fill="auto"/>
          </w:tcPr>
          <w:p w14:paraId="2B84F300" w14:textId="73EB5C0D" w:rsidR="00B01C86" w:rsidRDefault="003C3FBE" w:rsidP="00B01C86">
            <w:pPr>
              <w:jc w:val="center"/>
              <w:rPr>
                <w:rFonts w:ascii="Arial Nova Light" w:hAnsi="Arial Nova Light"/>
              </w:rPr>
            </w:pPr>
            <w:hyperlink r:id="rId13" w:anchor="digest-heading" w:history="1">
              <w:r w:rsidR="00B01C86" w:rsidRPr="00CF6623">
                <w:rPr>
                  <w:rStyle w:val="Hyperlink"/>
                  <w:rFonts w:ascii="Arial Nova Light" w:hAnsi="Arial Nova Light"/>
                </w:rPr>
                <w:t>HEA 1449</w:t>
              </w:r>
            </w:hyperlink>
          </w:p>
          <w:p w14:paraId="4D987714" w14:textId="6130E318" w:rsidR="00B01C86" w:rsidRPr="00472724" w:rsidRDefault="00B01C86" w:rsidP="00B01C86">
            <w:pPr>
              <w:jc w:val="center"/>
              <w:rPr>
                <w:rFonts w:ascii="Arial Nova Light" w:hAnsi="Arial Nova Light"/>
              </w:rPr>
            </w:pPr>
            <w:r w:rsidRPr="00CF6623">
              <w:rPr>
                <w:rFonts w:ascii="Arial Nova Light" w:hAnsi="Arial Nova Light"/>
              </w:rPr>
              <w:t>Broadband development</w:t>
            </w:r>
          </w:p>
        </w:tc>
        <w:tc>
          <w:tcPr>
            <w:tcW w:w="6540" w:type="dxa"/>
            <w:shd w:val="clear" w:color="auto" w:fill="auto"/>
          </w:tcPr>
          <w:p w14:paraId="6D1D1407" w14:textId="391B2395" w:rsidR="00B01C86" w:rsidRPr="00CF6623" w:rsidRDefault="00B01C86" w:rsidP="00B01C86">
            <w:pPr>
              <w:rPr>
                <w:rFonts w:ascii="Arial Nova Light" w:hAnsi="Arial Nova Light"/>
              </w:rPr>
            </w:pPr>
            <w:r>
              <w:rPr>
                <w:rFonts w:ascii="Arial Nova Light" w:hAnsi="Arial Nova Light"/>
              </w:rPr>
              <w:t xml:space="preserve">State program to expand broadband access encourages collaboration with </w:t>
            </w:r>
            <w:r w:rsidRPr="002B10EE">
              <w:rPr>
                <w:rFonts w:ascii="Arial Nova Light" w:hAnsi="Arial Nova Light"/>
              </w:rPr>
              <w:t>political subdivisions</w:t>
            </w:r>
            <w:r>
              <w:rPr>
                <w:rFonts w:ascii="Arial Nova Light" w:hAnsi="Arial Nova Light"/>
              </w:rPr>
              <w:t xml:space="preserve">. </w:t>
            </w:r>
          </w:p>
        </w:tc>
        <w:tc>
          <w:tcPr>
            <w:tcW w:w="1463" w:type="dxa"/>
            <w:shd w:val="clear" w:color="auto" w:fill="auto"/>
          </w:tcPr>
          <w:p w14:paraId="0F96419D" w14:textId="46B929FE" w:rsidR="00B01C86" w:rsidRPr="00472724" w:rsidRDefault="00A23B7C" w:rsidP="00B01C86">
            <w:pPr>
              <w:spacing w:after="0" w:line="240" w:lineRule="auto"/>
              <w:jc w:val="center"/>
              <w:rPr>
                <w:rFonts w:ascii="Arial Nova Light" w:hAnsi="Arial Nova Light"/>
              </w:rPr>
            </w:pPr>
            <w:r>
              <w:rPr>
                <w:rFonts w:ascii="Arial Nova Light" w:hAnsi="Arial Nova Light"/>
              </w:rPr>
              <w:t>Effective upon passage</w:t>
            </w:r>
          </w:p>
        </w:tc>
      </w:tr>
      <w:tr w:rsidR="00B01C86" w:rsidRPr="00472724" w14:paraId="7B839B13" w14:textId="77777777" w:rsidTr="00734044">
        <w:tc>
          <w:tcPr>
            <w:tcW w:w="1735" w:type="dxa"/>
            <w:shd w:val="clear" w:color="auto" w:fill="auto"/>
          </w:tcPr>
          <w:p w14:paraId="0CDF7FAE" w14:textId="0333A91A" w:rsidR="00B01C86" w:rsidRPr="00D27681" w:rsidRDefault="00B01C86" w:rsidP="00B01C86">
            <w:pPr>
              <w:jc w:val="center"/>
              <w:rPr>
                <w:rStyle w:val="Hyperlink"/>
                <w:rFonts w:ascii="Arial Nova Light" w:hAnsi="Arial Nova Light"/>
              </w:rPr>
            </w:pPr>
            <w:r>
              <w:rPr>
                <w:rFonts w:ascii="Arial Nova Light" w:hAnsi="Arial Nova Light"/>
              </w:rPr>
              <w:fldChar w:fldCharType="begin"/>
            </w:r>
            <w:r>
              <w:rPr>
                <w:rFonts w:ascii="Arial Nova Light" w:hAnsi="Arial Nova Light"/>
              </w:rPr>
              <w:instrText xml:space="preserve"> HYPERLINK "http://iga.in.gov/legislative/2021/bills/senate/234" \l "document-f20dbdf1" </w:instrText>
            </w:r>
            <w:r>
              <w:rPr>
                <w:rFonts w:ascii="Arial Nova Light" w:hAnsi="Arial Nova Light"/>
              </w:rPr>
              <w:fldChar w:fldCharType="separate"/>
            </w:r>
            <w:r w:rsidRPr="00D27681">
              <w:rPr>
                <w:rStyle w:val="Hyperlink"/>
                <w:rFonts w:ascii="Arial Nova Light" w:hAnsi="Arial Nova Light"/>
              </w:rPr>
              <w:t>SEA 234</w:t>
            </w:r>
          </w:p>
          <w:p w14:paraId="1F6E9A92" w14:textId="297DA16C" w:rsidR="00B01C86" w:rsidRPr="00472724" w:rsidRDefault="00B01C86" w:rsidP="00B01C86">
            <w:pPr>
              <w:jc w:val="center"/>
              <w:rPr>
                <w:rFonts w:ascii="Arial Nova Light" w:hAnsi="Arial Nova Light"/>
              </w:rPr>
            </w:pPr>
            <w:r>
              <w:rPr>
                <w:rFonts w:ascii="Arial Nova Light" w:hAnsi="Arial Nova Light"/>
              </w:rPr>
              <w:fldChar w:fldCharType="end"/>
            </w:r>
            <w:r w:rsidRPr="00D27681">
              <w:rPr>
                <w:rFonts w:ascii="Arial Nova Light" w:hAnsi="Arial Nova Light"/>
              </w:rPr>
              <w:t xml:space="preserve"> Withholding tax remittance</w:t>
            </w:r>
          </w:p>
        </w:tc>
        <w:tc>
          <w:tcPr>
            <w:tcW w:w="6540" w:type="dxa"/>
            <w:shd w:val="clear" w:color="auto" w:fill="auto"/>
          </w:tcPr>
          <w:p w14:paraId="3F8FCF19" w14:textId="77777777" w:rsidR="00B01C86" w:rsidRDefault="00B01C86" w:rsidP="00B01C86">
            <w:pPr>
              <w:rPr>
                <w:rFonts w:ascii="Arial Nova Light" w:hAnsi="Arial Nova Light"/>
              </w:rPr>
            </w:pPr>
            <w:r w:rsidRPr="00D27681">
              <w:rPr>
                <w:rFonts w:ascii="Arial Nova Light" w:hAnsi="Arial Nova Light"/>
              </w:rPr>
              <w:t xml:space="preserve">Requires the department of state revenue to provide written notice, by electronic means, to each </w:t>
            </w:r>
            <w:r w:rsidRPr="00160850">
              <w:rPr>
                <w:rFonts w:ascii="Arial Nova Light" w:hAnsi="Arial Nova Light"/>
              </w:rPr>
              <w:t>employer</w:t>
            </w:r>
            <w:r w:rsidRPr="00D27681">
              <w:rPr>
                <w:rFonts w:ascii="Arial Nova Light" w:hAnsi="Arial Nova Light"/>
                <w:b/>
                <w:bCs/>
              </w:rPr>
              <w:t xml:space="preserve"> </w:t>
            </w:r>
            <w:r w:rsidRPr="00D27681">
              <w:rPr>
                <w:rFonts w:ascii="Arial Nova Light" w:hAnsi="Arial Nova Light"/>
              </w:rPr>
              <w:t xml:space="preserve">that is registered in the department's online INTIME program and whose employer's Form WH-1 monthly withholding tax report or withholding tax remittance is past due. </w:t>
            </w:r>
          </w:p>
          <w:p w14:paraId="3DF37589" w14:textId="77777777" w:rsidR="00B01C86" w:rsidRDefault="00B01C86" w:rsidP="00B01C86">
            <w:pPr>
              <w:rPr>
                <w:rFonts w:ascii="Arial Nova Light" w:hAnsi="Arial Nova Light"/>
              </w:rPr>
            </w:pPr>
            <w:r w:rsidRPr="00D27681">
              <w:rPr>
                <w:rFonts w:ascii="Arial Nova Light" w:hAnsi="Arial Nova Light"/>
              </w:rPr>
              <w:t xml:space="preserve">Provides that a payroll service provider contract must include a provision that specifies that if the payroll service provider fails to deposit or remit a business client's </w:t>
            </w:r>
            <w:r w:rsidRPr="00DA6C56">
              <w:rPr>
                <w:rFonts w:ascii="Arial Nova Light" w:hAnsi="Arial Nova Light"/>
              </w:rPr>
              <w:t>employer</w:t>
            </w:r>
            <w:r w:rsidRPr="00D27681">
              <w:rPr>
                <w:rFonts w:ascii="Arial Nova Light" w:hAnsi="Arial Nova Light"/>
              </w:rPr>
              <w:t xml:space="preserve"> withholding taxes when due, and the failure is caused by an error or omission of the payroll service provider and not by the business client, the payroll service provider shall be required to reimburse the business client for the business client's payment of any penalties or interest assessed by the department as a result of the failure.</w:t>
            </w:r>
          </w:p>
          <w:p w14:paraId="712C8D08" w14:textId="1615B926" w:rsidR="00B01C86" w:rsidRPr="00EE2967" w:rsidRDefault="00B01C86" w:rsidP="00B01C86">
            <w:pPr>
              <w:rPr>
                <w:rFonts w:ascii="Arial Nova Light" w:hAnsi="Arial Nova Light"/>
              </w:rPr>
            </w:pPr>
            <w:r w:rsidRPr="00D27681">
              <w:rPr>
                <w:rFonts w:ascii="Arial Nova Light" w:hAnsi="Arial Nova Light"/>
              </w:rPr>
              <w:t xml:space="preserve">Provides that the </w:t>
            </w:r>
            <w:r w:rsidRPr="00160850">
              <w:rPr>
                <w:rFonts w:ascii="Arial Nova Light" w:hAnsi="Arial Nova Light"/>
              </w:rPr>
              <w:t>employer'</w:t>
            </w:r>
            <w:r w:rsidRPr="00D27681">
              <w:rPr>
                <w:rFonts w:ascii="Arial Nova Light" w:hAnsi="Arial Nova Light"/>
              </w:rPr>
              <w:t>s address shall be the address of record with the department for withholding tax purposes and that a payroll service provider may not change the address of record with the department.</w:t>
            </w:r>
          </w:p>
        </w:tc>
        <w:tc>
          <w:tcPr>
            <w:tcW w:w="1463" w:type="dxa"/>
            <w:shd w:val="clear" w:color="auto" w:fill="auto"/>
          </w:tcPr>
          <w:p w14:paraId="5489DD71" w14:textId="77777777" w:rsidR="00B01C86" w:rsidRDefault="00D1313E" w:rsidP="00B01C86">
            <w:pPr>
              <w:spacing w:after="0" w:line="240" w:lineRule="auto"/>
              <w:jc w:val="center"/>
              <w:rPr>
                <w:rFonts w:ascii="Arial Nova Light" w:hAnsi="Arial Nova Light"/>
              </w:rPr>
            </w:pPr>
            <w:r>
              <w:rPr>
                <w:rFonts w:ascii="Arial Nova Light" w:hAnsi="Arial Nova Light"/>
              </w:rPr>
              <w:t>July 1, 2021</w:t>
            </w:r>
          </w:p>
          <w:p w14:paraId="6AB97947" w14:textId="77777777" w:rsidR="00D1313E" w:rsidRDefault="00D1313E" w:rsidP="00B01C86">
            <w:pPr>
              <w:spacing w:after="0" w:line="240" w:lineRule="auto"/>
              <w:jc w:val="center"/>
              <w:rPr>
                <w:rFonts w:ascii="Arial Nova Light" w:hAnsi="Arial Nova Light"/>
              </w:rPr>
            </w:pPr>
          </w:p>
          <w:p w14:paraId="70BA7C50" w14:textId="77777777" w:rsidR="00D1313E" w:rsidRDefault="00D1313E" w:rsidP="00B01C86">
            <w:pPr>
              <w:spacing w:after="0" w:line="240" w:lineRule="auto"/>
              <w:jc w:val="center"/>
              <w:rPr>
                <w:rFonts w:ascii="Arial Nova Light" w:hAnsi="Arial Nova Light"/>
              </w:rPr>
            </w:pPr>
          </w:p>
          <w:p w14:paraId="5BB91292" w14:textId="77777777" w:rsidR="00D1313E" w:rsidRDefault="00D1313E" w:rsidP="00B01C86">
            <w:pPr>
              <w:spacing w:after="0" w:line="240" w:lineRule="auto"/>
              <w:jc w:val="center"/>
              <w:rPr>
                <w:rFonts w:ascii="Arial Nova Light" w:hAnsi="Arial Nova Light"/>
              </w:rPr>
            </w:pPr>
          </w:p>
          <w:p w14:paraId="355A0262" w14:textId="77777777" w:rsidR="00D1313E" w:rsidRDefault="00D1313E" w:rsidP="00B01C86">
            <w:pPr>
              <w:spacing w:after="0" w:line="240" w:lineRule="auto"/>
              <w:jc w:val="center"/>
              <w:rPr>
                <w:rFonts w:ascii="Arial Nova Light" w:hAnsi="Arial Nova Light"/>
              </w:rPr>
            </w:pPr>
          </w:p>
          <w:p w14:paraId="5CF0D65F" w14:textId="77777777" w:rsidR="00D1313E" w:rsidRDefault="00D1313E" w:rsidP="00B01C86">
            <w:pPr>
              <w:spacing w:after="0" w:line="240" w:lineRule="auto"/>
              <w:jc w:val="center"/>
              <w:rPr>
                <w:rFonts w:ascii="Arial Nova Light" w:hAnsi="Arial Nova Light"/>
              </w:rPr>
            </w:pPr>
          </w:p>
          <w:p w14:paraId="65009B77" w14:textId="77777777" w:rsidR="00D1313E" w:rsidRDefault="002B15E3" w:rsidP="002B15E3">
            <w:pPr>
              <w:spacing w:after="0" w:line="240" w:lineRule="auto"/>
              <w:rPr>
                <w:rFonts w:ascii="Arial Nova Light" w:hAnsi="Arial Nova Light"/>
              </w:rPr>
            </w:pPr>
            <w:r>
              <w:rPr>
                <w:rFonts w:ascii="Arial Nova Light" w:hAnsi="Arial Nova Light"/>
              </w:rPr>
              <w:t>January 1</w:t>
            </w:r>
            <w:r w:rsidR="007F4B3A">
              <w:rPr>
                <w:rFonts w:ascii="Arial Nova Light" w:hAnsi="Arial Nova Light"/>
              </w:rPr>
              <w:t>st</w:t>
            </w:r>
            <w:r>
              <w:rPr>
                <w:rFonts w:ascii="Arial Nova Light" w:hAnsi="Arial Nova Light"/>
              </w:rPr>
              <w:t>, 2022</w:t>
            </w:r>
          </w:p>
          <w:p w14:paraId="688DA4E8" w14:textId="77777777" w:rsidR="008C3EDB" w:rsidRDefault="008C3EDB" w:rsidP="002B15E3">
            <w:pPr>
              <w:spacing w:after="0" w:line="240" w:lineRule="auto"/>
              <w:rPr>
                <w:rFonts w:ascii="Arial Nova Light" w:hAnsi="Arial Nova Light"/>
              </w:rPr>
            </w:pPr>
          </w:p>
          <w:p w14:paraId="15771A45" w14:textId="77777777" w:rsidR="008C3EDB" w:rsidRDefault="008C3EDB" w:rsidP="002B15E3">
            <w:pPr>
              <w:spacing w:after="0" w:line="240" w:lineRule="auto"/>
              <w:rPr>
                <w:rFonts w:ascii="Arial Nova Light" w:hAnsi="Arial Nova Light"/>
              </w:rPr>
            </w:pPr>
          </w:p>
          <w:p w14:paraId="0BF11AD6" w14:textId="77777777" w:rsidR="008C3EDB" w:rsidRDefault="008C3EDB" w:rsidP="002B15E3">
            <w:pPr>
              <w:spacing w:after="0" w:line="240" w:lineRule="auto"/>
              <w:rPr>
                <w:rFonts w:ascii="Arial Nova Light" w:hAnsi="Arial Nova Light"/>
              </w:rPr>
            </w:pPr>
          </w:p>
          <w:p w14:paraId="672744BA" w14:textId="77777777" w:rsidR="008C3EDB" w:rsidRDefault="008C3EDB" w:rsidP="002B15E3">
            <w:pPr>
              <w:spacing w:after="0" w:line="240" w:lineRule="auto"/>
              <w:rPr>
                <w:rFonts w:ascii="Arial Nova Light" w:hAnsi="Arial Nova Light"/>
              </w:rPr>
            </w:pPr>
          </w:p>
          <w:p w14:paraId="3FE6D2F5" w14:textId="77777777" w:rsidR="008C3EDB" w:rsidRDefault="008C3EDB" w:rsidP="002B15E3">
            <w:pPr>
              <w:spacing w:after="0" w:line="240" w:lineRule="auto"/>
              <w:rPr>
                <w:rFonts w:ascii="Arial Nova Light" w:hAnsi="Arial Nova Light"/>
              </w:rPr>
            </w:pPr>
          </w:p>
          <w:p w14:paraId="1A5207F6" w14:textId="77777777" w:rsidR="008C3EDB" w:rsidRDefault="008C3EDB" w:rsidP="002B15E3">
            <w:pPr>
              <w:spacing w:after="0" w:line="240" w:lineRule="auto"/>
              <w:rPr>
                <w:rFonts w:ascii="Arial Nova Light" w:hAnsi="Arial Nova Light"/>
              </w:rPr>
            </w:pPr>
          </w:p>
          <w:p w14:paraId="4EDB28B2" w14:textId="77777777" w:rsidR="008C3EDB" w:rsidRDefault="008C3EDB" w:rsidP="002B15E3">
            <w:pPr>
              <w:spacing w:after="0" w:line="240" w:lineRule="auto"/>
              <w:rPr>
                <w:rFonts w:ascii="Arial Nova Light" w:hAnsi="Arial Nova Light"/>
              </w:rPr>
            </w:pPr>
          </w:p>
          <w:p w14:paraId="552B5C5F" w14:textId="48B50570" w:rsidR="008C3EDB" w:rsidRPr="00472724" w:rsidRDefault="008C3EDB" w:rsidP="002B15E3">
            <w:pPr>
              <w:spacing w:after="0" w:line="240" w:lineRule="auto"/>
              <w:rPr>
                <w:rFonts w:ascii="Arial Nova Light" w:hAnsi="Arial Nova Light"/>
              </w:rPr>
            </w:pPr>
            <w:r>
              <w:rPr>
                <w:rFonts w:ascii="Arial Nova Light" w:hAnsi="Arial Nova Light"/>
              </w:rPr>
              <w:t>January 1st, 2022</w:t>
            </w:r>
          </w:p>
        </w:tc>
      </w:tr>
      <w:tr w:rsidR="00B01C86" w:rsidRPr="00472724" w14:paraId="66225C62" w14:textId="77777777" w:rsidTr="00734044">
        <w:tc>
          <w:tcPr>
            <w:tcW w:w="1735" w:type="dxa"/>
            <w:shd w:val="clear" w:color="auto" w:fill="auto"/>
          </w:tcPr>
          <w:p w14:paraId="65C6A9B5" w14:textId="35017BDD" w:rsidR="00B01C86" w:rsidRDefault="003C3FBE" w:rsidP="00B01C86">
            <w:pPr>
              <w:jc w:val="center"/>
              <w:rPr>
                <w:rFonts w:ascii="Arial Nova Light" w:hAnsi="Arial Nova Light"/>
              </w:rPr>
            </w:pPr>
            <w:hyperlink r:id="rId14" w:history="1">
              <w:r w:rsidR="00B01C86" w:rsidRPr="00D27681">
                <w:rPr>
                  <w:rStyle w:val="Hyperlink"/>
                  <w:rFonts w:ascii="Arial Nova Light" w:hAnsi="Arial Nova Light"/>
                </w:rPr>
                <w:t>SEA 398</w:t>
              </w:r>
            </w:hyperlink>
          </w:p>
          <w:p w14:paraId="6D1C769C" w14:textId="38927607" w:rsidR="00B01C86" w:rsidRPr="00472724" w:rsidRDefault="00B01C86" w:rsidP="00B01C86">
            <w:pPr>
              <w:jc w:val="center"/>
              <w:rPr>
                <w:rFonts w:ascii="Arial Nova Light" w:hAnsi="Arial Nova Light"/>
              </w:rPr>
            </w:pPr>
            <w:r w:rsidRPr="00D27681">
              <w:rPr>
                <w:rFonts w:ascii="Arial Nova Light" w:hAnsi="Arial Nova Light"/>
              </w:rPr>
              <w:t>Various elections matters.</w:t>
            </w:r>
          </w:p>
        </w:tc>
        <w:tc>
          <w:tcPr>
            <w:tcW w:w="6540" w:type="dxa"/>
            <w:shd w:val="clear" w:color="auto" w:fill="auto"/>
          </w:tcPr>
          <w:p w14:paraId="77FF1E47" w14:textId="7BB1D9B6" w:rsidR="00B01C86" w:rsidRPr="00EE2967" w:rsidRDefault="00B01C86" w:rsidP="00B01C86">
            <w:pPr>
              <w:rPr>
                <w:rFonts w:ascii="Arial Nova Light" w:hAnsi="Arial Nova Light"/>
              </w:rPr>
            </w:pPr>
            <w:r w:rsidRPr="00D27681">
              <w:rPr>
                <w:rFonts w:ascii="Arial Nova Light" w:hAnsi="Arial Nova Light"/>
              </w:rPr>
              <w:t xml:space="preserve">Provides that a </w:t>
            </w:r>
            <w:r w:rsidRPr="000817A0">
              <w:rPr>
                <w:rFonts w:ascii="Arial Nova Light" w:hAnsi="Arial Nova Light"/>
              </w:rPr>
              <w:t>political subdivision</w:t>
            </w:r>
            <w:r w:rsidRPr="00D27681">
              <w:rPr>
                <w:rFonts w:ascii="Arial Nova Light" w:hAnsi="Arial Nova Light"/>
              </w:rPr>
              <w:t xml:space="preserve"> that conducts or administers an election may not receive or expend funds received from a person (other than from the state or from the federal government) for preparing, administering, or conducting elections, including registering voters.</w:t>
            </w:r>
          </w:p>
        </w:tc>
        <w:tc>
          <w:tcPr>
            <w:tcW w:w="1463" w:type="dxa"/>
            <w:shd w:val="clear" w:color="auto" w:fill="auto"/>
          </w:tcPr>
          <w:p w14:paraId="1139814F" w14:textId="69D6F840" w:rsidR="00B01C86" w:rsidRPr="00472724" w:rsidRDefault="00EE010E" w:rsidP="00B01C86">
            <w:pPr>
              <w:spacing w:after="0" w:line="240" w:lineRule="auto"/>
              <w:jc w:val="center"/>
              <w:rPr>
                <w:rFonts w:ascii="Arial Nova Light" w:hAnsi="Arial Nova Light"/>
              </w:rPr>
            </w:pPr>
            <w:r>
              <w:rPr>
                <w:rFonts w:ascii="Arial Nova Light" w:hAnsi="Arial Nova Light"/>
              </w:rPr>
              <w:t>July 1, 2021</w:t>
            </w:r>
          </w:p>
        </w:tc>
      </w:tr>
      <w:tr w:rsidR="00B01C86" w:rsidRPr="00472724" w14:paraId="3CAE86D1" w14:textId="77777777" w:rsidTr="00734044">
        <w:tc>
          <w:tcPr>
            <w:tcW w:w="1735" w:type="dxa"/>
            <w:shd w:val="clear" w:color="auto" w:fill="auto"/>
          </w:tcPr>
          <w:p w14:paraId="2C386792" w14:textId="77777777" w:rsidR="00B01C86" w:rsidRDefault="003C3FBE" w:rsidP="00B01C86">
            <w:pPr>
              <w:jc w:val="center"/>
              <w:rPr>
                <w:rFonts w:ascii="Arial Nova Light" w:hAnsi="Arial Nova Light"/>
              </w:rPr>
            </w:pPr>
            <w:hyperlink r:id="rId15" w:anchor="document-3c2bc719" w:history="1">
              <w:r w:rsidR="00B01C86" w:rsidRPr="00D27681">
                <w:rPr>
                  <w:rStyle w:val="Hyperlink"/>
                  <w:rFonts w:ascii="Arial Nova Light" w:hAnsi="Arial Nova Light"/>
                </w:rPr>
                <w:t>HEA 1169</w:t>
              </w:r>
            </w:hyperlink>
          </w:p>
          <w:p w14:paraId="7B316D0F" w14:textId="49205E22" w:rsidR="00B01C86" w:rsidRPr="00472724" w:rsidRDefault="00B01C86" w:rsidP="00B01C86">
            <w:pPr>
              <w:jc w:val="center"/>
              <w:rPr>
                <w:rFonts w:ascii="Arial Nova Light" w:hAnsi="Arial Nova Light"/>
              </w:rPr>
            </w:pPr>
            <w:r w:rsidRPr="00D27681">
              <w:rPr>
                <w:rFonts w:ascii="Arial Nova Light" w:hAnsi="Arial Nova Light"/>
              </w:rPr>
              <w:t>Cybersecurity incidents</w:t>
            </w:r>
          </w:p>
        </w:tc>
        <w:tc>
          <w:tcPr>
            <w:tcW w:w="6540" w:type="dxa"/>
            <w:shd w:val="clear" w:color="auto" w:fill="auto"/>
          </w:tcPr>
          <w:p w14:paraId="07511575" w14:textId="5B3666AA" w:rsidR="00B01C86" w:rsidRDefault="00B01C86" w:rsidP="00B01C86">
            <w:pPr>
              <w:rPr>
                <w:rFonts w:ascii="Arial Nova Light" w:hAnsi="Arial Nova Light"/>
              </w:rPr>
            </w:pPr>
            <w:r w:rsidRPr="00D27681">
              <w:rPr>
                <w:rFonts w:ascii="Arial Nova Light" w:hAnsi="Arial Nova Light"/>
              </w:rPr>
              <w:t xml:space="preserve">Requires the office of technology to maintain a repository of cybersecurity incidents. </w:t>
            </w:r>
          </w:p>
          <w:p w14:paraId="3BED62F6" w14:textId="49485114" w:rsidR="00BA60FA" w:rsidRDefault="00BA60FA" w:rsidP="009462FD">
            <w:pPr>
              <w:rPr>
                <w:rFonts w:ascii="Arial Nova Light" w:hAnsi="Arial Nova Light"/>
              </w:rPr>
            </w:pPr>
            <w:r>
              <w:rPr>
                <w:rFonts w:ascii="Arial Nova Light" w:hAnsi="Arial Nova Light"/>
              </w:rPr>
              <w:t>Requires p</w:t>
            </w:r>
            <w:r w:rsidRPr="00BA60FA">
              <w:rPr>
                <w:rFonts w:ascii="Arial Nova Light" w:hAnsi="Arial Nova Light"/>
              </w:rPr>
              <w:t>olitical subdivision</w:t>
            </w:r>
            <w:r>
              <w:rPr>
                <w:rFonts w:ascii="Arial Nova Light" w:hAnsi="Arial Nova Light"/>
              </w:rPr>
              <w:t>s</w:t>
            </w:r>
            <w:r w:rsidRPr="00BA60FA">
              <w:rPr>
                <w:rFonts w:ascii="Arial Nova Light" w:hAnsi="Arial Nova Light"/>
              </w:rPr>
              <w:t xml:space="preserve"> </w:t>
            </w:r>
            <w:r w:rsidR="00AF624C">
              <w:rPr>
                <w:rFonts w:ascii="Arial Nova Light" w:hAnsi="Arial Nova Light"/>
              </w:rPr>
              <w:t>to</w:t>
            </w:r>
            <w:r w:rsidR="00A32A15">
              <w:rPr>
                <w:rFonts w:ascii="Arial Nova Light" w:hAnsi="Arial Nova Light"/>
              </w:rPr>
              <w:t xml:space="preserve"> </w:t>
            </w:r>
            <w:r w:rsidRPr="00BA60FA">
              <w:rPr>
                <w:rFonts w:ascii="Arial Nova Light" w:hAnsi="Arial Nova Light"/>
              </w:rPr>
              <w:t>report any cybersecurity incident not later than two (2) business days after discovery</w:t>
            </w:r>
            <w:r w:rsidR="00164EAB">
              <w:rPr>
                <w:rFonts w:ascii="Arial Nova Light" w:hAnsi="Arial Nova Light"/>
              </w:rPr>
              <w:t xml:space="preserve"> </w:t>
            </w:r>
            <w:r w:rsidR="00D00905">
              <w:rPr>
                <w:rFonts w:ascii="Arial Nova Light" w:hAnsi="Arial Nova Light"/>
              </w:rPr>
              <w:t xml:space="preserve">to the Indiana Office of Technology (IOT) </w:t>
            </w:r>
            <w:r w:rsidRPr="00BA60FA">
              <w:rPr>
                <w:rFonts w:ascii="Arial Nova Light" w:hAnsi="Arial Nova Light"/>
              </w:rPr>
              <w:t>in a format prescribed by the</w:t>
            </w:r>
            <w:r w:rsidR="00D00905">
              <w:rPr>
                <w:rFonts w:ascii="Arial Nova Light" w:hAnsi="Arial Nova Light"/>
              </w:rPr>
              <w:t xml:space="preserve"> IOT </w:t>
            </w:r>
            <w:r w:rsidRPr="00BA60FA">
              <w:rPr>
                <w:rFonts w:ascii="Arial Nova Light" w:hAnsi="Arial Nova Light"/>
              </w:rPr>
              <w:t xml:space="preserve">chief information officer; and provide the </w:t>
            </w:r>
            <w:r w:rsidR="009462FD">
              <w:rPr>
                <w:rFonts w:ascii="Arial Nova Light" w:hAnsi="Arial Nova Light"/>
              </w:rPr>
              <w:t>IOT</w:t>
            </w:r>
            <w:r w:rsidRPr="00BA60FA">
              <w:rPr>
                <w:rFonts w:ascii="Arial Nova Light" w:hAnsi="Arial Nova Light"/>
              </w:rPr>
              <w:t xml:space="preserve"> with the name and contact information</w:t>
            </w:r>
            <w:r w:rsidR="004E3097">
              <w:rPr>
                <w:rFonts w:ascii="Arial Nova Light" w:hAnsi="Arial Nova Light"/>
              </w:rPr>
              <w:t xml:space="preserve"> </w:t>
            </w:r>
            <w:r w:rsidRPr="00BA60FA">
              <w:rPr>
                <w:rFonts w:ascii="Arial Nova Light" w:hAnsi="Arial Nova Light"/>
              </w:rPr>
              <w:t>of any individual who will act as the primary reporter of a</w:t>
            </w:r>
            <w:r w:rsidR="004E3097">
              <w:rPr>
                <w:rFonts w:ascii="Arial Nova Light" w:hAnsi="Arial Nova Light"/>
              </w:rPr>
              <w:t xml:space="preserve"> </w:t>
            </w:r>
            <w:r w:rsidRPr="00BA60FA">
              <w:rPr>
                <w:rFonts w:ascii="Arial Nova Light" w:hAnsi="Arial Nova Light"/>
              </w:rPr>
              <w:t>cybersecurity incident before</w:t>
            </w:r>
            <w:r w:rsidR="004E3097">
              <w:rPr>
                <w:rFonts w:ascii="Arial Nova Light" w:hAnsi="Arial Nova Light"/>
              </w:rPr>
              <w:t xml:space="preserve"> </w:t>
            </w:r>
            <w:r w:rsidRPr="00BA60FA">
              <w:rPr>
                <w:rFonts w:ascii="Arial Nova Light" w:hAnsi="Arial Nova Light"/>
              </w:rPr>
              <w:t xml:space="preserve">September 1, 2021, and before September 1 of every </w:t>
            </w:r>
            <w:r w:rsidR="00147A5E">
              <w:rPr>
                <w:rFonts w:ascii="Arial Nova Light" w:hAnsi="Arial Nova Light"/>
              </w:rPr>
              <w:t>year.</w:t>
            </w:r>
          </w:p>
          <w:p w14:paraId="5E59CB27" w14:textId="77777777" w:rsidR="00B01C86" w:rsidRDefault="00B01C86" w:rsidP="00B01C86">
            <w:pPr>
              <w:rPr>
                <w:rFonts w:ascii="Arial Nova Light" w:hAnsi="Arial Nova Light"/>
              </w:rPr>
            </w:pPr>
            <w:r w:rsidRPr="00D27681">
              <w:rPr>
                <w:rFonts w:ascii="Arial Nova Light" w:hAnsi="Arial Nova Light"/>
              </w:rPr>
              <w:t xml:space="preserve">Provides that if requested by a </w:t>
            </w:r>
            <w:r w:rsidRPr="007159B9">
              <w:rPr>
                <w:rFonts w:ascii="Arial Nova Light" w:hAnsi="Arial Nova Light"/>
              </w:rPr>
              <w:t>political subdivision</w:t>
            </w:r>
            <w:r w:rsidRPr="00D27681">
              <w:rPr>
                <w:rFonts w:ascii="Arial Nova Light" w:hAnsi="Arial Nova Light"/>
              </w:rPr>
              <w:t xml:space="preserve">, the office may develop a list of third party technology providers that work with the office. </w:t>
            </w:r>
          </w:p>
          <w:p w14:paraId="3231CC70" w14:textId="69EA58B3" w:rsidR="00147A5E" w:rsidRPr="00EE2967" w:rsidRDefault="00147A5E" w:rsidP="00B01C86">
            <w:pPr>
              <w:rPr>
                <w:rFonts w:ascii="Arial Nova Light" w:hAnsi="Arial Nova Light"/>
              </w:rPr>
            </w:pPr>
          </w:p>
        </w:tc>
        <w:tc>
          <w:tcPr>
            <w:tcW w:w="1463" w:type="dxa"/>
            <w:shd w:val="clear" w:color="auto" w:fill="auto"/>
          </w:tcPr>
          <w:p w14:paraId="525A10C2" w14:textId="77777777" w:rsidR="00B01C86" w:rsidRDefault="000C16D1" w:rsidP="00B01C86">
            <w:pPr>
              <w:spacing w:after="0" w:line="240" w:lineRule="auto"/>
              <w:jc w:val="center"/>
              <w:rPr>
                <w:rFonts w:ascii="Arial Nova Light" w:hAnsi="Arial Nova Light"/>
              </w:rPr>
            </w:pPr>
            <w:r>
              <w:rPr>
                <w:rFonts w:ascii="Arial Nova Light" w:hAnsi="Arial Nova Light"/>
              </w:rPr>
              <w:t>July 1, 2021</w:t>
            </w:r>
          </w:p>
          <w:p w14:paraId="49AB780B" w14:textId="77777777" w:rsidR="009462FD" w:rsidRDefault="009462FD" w:rsidP="00B01C86">
            <w:pPr>
              <w:spacing w:after="0" w:line="240" w:lineRule="auto"/>
              <w:jc w:val="center"/>
              <w:rPr>
                <w:rFonts w:ascii="Arial Nova Light" w:hAnsi="Arial Nova Light"/>
              </w:rPr>
            </w:pPr>
          </w:p>
          <w:p w14:paraId="10361F61" w14:textId="77777777" w:rsidR="009462FD" w:rsidRDefault="009462FD" w:rsidP="00B01C86">
            <w:pPr>
              <w:spacing w:after="0" w:line="240" w:lineRule="auto"/>
              <w:jc w:val="center"/>
              <w:rPr>
                <w:rFonts w:ascii="Arial Nova Light" w:hAnsi="Arial Nova Light"/>
              </w:rPr>
            </w:pPr>
          </w:p>
          <w:p w14:paraId="4A166E55" w14:textId="0C71FB59" w:rsidR="00D07242" w:rsidRDefault="00940085" w:rsidP="00B01C86">
            <w:pPr>
              <w:spacing w:after="0" w:line="240" w:lineRule="auto"/>
              <w:jc w:val="center"/>
              <w:rPr>
                <w:rFonts w:ascii="Arial Nova Light" w:hAnsi="Arial Nova Light"/>
              </w:rPr>
            </w:pPr>
            <w:r>
              <w:rPr>
                <w:rFonts w:ascii="Arial Nova Light" w:hAnsi="Arial Nova Light"/>
              </w:rPr>
              <w:t xml:space="preserve"> </w:t>
            </w:r>
          </w:p>
          <w:p w14:paraId="3B7CC56C" w14:textId="585B8552" w:rsidR="00D07242" w:rsidRPr="00472724" w:rsidRDefault="00D07242" w:rsidP="00B01C86">
            <w:pPr>
              <w:spacing w:after="0" w:line="240" w:lineRule="auto"/>
              <w:jc w:val="center"/>
              <w:rPr>
                <w:rFonts w:ascii="Arial Nova Light" w:hAnsi="Arial Nova Light"/>
              </w:rPr>
            </w:pPr>
          </w:p>
        </w:tc>
      </w:tr>
      <w:tr w:rsidR="00B01C86" w:rsidRPr="00472724" w14:paraId="0BB2A694" w14:textId="77777777" w:rsidTr="00734044">
        <w:tc>
          <w:tcPr>
            <w:tcW w:w="1735" w:type="dxa"/>
            <w:shd w:val="clear" w:color="auto" w:fill="auto"/>
          </w:tcPr>
          <w:p w14:paraId="755D3AF5" w14:textId="35053956" w:rsidR="00B01C86" w:rsidRDefault="003C3FBE" w:rsidP="00B01C86">
            <w:pPr>
              <w:jc w:val="center"/>
              <w:rPr>
                <w:rStyle w:val="Hyperlink"/>
                <w:rFonts w:ascii="Arial Nova Light" w:hAnsi="Arial Nova Light"/>
              </w:rPr>
            </w:pPr>
            <w:hyperlink r:id="rId16" w:anchor="document-dbc2cc8e" w:history="1">
              <w:r w:rsidR="00B01C86" w:rsidRPr="00D27681">
                <w:rPr>
                  <w:rStyle w:val="Hyperlink"/>
                  <w:rFonts w:ascii="Arial Nova Light" w:hAnsi="Arial Nova Light"/>
                </w:rPr>
                <w:t>HEA 1001</w:t>
              </w:r>
            </w:hyperlink>
          </w:p>
          <w:p w14:paraId="57458761" w14:textId="50E7F48D" w:rsidR="00B01C86" w:rsidRPr="00472724" w:rsidRDefault="00147A5E" w:rsidP="00B01C86">
            <w:pPr>
              <w:jc w:val="center"/>
              <w:rPr>
                <w:rFonts w:ascii="Arial Nova Light" w:hAnsi="Arial Nova Light"/>
              </w:rPr>
            </w:pPr>
            <w:r>
              <w:rPr>
                <w:rFonts w:ascii="Arial Nova Light" w:hAnsi="Arial Nova Light"/>
              </w:rPr>
              <w:t>S</w:t>
            </w:r>
            <w:r w:rsidR="00B01C86">
              <w:rPr>
                <w:rFonts w:ascii="Arial Nova Light" w:hAnsi="Arial Nova Light"/>
              </w:rPr>
              <w:t>tate budget</w:t>
            </w:r>
          </w:p>
        </w:tc>
        <w:tc>
          <w:tcPr>
            <w:tcW w:w="6540" w:type="dxa"/>
            <w:shd w:val="clear" w:color="auto" w:fill="auto"/>
          </w:tcPr>
          <w:p w14:paraId="41D8CB8A" w14:textId="77777777" w:rsidR="00147A5E" w:rsidRDefault="00B01C86" w:rsidP="00B01C86">
            <w:pPr>
              <w:rPr>
                <w:rFonts w:ascii="Arial Nova Light" w:hAnsi="Arial Nova Light"/>
              </w:rPr>
            </w:pPr>
            <w:r>
              <w:rPr>
                <w:rFonts w:ascii="Arial Nova Light" w:hAnsi="Arial Nova Light"/>
              </w:rPr>
              <w:t xml:space="preserve">Appropriates funds for the </w:t>
            </w:r>
            <w:r w:rsidRPr="005565E2">
              <w:rPr>
                <w:rFonts w:ascii="Arial Nova Light" w:hAnsi="Arial Nova Light"/>
              </w:rPr>
              <w:t>library, historic</w:t>
            </w:r>
            <w:r>
              <w:rPr>
                <w:rFonts w:ascii="Arial Nova Light" w:hAnsi="Arial Nova Light"/>
              </w:rPr>
              <w:t xml:space="preserve"> sites, and much more</w:t>
            </w:r>
            <w:r w:rsidRPr="00D27681">
              <w:rPr>
                <w:rFonts w:ascii="Arial Nova Light" w:hAnsi="Arial Nova Light"/>
              </w:rPr>
              <w:t>.</w:t>
            </w:r>
            <w:r>
              <w:rPr>
                <w:rFonts w:ascii="Arial Nova Light" w:hAnsi="Arial Nova Light"/>
              </w:rPr>
              <w:t xml:space="preserve"> </w:t>
            </w:r>
            <w:r w:rsidR="00147A5E">
              <w:rPr>
                <w:rFonts w:ascii="Arial Nova Light" w:hAnsi="Arial Nova Light"/>
              </w:rPr>
              <w:t xml:space="preserve"> </w:t>
            </w:r>
          </w:p>
          <w:p w14:paraId="21676D24" w14:textId="2133232A" w:rsidR="00B01C86" w:rsidRPr="00D27681" w:rsidRDefault="00B01C86" w:rsidP="00B01C86">
            <w:pPr>
              <w:rPr>
                <w:rFonts w:ascii="Arial Nova Light" w:hAnsi="Arial Nova Light"/>
              </w:rPr>
            </w:pPr>
            <w:r>
              <w:rPr>
                <w:rFonts w:ascii="Arial Nova Light" w:hAnsi="Arial Nova Light"/>
                <w:b/>
                <w:bCs/>
              </w:rPr>
              <w:t xml:space="preserve"> </w:t>
            </w:r>
          </w:p>
        </w:tc>
        <w:tc>
          <w:tcPr>
            <w:tcW w:w="1463" w:type="dxa"/>
            <w:shd w:val="clear" w:color="auto" w:fill="auto"/>
          </w:tcPr>
          <w:p w14:paraId="17D2C3EA" w14:textId="2D6DD753" w:rsidR="00B01C86" w:rsidRPr="00472724" w:rsidRDefault="00147A5E" w:rsidP="00B01C86">
            <w:pPr>
              <w:spacing w:after="0" w:line="240" w:lineRule="auto"/>
              <w:jc w:val="center"/>
              <w:rPr>
                <w:rFonts w:ascii="Arial Nova Light" w:hAnsi="Arial Nova Light"/>
              </w:rPr>
            </w:pPr>
            <w:r>
              <w:rPr>
                <w:rFonts w:ascii="Arial Nova Light" w:hAnsi="Arial Nova Light"/>
              </w:rPr>
              <w:t>July 1, 2021</w:t>
            </w:r>
          </w:p>
        </w:tc>
      </w:tr>
      <w:tr w:rsidR="00B01C86" w:rsidRPr="00472724" w14:paraId="5AE89516" w14:textId="77777777" w:rsidTr="00734044">
        <w:tc>
          <w:tcPr>
            <w:tcW w:w="1735" w:type="dxa"/>
            <w:shd w:val="clear" w:color="auto" w:fill="auto"/>
          </w:tcPr>
          <w:p w14:paraId="24C620EF" w14:textId="77777777" w:rsidR="00B01C86" w:rsidRDefault="003C3FBE" w:rsidP="00B01C86">
            <w:pPr>
              <w:jc w:val="center"/>
              <w:rPr>
                <w:rFonts w:ascii="Arial Nova Light" w:hAnsi="Arial Nova Light"/>
              </w:rPr>
            </w:pPr>
            <w:hyperlink r:id="rId17" w:anchor="document-124867ac" w:history="1">
              <w:r w:rsidR="00B01C86" w:rsidRPr="00D27681">
                <w:rPr>
                  <w:rStyle w:val="Hyperlink"/>
                  <w:rFonts w:ascii="Arial Nova Light" w:hAnsi="Arial Nova Light"/>
                </w:rPr>
                <w:t>HEA 1002</w:t>
              </w:r>
            </w:hyperlink>
          </w:p>
          <w:p w14:paraId="2C30A58C" w14:textId="0DF8D3B4" w:rsidR="00B01C86" w:rsidRPr="00472724" w:rsidRDefault="00B01C86" w:rsidP="00B01C86">
            <w:pPr>
              <w:jc w:val="center"/>
              <w:rPr>
                <w:rFonts w:ascii="Arial Nova Light" w:hAnsi="Arial Nova Light"/>
              </w:rPr>
            </w:pPr>
            <w:r w:rsidRPr="00D27681">
              <w:rPr>
                <w:rFonts w:ascii="Arial Nova Light" w:hAnsi="Arial Nova Light"/>
              </w:rPr>
              <w:t>Civil immunity related to COVID-19</w:t>
            </w:r>
          </w:p>
        </w:tc>
        <w:tc>
          <w:tcPr>
            <w:tcW w:w="6540" w:type="dxa"/>
            <w:shd w:val="clear" w:color="auto" w:fill="auto"/>
          </w:tcPr>
          <w:p w14:paraId="4250ACF2" w14:textId="77777777" w:rsidR="00B01C86" w:rsidRDefault="00B01C86" w:rsidP="00B01C86">
            <w:pPr>
              <w:rPr>
                <w:rFonts w:ascii="Arial Nova Light" w:hAnsi="Arial Nova Light"/>
              </w:rPr>
            </w:pPr>
            <w:r w:rsidRPr="00D27681">
              <w:rPr>
                <w:rFonts w:ascii="Arial Nova Light" w:hAnsi="Arial Nova Light"/>
              </w:rPr>
              <w:t xml:space="preserve">Specifies that orders and recommendations issued by local, state, and federal government agencies and officials during a state disaster emergency do not create new causes of action or new legal duties. </w:t>
            </w:r>
          </w:p>
          <w:p w14:paraId="614BA507" w14:textId="328829F9" w:rsidR="00B01C86" w:rsidRPr="00EE2967" w:rsidRDefault="00B01C86" w:rsidP="00B01C86">
            <w:pPr>
              <w:rPr>
                <w:rFonts w:ascii="Arial Nova Light" w:hAnsi="Arial Nova Light"/>
              </w:rPr>
            </w:pPr>
            <w:r w:rsidRPr="00D27681">
              <w:rPr>
                <w:rFonts w:ascii="Arial Nova Light" w:hAnsi="Arial Nova Light"/>
              </w:rPr>
              <w:t>Specifies that a governmental entity</w:t>
            </w:r>
            <w:r>
              <w:rPr>
                <w:rFonts w:ascii="Arial Nova Light" w:hAnsi="Arial Nova Light"/>
              </w:rPr>
              <w:t xml:space="preserve">, including a </w:t>
            </w:r>
            <w:r w:rsidRPr="006D1748">
              <w:rPr>
                <w:rFonts w:ascii="Arial Nova Light" w:hAnsi="Arial Nova Light"/>
              </w:rPr>
              <w:t>political subdivision or employer,</w:t>
            </w:r>
            <w:r w:rsidRPr="00D27681">
              <w:rPr>
                <w:rFonts w:ascii="Arial Nova Light" w:hAnsi="Arial Nova Light"/>
              </w:rPr>
              <w:t xml:space="preserve"> or employee is not liable if a loss results from an act or omission arising from </w:t>
            </w:r>
            <w:r w:rsidRPr="006D1748">
              <w:rPr>
                <w:rFonts w:ascii="Arial Nova Light" w:hAnsi="Arial Nova Light"/>
              </w:rPr>
              <w:t>COVID-</w:t>
            </w:r>
            <w:r w:rsidRPr="00D27681">
              <w:rPr>
                <w:rFonts w:ascii="Arial Nova Light" w:hAnsi="Arial Nova Light"/>
              </w:rPr>
              <w:t xml:space="preserve">19 unless the act or omission constitutes gross negligence, willful or wanton misconduct, or intentional misrepresentation. </w:t>
            </w:r>
          </w:p>
        </w:tc>
        <w:tc>
          <w:tcPr>
            <w:tcW w:w="1463" w:type="dxa"/>
            <w:shd w:val="clear" w:color="auto" w:fill="auto"/>
          </w:tcPr>
          <w:p w14:paraId="2E06EE16" w14:textId="111058A9" w:rsidR="00B01C86" w:rsidRPr="00472724" w:rsidRDefault="00584B0E" w:rsidP="00B01C86">
            <w:pPr>
              <w:spacing w:after="0" w:line="240" w:lineRule="auto"/>
              <w:jc w:val="center"/>
              <w:rPr>
                <w:rFonts w:ascii="Arial Nova Light" w:hAnsi="Arial Nova Light"/>
              </w:rPr>
            </w:pPr>
            <w:r>
              <w:rPr>
                <w:rFonts w:ascii="Arial Nova Light" w:hAnsi="Arial Nova Light"/>
              </w:rPr>
              <w:t>March 1, 2020</w:t>
            </w:r>
            <w:r w:rsidR="0091672C">
              <w:rPr>
                <w:rFonts w:ascii="Arial Nova Light" w:hAnsi="Arial Nova Light"/>
              </w:rPr>
              <w:t xml:space="preserve"> retroactive</w:t>
            </w:r>
          </w:p>
        </w:tc>
      </w:tr>
      <w:tr w:rsidR="00B01C86" w:rsidRPr="00472724" w14:paraId="54415758" w14:textId="77777777" w:rsidTr="00734044">
        <w:tc>
          <w:tcPr>
            <w:tcW w:w="1735" w:type="dxa"/>
            <w:shd w:val="clear" w:color="auto" w:fill="auto"/>
          </w:tcPr>
          <w:p w14:paraId="42AEC30C" w14:textId="77777777" w:rsidR="00B01C86" w:rsidRDefault="003C3FBE" w:rsidP="00B01C86">
            <w:pPr>
              <w:jc w:val="center"/>
              <w:rPr>
                <w:rFonts w:ascii="Arial Nova Light" w:hAnsi="Arial Nova Light"/>
              </w:rPr>
            </w:pPr>
            <w:hyperlink r:id="rId18" w:anchor="digest-heading" w:history="1">
              <w:r w:rsidR="00B01C86" w:rsidRPr="00DA42C1">
                <w:rPr>
                  <w:rStyle w:val="Hyperlink"/>
                  <w:rFonts w:ascii="Arial Nova Light" w:hAnsi="Arial Nova Light"/>
                </w:rPr>
                <w:t>HEA 1405</w:t>
              </w:r>
            </w:hyperlink>
          </w:p>
          <w:p w14:paraId="0B84BCF1" w14:textId="47E3ACDB" w:rsidR="00B01C86" w:rsidRPr="00472724" w:rsidRDefault="00B01C86" w:rsidP="00B01C86">
            <w:pPr>
              <w:jc w:val="center"/>
              <w:rPr>
                <w:rFonts w:ascii="Arial Nova Light" w:hAnsi="Arial Nova Light"/>
              </w:rPr>
            </w:pPr>
            <w:r w:rsidRPr="00BC4C79">
              <w:rPr>
                <w:rFonts w:ascii="Arial Nova Light" w:hAnsi="Arial Nova Light"/>
              </w:rPr>
              <w:t>Insurance matters</w:t>
            </w:r>
          </w:p>
        </w:tc>
        <w:tc>
          <w:tcPr>
            <w:tcW w:w="6540" w:type="dxa"/>
            <w:shd w:val="clear" w:color="auto" w:fill="auto"/>
          </w:tcPr>
          <w:p w14:paraId="7E512B7C" w14:textId="69742F37" w:rsidR="00B01C86" w:rsidRPr="00EE2967" w:rsidRDefault="00B01C86" w:rsidP="00B01C86">
            <w:pPr>
              <w:rPr>
                <w:rFonts w:ascii="Arial Nova Light" w:hAnsi="Arial Nova Light"/>
              </w:rPr>
            </w:pPr>
            <w:r>
              <w:rPr>
                <w:rFonts w:ascii="Arial Nova Light" w:hAnsi="Arial Nova Light"/>
              </w:rPr>
              <w:t>Among many other things, p</w:t>
            </w:r>
            <w:r w:rsidRPr="00BC4C79">
              <w:rPr>
                <w:rFonts w:ascii="Arial Nova Light" w:hAnsi="Arial Nova Light"/>
              </w:rPr>
              <w:t xml:space="preserve">rohibits the state or a local unit from issuing or requiring a </w:t>
            </w:r>
            <w:r w:rsidRPr="00A61CE4">
              <w:rPr>
                <w:rFonts w:ascii="Arial Nova Light" w:hAnsi="Arial Nova Light"/>
              </w:rPr>
              <w:t>COVID-19 "immunization</w:t>
            </w:r>
            <w:r w:rsidRPr="00BC4C79">
              <w:rPr>
                <w:rFonts w:ascii="Arial Nova Light" w:hAnsi="Arial Nova Light"/>
              </w:rPr>
              <w:t xml:space="preserve"> passport" (a document concerning an individual's immunization status). </w:t>
            </w:r>
          </w:p>
        </w:tc>
        <w:tc>
          <w:tcPr>
            <w:tcW w:w="1463" w:type="dxa"/>
            <w:shd w:val="clear" w:color="auto" w:fill="auto"/>
          </w:tcPr>
          <w:p w14:paraId="0AFE2E42" w14:textId="08C0B061" w:rsidR="00B01C86" w:rsidRPr="00472724" w:rsidRDefault="007E49E1" w:rsidP="00B01C86">
            <w:pPr>
              <w:spacing w:after="0" w:line="240" w:lineRule="auto"/>
              <w:jc w:val="center"/>
              <w:rPr>
                <w:rFonts w:ascii="Arial Nova Light" w:hAnsi="Arial Nova Light"/>
              </w:rPr>
            </w:pPr>
            <w:r>
              <w:rPr>
                <w:rFonts w:ascii="Arial Nova Light" w:hAnsi="Arial Nova Light"/>
              </w:rPr>
              <w:t>Effective upon passage</w:t>
            </w:r>
          </w:p>
        </w:tc>
      </w:tr>
      <w:tr w:rsidR="00B01C86" w:rsidRPr="00472724" w14:paraId="5A8DE7A9" w14:textId="77777777" w:rsidTr="00734044">
        <w:tc>
          <w:tcPr>
            <w:tcW w:w="1735" w:type="dxa"/>
            <w:shd w:val="clear" w:color="auto" w:fill="auto"/>
          </w:tcPr>
          <w:p w14:paraId="2C7FF219" w14:textId="77777777" w:rsidR="00B01C86" w:rsidRDefault="003C3FBE" w:rsidP="00B01C86">
            <w:pPr>
              <w:jc w:val="center"/>
              <w:rPr>
                <w:rFonts w:ascii="Arial Nova Light" w:hAnsi="Arial Nova Light"/>
              </w:rPr>
            </w:pPr>
            <w:hyperlink r:id="rId19" w:anchor="digest-heading" w:history="1">
              <w:r w:rsidR="00B01C86" w:rsidRPr="003734AA">
                <w:rPr>
                  <w:rStyle w:val="Hyperlink"/>
                  <w:rFonts w:ascii="Arial Nova Light" w:hAnsi="Arial Nova Light"/>
                </w:rPr>
                <w:t>HEA 1421</w:t>
              </w:r>
            </w:hyperlink>
          </w:p>
          <w:p w14:paraId="633D431B" w14:textId="4D1A3E92" w:rsidR="00B01C86" w:rsidRPr="00472724" w:rsidRDefault="00B01C86" w:rsidP="00B01C86">
            <w:pPr>
              <w:jc w:val="center"/>
              <w:rPr>
                <w:rFonts w:ascii="Arial Nova Light" w:hAnsi="Arial Nova Light"/>
              </w:rPr>
            </w:pPr>
            <w:r w:rsidRPr="0065019F">
              <w:rPr>
                <w:rFonts w:ascii="Arial Nova Light" w:hAnsi="Arial Nova Light"/>
              </w:rPr>
              <w:t>Various health care matters</w:t>
            </w:r>
          </w:p>
        </w:tc>
        <w:tc>
          <w:tcPr>
            <w:tcW w:w="6540" w:type="dxa"/>
            <w:shd w:val="clear" w:color="auto" w:fill="auto"/>
          </w:tcPr>
          <w:p w14:paraId="497E7F0E" w14:textId="77777777" w:rsidR="00B01C86" w:rsidRDefault="00B01C86" w:rsidP="00B01C86">
            <w:pPr>
              <w:rPr>
                <w:rFonts w:ascii="Arial Nova Light" w:hAnsi="Arial Nova Light"/>
              </w:rPr>
            </w:pPr>
            <w:r w:rsidRPr="002A4DED">
              <w:rPr>
                <w:rFonts w:ascii="Arial Nova Light" w:hAnsi="Arial Nova Light"/>
              </w:rPr>
              <w:t>Provides that the state employee health plan statute does not prohibit the state personnel department from directly contracting with health care providers for health care services for state employees.</w:t>
            </w:r>
          </w:p>
          <w:p w14:paraId="4044591F" w14:textId="1EE5BDBF" w:rsidR="00B01C86" w:rsidRPr="00EE2967" w:rsidRDefault="00B01C86" w:rsidP="00B01C86">
            <w:pPr>
              <w:rPr>
                <w:rFonts w:ascii="Arial Nova Light" w:hAnsi="Arial Nova Light"/>
              </w:rPr>
            </w:pPr>
            <w:r w:rsidRPr="002A4DED">
              <w:rPr>
                <w:rFonts w:ascii="Arial Nova Light" w:hAnsi="Arial Nova Light"/>
              </w:rPr>
              <w:t xml:space="preserve">Requires the department of insurance to issue a report setting forth its suggestions for revising the department's administrative rules to reduce the regulatory costs incurred by </w:t>
            </w:r>
            <w:r w:rsidRPr="001C3757">
              <w:rPr>
                <w:rFonts w:ascii="Arial Nova Light" w:hAnsi="Arial Nova Light"/>
              </w:rPr>
              <w:t>employers</w:t>
            </w:r>
            <w:r w:rsidRPr="003734AA">
              <w:rPr>
                <w:rFonts w:ascii="Arial Nova Light" w:hAnsi="Arial Nova Light"/>
                <w:b/>
                <w:bCs/>
              </w:rPr>
              <w:t xml:space="preserve"> </w:t>
            </w:r>
            <w:r w:rsidRPr="002A4DED">
              <w:rPr>
                <w:rFonts w:ascii="Arial Nova Light" w:hAnsi="Arial Nova Light"/>
              </w:rPr>
              <w:t>seeking to provide health coverage for their employees through multiple employer welfare arrangements.</w:t>
            </w:r>
          </w:p>
        </w:tc>
        <w:tc>
          <w:tcPr>
            <w:tcW w:w="1463" w:type="dxa"/>
            <w:shd w:val="clear" w:color="auto" w:fill="auto"/>
          </w:tcPr>
          <w:p w14:paraId="191BCCD6" w14:textId="14AA58C6" w:rsidR="00B01C86" w:rsidRPr="00472724" w:rsidRDefault="007F521F" w:rsidP="00B01C86">
            <w:pPr>
              <w:spacing w:after="0" w:line="240" w:lineRule="auto"/>
              <w:jc w:val="center"/>
              <w:rPr>
                <w:rFonts w:ascii="Arial Nova Light" w:hAnsi="Arial Nova Light"/>
              </w:rPr>
            </w:pPr>
            <w:r>
              <w:rPr>
                <w:rFonts w:ascii="Arial Nova Light" w:hAnsi="Arial Nova Light"/>
              </w:rPr>
              <w:t>July 1, 2021</w:t>
            </w:r>
          </w:p>
        </w:tc>
      </w:tr>
      <w:tr w:rsidR="00B01C86" w:rsidRPr="00472724" w14:paraId="6AE21542" w14:textId="77777777" w:rsidTr="00734044">
        <w:tc>
          <w:tcPr>
            <w:tcW w:w="1735" w:type="dxa"/>
            <w:shd w:val="clear" w:color="auto" w:fill="auto"/>
          </w:tcPr>
          <w:p w14:paraId="1917D058" w14:textId="6BFC07B2" w:rsidR="00B01C86" w:rsidRDefault="003C3FBE" w:rsidP="00B01C86">
            <w:pPr>
              <w:jc w:val="center"/>
              <w:rPr>
                <w:rFonts w:ascii="Arial Nova Light" w:hAnsi="Arial Nova Light"/>
              </w:rPr>
            </w:pPr>
            <w:hyperlink r:id="rId20" w:anchor="digest-heading" w:history="1">
              <w:r w:rsidR="00B01C86" w:rsidRPr="00807C4B">
                <w:rPr>
                  <w:rStyle w:val="Hyperlink"/>
                  <w:rFonts w:ascii="Arial Nova Light" w:hAnsi="Arial Nova Light"/>
                </w:rPr>
                <w:t>SEA 55</w:t>
              </w:r>
            </w:hyperlink>
          </w:p>
          <w:p w14:paraId="0CCA7D1D" w14:textId="0F24FD58" w:rsidR="00B01C86" w:rsidRPr="00472724" w:rsidRDefault="00B01C86" w:rsidP="00B01C86">
            <w:pPr>
              <w:jc w:val="center"/>
              <w:rPr>
                <w:rFonts w:ascii="Arial Nova Light" w:hAnsi="Arial Nova Light"/>
              </w:rPr>
            </w:pPr>
            <w:r w:rsidRPr="001A5C51">
              <w:rPr>
                <w:rFonts w:ascii="Arial Nova Light" w:hAnsi="Arial Nova Light"/>
              </w:rPr>
              <w:t>School referenda</w:t>
            </w:r>
          </w:p>
        </w:tc>
        <w:tc>
          <w:tcPr>
            <w:tcW w:w="6540" w:type="dxa"/>
            <w:shd w:val="clear" w:color="auto" w:fill="auto"/>
          </w:tcPr>
          <w:p w14:paraId="6C5E2573" w14:textId="77777777" w:rsidR="00421E4C" w:rsidRDefault="00421E4C" w:rsidP="00B01C86">
            <w:pPr>
              <w:rPr>
                <w:rFonts w:ascii="Arial Nova Light" w:hAnsi="Arial Nova Light"/>
              </w:rPr>
            </w:pPr>
            <w:r w:rsidRPr="00421E4C">
              <w:rPr>
                <w:rFonts w:ascii="Arial Nova Light" w:hAnsi="Arial Nova Light"/>
              </w:rPr>
              <w:t xml:space="preserve">Provides that an ordinance or resolution making a preliminary determination to issue bonds or enter into leases that is considered for certain controlled projects must include a statement of: (1) the maximum annual debt service for the controlled project for each year in which the debt service will be paid; and (2) the schedule of the estimated annual tax levy and rate over a 10 year period; factoring in changes that will occur to the debt service levy and tax rate during the period on account of any outstanding bonds or lease obligations that will mature or terminate during the period. </w:t>
            </w:r>
          </w:p>
          <w:p w14:paraId="3194EB7E" w14:textId="77777777" w:rsidR="00B01C86" w:rsidRDefault="00421E4C" w:rsidP="00B01C86">
            <w:pPr>
              <w:rPr>
                <w:rFonts w:ascii="Arial Nova Light" w:hAnsi="Arial Nova Light"/>
              </w:rPr>
            </w:pPr>
            <w:r w:rsidRPr="00421E4C">
              <w:rPr>
                <w:rFonts w:ascii="Arial Nova Light" w:hAnsi="Arial Nova Light"/>
              </w:rPr>
              <w:t xml:space="preserve">Provides that a governing body may not increase the debt service fund levy to pay for the interest on warrants unless the warrants have been authorized by the governing body in a resolution adopted at a public meeting in the year immediately preceding the year in which the warrants will be issued. </w:t>
            </w:r>
          </w:p>
          <w:p w14:paraId="4F2E765C" w14:textId="65921DFA" w:rsidR="00902CC1" w:rsidRPr="00421E4C" w:rsidRDefault="00902CC1" w:rsidP="00B01C86">
            <w:pPr>
              <w:rPr>
                <w:rFonts w:ascii="Arial Nova Light" w:hAnsi="Arial Nova Light"/>
              </w:rPr>
            </w:pPr>
          </w:p>
        </w:tc>
        <w:tc>
          <w:tcPr>
            <w:tcW w:w="1463" w:type="dxa"/>
            <w:shd w:val="clear" w:color="auto" w:fill="auto"/>
          </w:tcPr>
          <w:p w14:paraId="13760393" w14:textId="77777777" w:rsidR="00B01C86" w:rsidRDefault="00421E4C" w:rsidP="00B01C86">
            <w:pPr>
              <w:spacing w:after="0" w:line="240" w:lineRule="auto"/>
              <w:jc w:val="center"/>
              <w:rPr>
                <w:rFonts w:ascii="Arial Nova Light" w:hAnsi="Arial Nova Light"/>
              </w:rPr>
            </w:pPr>
            <w:r>
              <w:rPr>
                <w:rFonts w:ascii="Arial Nova Light" w:hAnsi="Arial Nova Light"/>
              </w:rPr>
              <w:t>July 1, 2021</w:t>
            </w:r>
          </w:p>
          <w:p w14:paraId="45A31B40" w14:textId="77777777" w:rsidR="00902CC1" w:rsidRDefault="00902CC1" w:rsidP="00B01C86">
            <w:pPr>
              <w:spacing w:after="0" w:line="240" w:lineRule="auto"/>
              <w:jc w:val="center"/>
              <w:rPr>
                <w:rFonts w:ascii="Arial Nova Light" w:hAnsi="Arial Nova Light"/>
              </w:rPr>
            </w:pPr>
          </w:p>
          <w:p w14:paraId="0674E794" w14:textId="77777777" w:rsidR="00902CC1" w:rsidRDefault="00902CC1" w:rsidP="00B01C86">
            <w:pPr>
              <w:spacing w:after="0" w:line="240" w:lineRule="auto"/>
              <w:jc w:val="center"/>
              <w:rPr>
                <w:rFonts w:ascii="Arial Nova Light" w:hAnsi="Arial Nova Light"/>
              </w:rPr>
            </w:pPr>
          </w:p>
          <w:p w14:paraId="5F8760A8" w14:textId="77777777" w:rsidR="00902CC1" w:rsidRDefault="00902CC1" w:rsidP="00B01C86">
            <w:pPr>
              <w:spacing w:after="0" w:line="240" w:lineRule="auto"/>
              <w:jc w:val="center"/>
              <w:rPr>
                <w:rFonts w:ascii="Arial Nova Light" w:hAnsi="Arial Nova Light"/>
              </w:rPr>
            </w:pPr>
          </w:p>
          <w:p w14:paraId="3290ADB7" w14:textId="77777777" w:rsidR="00902CC1" w:rsidRDefault="00902CC1" w:rsidP="00B01C86">
            <w:pPr>
              <w:spacing w:after="0" w:line="240" w:lineRule="auto"/>
              <w:jc w:val="center"/>
              <w:rPr>
                <w:rFonts w:ascii="Arial Nova Light" w:hAnsi="Arial Nova Light"/>
              </w:rPr>
            </w:pPr>
          </w:p>
          <w:p w14:paraId="09022361" w14:textId="77777777" w:rsidR="00902CC1" w:rsidRDefault="00902CC1" w:rsidP="00B01C86">
            <w:pPr>
              <w:spacing w:after="0" w:line="240" w:lineRule="auto"/>
              <w:jc w:val="center"/>
              <w:rPr>
                <w:rFonts w:ascii="Arial Nova Light" w:hAnsi="Arial Nova Light"/>
              </w:rPr>
            </w:pPr>
          </w:p>
          <w:p w14:paraId="42E1007F" w14:textId="77777777" w:rsidR="00902CC1" w:rsidRDefault="00902CC1" w:rsidP="00B01C86">
            <w:pPr>
              <w:spacing w:after="0" w:line="240" w:lineRule="auto"/>
              <w:jc w:val="center"/>
              <w:rPr>
                <w:rFonts w:ascii="Arial Nova Light" w:hAnsi="Arial Nova Light"/>
              </w:rPr>
            </w:pPr>
          </w:p>
          <w:p w14:paraId="51883D79" w14:textId="77777777" w:rsidR="00902CC1" w:rsidRDefault="00902CC1" w:rsidP="00B01C86">
            <w:pPr>
              <w:spacing w:after="0" w:line="240" w:lineRule="auto"/>
              <w:jc w:val="center"/>
              <w:rPr>
                <w:rFonts w:ascii="Arial Nova Light" w:hAnsi="Arial Nova Light"/>
              </w:rPr>
            </w:pPr>
          </w:p>
          <w:p w14:paraId="2C92620E" w14:textId="77777777" w:rsidR="00902CC1" w:rsidRDefault="00902CC1" w:rsidP="00B01C86">
            <w:pPr>
              <w:spacing w:after="0" w:line="240" w:lineRule="auto"/>
              <w:jc w:val="center"/>
              <w:rPr>
                <w:rFonts w:ascii="Arial Nova Light" w:hAnsi="Arial Nova Light"/>
              </w:rPr>
            </w:pPr>
          </w:p>
          <w:p w14:paraId="5682B564" w14:textId="77777777" w:rsidR="00902CC1" w:rsidRDefault="00902CC1" w:rsidP="00B01C86">
            <w:pPr>
              <w:spacing w:after="0" w:line="240" w:lineRule="auto"/>
              <w:jc w:val="center"/>
              <w:rPr>
                <w:rFonts w:ascii="Arial Nova Light" w:hAnsi="Arial Nova Light"/>
              </w:rPr>
            </w:pPr>
          </w:p>
          <w:p w14:paraId="0D2F5E8E" w14:textId="42F9006D" w:rsidR="00902CC1" w:rsidRDefault="00902CC1" w:rsidP="00B01C86">
            <w:pPr>
              <w:spacing w:after="0" w:line="240" w:lineRule="auto"/>
              <w:jc w:val="center"/>
              <w:rPr>
                <w:rFonts w:ascii="Arial Nova Light" w:hAnsi="Arial Nova Light"/>
              </w:rPr>
            </w:pPr>
            <w:r>
              <w:rPr>
                <w:rFonts w:ascii="Arial Nova Light" w:hAnsi="Arial Nova Light"/>
              </w:rPr>
              <w:t>July 1, 2021</w:t>
            </w:r>
          </w:p>
          <w:p w14:paraId="447F836F" w14:textId="6F759704" w:rsidR="00902CC1" w:rsidRPr="00472724" w:rsidRDefault="00902CC1" w:rsidP="00B01C86">
            <w:pPr>
              <w:spacing w:after="0" w:line="240" w:lineRule="auto"/>
              <w:jc w:val="center"/>
              <w:rPr>
                <w:rFonts w:ascii="Arial Nova Light" w:hAnsi="Arial Nova Light"/>
              </w:rPr>
            </w:pPr>
          </w:p>
        </w:tc>
      </w:tr>
      <w:tr w:rsidR="00B01C86" w:rsidRPr="00472724" w14:paraId="7E89FCE0" w14:textId="77777777" w:rsidTr="00734044">
        <w:tc>
          <w:tcPr>
            <w:tcW w:w="1735" w:type="dxa"/>
            <w:shd w:val="clear" w:color="auto" w:fill="auto"/>
          </w:tcPr>
          <w:p w14:paraId="7EB7B78C" w14:textId="4F4A7155" w:rsidR="00B01C86" w:rsidRDefault="003C3FBE" w:rsidP="00B01C86">
            <w:pPr>
              <w:jc w:val="center"/>
              <w:rPr>
                <w:rFonts w:ascii="Arial Nova Light" w:hAnsi="Arial Nova Light"/>
              </w:rPr>
            </w:pPr>
            <w:hyperlink r:id="rId21" w:anchor="document-d0f8f38e" w:history="1">
              <w:r w:rsidR="00B01C86" w:rsidRPr="00586564">
                <w:rPr>
                  <w:rStyle w:val="Hyperlink"/>
                  <w:rFonts w:ascii="Arial Nova Light" w:hAnsi="Arial Nova Light"/>
                </w:rPr>
                <w:t>SEA 80</w:t>
              </w:r>
            </w:hyperlink>
          </w:p>
          <w:p w14:paraId="59031BF8" w14:textId="67673DB8" w:rsidR="00B01C86" w:rsidRPr="00472724" w:rsidRDefault="00B01C86" w:rsidP="00B01C86">
            <w:pPr>
              <w:jc w:val="center"/>
              <w:rPr>
                <w:rFonts w:ascii="Arial Nova Light" w:hAnsi="Arial Nova Light"/>
              </w:rPr>
            </w:pPr>
            <w:r w:rsidRPr="00DD58E7">
              <w:rPr>
                <w:rFonts w:ascii="Arial Nova Light" w:hAnsi="Arial Nova Light"/>
              </w:rPr>
              <w:t>Code publication bill</w:t>
            </w:r>
          </w:p>
        </w:tc>
        <w:tc>
          <w:tcPr>
            <w:tcW w:w="6540" w:type="dxa"/>
            <w:shd w:val="clear" w:color="auto" w:fill="auto"/>
          </w:tcPr>
          <w:p w14:paraId="6754E690" w14:textId="4EAFAD9B" w:rsidR="00B01C86" w:rsidRPr="00586564" w:rsidRDefault="00B01C86" w:rsidP="00B01C86">
            <w:pPr>
              <w:rPr>
                <w:rFonts w:ascii="Arial Nova Light" w:hAnsi="Arial Nova Light"/>
              </w:rPr>
            </w:pPr>
            <w:r w:rsidRPr="00DD58E7">
              <w:rPr>
                <w:rFonts w:ascii="Arial Nova Light" w:hAnsi="Arial Nova Light"/>
              </w:rPr>
              <w:t xml:space="preserve">Makes Indiana Code publication amendments. Resolves technical conflicts between various enrolled acts passed during the 2021 legislative session. Corrects technical errors in various enrolled acts passed during the 2021 legislative session. </w:t>
            </w:r>
            <w:r w:rsidR="00071CD6" w:rsidRPr="00A310C7">
              <w:rPr>
                <w:rFonts w:ascii="Arial Nova Light" w:hAnsi="Arial Nova Light"/>
              </w:rPr>
              <w:t xml:space="preserve">Updates include </w:t>
            </w:r>
            <w:r w:rsidR="00A310C7" w:rsidRPr="00A310C7">
              <w:rPr>
                <w:rFonts w:ascii="Arial Nova Light" w:hAnsi="Arial Nova Light"/>
              </w:rPr>
              <w:t>technical corrections related to electronic meetings and publication of notices.</w:t>
            </w:r>
          </w:p>
        </w:tc>
        <w:tc>
          <w:tcPr>
            <w:tcW w:w="1463" w:type="dxa"/>
            <w:shd w:val="clear" w:color="auto" w:fill="auto"/>
          </w:tcPr>
          <w:p w14:paraId="3F1E0A9D" w14:textId="53DB89CD" w:rsidR="00B01C86" w:rsidRPr="00472724" w:rsidRDefault="00040251" w:rsidP="00B01C86">
            <w:pPr>
              <w:spacing w:after="0" w:line="240" w:lineRule="auto"/>
              <w:jc w:val="center"/>
              <w:rPr>
                <w:rFonts w:ascii="Arial Nova Light" w:hAnsi="Arial Nova Light"/>
              </w:rPr>
            </w:pPr>
            <w:r>
              <w:rPr>
                <w:rFonts w:ascii="Arial Nova Light" w:hAnsi="Arial Nova Light"/>
              </w:rPr>
              <w:t>July 1, 2021</w:t>
            </w:r>
          </w:p>
        </w:tc>
      </w:tr>
      <w:tr w:rsidR="00B01C86" w:rsidRPr="00472724" w14:paraId="1B5E988E" w14:textId="77777777" w:rsidTr="00734044">
        <w:tc>
          <w:tcPr>
            <w:tcW w:w="1735" w:type="dxa"/>
            <w:shd w:val="clear" w:color="auto" w:fill="auto"/>
          </w:tcPr>
          <w:p w14:paraId="63CC4E18" w14:textId="35EED76B" w:rsidR="00B01C86" w:rsidRDefault="003C3FBE" w:rsidP="00B01C86">
            <w:pPr>
              <w:jc w:val="center"/>
              <w:rPr>
                <w:rFonts w:ascii="Arial Nova Light" w:hAnsi="Arial Nova Light"/>
              </w:rPr>
            </w:pPr>
            <w:hyperlink r:id="rId22" w:anchor="document-4b6e8c6c" w:history="1">
              <w:r w:rsidR="00B01C86" w:rsidRPr="00CE21C3">
                <w:rPr>
                  <w:rStyle w:val="Hyperlink"/>
                  <w:rFonts w:ascii="Arial Nova Light" w:hAnsi="Arial Nova Light"/>
                </w:rPr>
                <w:t>SEA 188</w:t>
              </w:r>
            </w:hyperlink>
          </w:p>
          <w:p w14:paraId="72EAF29A" w14:textId="58F901F1" w:rsidR="00B01C86" w:rsidRPr="00472724" w:rsidRDefault="00B01C86" w:rsidP="00B01C86">
            <w:pPr>
              <w:jc w:val="center"/>
              <w:rPr>
                <w:rFonts w:ascii="Arial Nova Light" w:hAnsi="Arial Nova Light"/>
              </w:rPr>
            </w:pPr>
            <w:r w:rsidRPr="00CE21C3">
              <w:rPr>
                <w:rFonts w:ascii="Arial Nova Light" w:hAnsi="Arial Nova Light"/>
              </w:rPr>
              <w:t>Revised Uniform Unclaimed Property Act</w:t>
            </w:r>
          </w:p>
        </w:tc>
        <w:tc>
          <w:tcPr>
            <w:tcW w:w="6540" w:type="dxa"/>
            <w:shd w:val="clear" w:color="auto" w:fill="auto"/>
          </w:tcPr>
          <w:p w14:paraId="3A69EAE4" w14:textId="4A7E841E" w:rsidR="00B01C86" w:rsidRPr="00CE21C3" w:rsidRDefault="00B01C86" w:rsidP="00B01C86">
            <w:pPr>
              <w:rPr>
                <w:rFonts w:ascii="Arial Nova Light" w:hAnsi="Arial Nova Light"/>
                <w:b/>
                <w:bCs/>
              </w:rPr>
            </w:pPr>
            <w:r w:rsidRPr="0084193A">
              <w:rPr>
                <w:rFonts w:ascii="Arial Nova Light" w:hAnsi="Arial Nova Light"/>
              </w:rPr>
              <w:t>Repeals the unclaimed property act and replaces it with the revised unclaimed property act. Makes conforming amendments.</w:t>
            </w:r>
            <w:r w:rsidR="00502BC6">
              <w:rPr>
                <w:rFonts w:ascii="Arial Nova Light" w:hAnsi="Arial Nova Light"/>
              </w:rPr>
              <w:t xml:space="preserve"> </w:t>
            </w:r>
            <w:r>
              <w:rPr>
                <w:rFonts w:ascii="Arial Nova Light" w:hAnsi="Arial Nova Light"/>
                <w:b/>
                <w:bCs/>
              </w:rPr>
              <w:t xml:space="preserve"> </w:t>
            </w:r>
          </w:p>
        </w:tc>
        <w:tc>
          <w:tcPr>
            <w:tcW w:w="1463" w:type="dxa"/>
            <w:shd w:val="clear" w:color="auto" w:fill="auto"/>
          </w:tcPr>
          <w:p w14:paraId="0C650ADE" w14:textId="696EADD2" w:rsidR="00B01C86" w:rsidRPr="00472724" w:rsidRDefault="00607051" w:rsidP="00B01C86">
            <w:pPr>
              <w:spacing w:after="0" w:line="240" w:lineRule="auto"/>
              <w:jc w:val="center"/>
              <w:rPr>
                <w:rFonts w:ascii="Arial Nova Light" w:hAnsi="Arial Nova Light"/>
              </w:rPr>
            </w:pPr>
            <w:r>
              <w:rPr>
                <w:rFonts w:ascii="Arial Nova Light" w:hAnsi="Arial Nova Light"/>
              </w:rPr>
              <w:t>July 1, 2021</w:t>
            </w:r>
          </w:p>
        </w:tc>
      </w:tr>
      <w:tr w:rsidR="00B01C86" w:rsidRPr="00472724" w14:paraId="083D530B" w14:textId="77777777" w:rsidTr="00734044">
        <w:tc>
          <w:tcPr>
            <w:tcW w:w="1735" w:type="dxa"/>
            <w:shd w:val="clear" w:color="auto" w:fill="auto"/>
          </w:tcPr>
          <w:p w14:paraId="3EB69675" w14:textId="1F2F7DFC" w:rsidR="00B01C86" w:rsidRDefault="003C3FBE" w:rsidP="00B01C86">
            <w:pPr>
              <w:jc w:val="center"/>
              <w:rPr>
                <w:rFonts w:ascii="Arial Nova Light" w:hAnsi="Arial Nova Light"/>
              </w:rPr>
            </w:pPr>
            <w:hyperlink r:id="rId23" w:anchor="document-ad11176f" w:history="1">
              <w:r w:rsidR="00B01C86" w:rsidRPr="0082084E">
                <w:rPr>
                  <w:rStyle w:val="Hyperlink"/>
                  <w:rFonts w:ascii="Arial Nova Light" w:hAnsi="Arial Nova Light"/>
                </w:rPr>
                <w:t>SEA 304</w:t>
              </w:r>
            </w:hyperlink>
          </w:p>
          <w:p w14:paraId="32B511CB" w14:textId="385562A8" w:rsidR="00B01C86" w:rsidRPr="00472724" w:rsidRDefault="00B01C86" w:rsidP="00B01C86">
            <w:pPr>
              <w:jc w:val="center"/>
              <w:rPr>
                <w:rFonts w:ascii="Arial Nova Light" w:hAnsi="Arial Nova Light"/>
              </w:rPr>
            </w:pPr>
            <w:r w:rsidRPr="0055266C">
              <w:rPr>
                <w:rFonts w:ascii="Arial Nova Light" w:hAnsi="Arial Nova Light"/>
              </w:rPr>
              <w:t>Indemnity agreements in public works contracts</w:t>
            </w:r>
          </w:p>
        </w:tc>
        <w:tc>
          <w:tcPr>
            <w:tcW w:w="6540" w:type="dxa"/>
            <w:shd w:val="clear" w:color="auto" w:fill="auto"/>
          </w:tcPr>
          <w:p w14:paraId="6778542A" w14:textId="28132C35" w:rsidR="00B01C86" w:rsidRPr="0082084E" w:rsidRDefault="00B01C86" w:rsidP="00B01C86">
            <w:pPr>
              <w:rPr>
                <w:rFonts w:ascii="Arial Nova Light" w:hAnsi="Arial Nova Light"/>
              </w:rPr>
            </w:pPr>
            <w:r w:rsidRPr="0055266C">
              <w:rPr>
                <w:rFonts w:ascii="Arial Nova Light" w:hAnsi="Arial Nova Light"/>
              </w:rPr>
              <w:t xml:space="preserve">Provides that a statute that invalidates indemnity agreements in construction contracts relating to providing certain professional services is applicable to such contracts relating to public works projects. </w:t>
            </w:r>
            <w:r w:rsidR="003129AC">
              <w:rPr>
                <w:rFonts w:ascii="Arial Nova Light" w:hAnsi="Arial Nova Light"/>
              </w:rPr>
              <w:t xml:space="preserve"> </w:t>
            </w:r>
            <w:r>
              <w:rPr>
                <w:rFonts w:ascii="Arial Nova Light" w:hAnsi="Arial Nova Light"/>
              </w:rPr>
              <w:t xml:space="preserve"> </w:t>
            </w:r>
          </w:p>
        </w:tc>
        <w:tc>
          <w:tcPr>
            <w:tcW w:w="1463" w:type="dxa"/>
            <w:shd w:val="clear" w:color="auto" w:fill="auto"/>
          </w:tcPr>
          <w:p w14:paraId="0E41AAAC" w14:textId="5655F2EE" w:rsidR="00B01C86" w:rsidRPr="00472724" w:rsidRDefault="002E7136" w:rsidP="00B01C86">
            <w:pPr>
              <w:spacing w:after="0" w:line="240" w:lineRule="auto"/>
              <w:jc w:val="center"/>
              <w:rPr>
                <w:rFonts w:ascii="Arial Nova Light" w:hAnsi="Arial Nova Light"/>
              </w:rPr>
            </w:pPr>
            <w:r>
              <w:rPr>
                <w:rFonts w:ascii="Arial Nova Light" w:hAnsi="Arial Nova Light"/>
              </w:rPr>
              <w:t>July 1, 2021</w:t>
            </w:r>
          </w:p>
        </w:tc>
      </w:tr>
      <w:tr w:rsidR="00B01C86" w:rsidRPr="00472724" w14:paraId="48B7B2EC" w14:textId="77777777" w:rsidTr="00734044">
        <w:tc>
          <w:tcPr>
            <w:tcW w:w="1735" w:type="dxa"/>
            <w:shd w:val="clear" w:color="auto" w:fill="auto"/>
          </w:tcPr>
          <w:p w14:paraId="1EFCA2FF" w14:textId="3499FA62" w:rsidR="00B01C86" w:rsidRDefault="003C3FBE" w:rsidP="00B01C86">
            <w:pPr>
              <w:jc w:val="center"/>
              <w:rPr>
                <w:rFonts w:ascii="Arial Nova Light" w:hAnsi="Arial Nova Light"/>
              </w:rPr>
            </w:pPr>
            <w:hyperlink r:id="rId24" w:anchor="digest-heading" w:history="1">
              <w:r w:rsidR="00B01C86" w:rsidRPr="000B4917">
                <w:rPr>
                  <w:rStyle w:val="Hyperlink"/>
                  <w:rFonts w:ascii="Arial Nova Light" w:hAnsi="Arial Nova Light"/>
                </w:rPr>
                <w:t>SEA 332</w:t>
              </w:r>
            </w:hyperlink>
          </w:p>
          <w:p w14:paraId="044BBB01" w14:textId="26563368" w:rsidR="00B01C86" w:rsidRPr="00472724" w:rsidRDefault="00B01C86" w:rsidP="00B01C86">
            <w:pPr>
              <w:jc w:val="center"/>
              <w:rPr>
                <w:rFonts w:ascii="Arial Nova Light" w:hAnsi="Arial Nova Light"/>
              </w:rPr>
            </w:pPr>
            <w:r w:rsidRPr="000B4917">
              <w:rPr>
                <w:rFonts w:ascii="Arial Nova Light" w:hAnsi="Arial Nova Light"/>
              </w:rPr>
              <w:t>Publication of notice by political subdivisions</w:t>
            </w:r>
          </w:p>
        </w:tc>
        <w:tc>
          <w:tcPr>
            <w:tcW w:w="6540" w:type="dxa"/>
            <w:shd w:val="clear" w:color="auto" w:fill="auto"/>
          </w:tcPr>
          <w:p w14:paraId="0BB506AC" w14:textId="77777777" w:rsidR="00B01C86" w:rsidRDefault="00B01C86" w:rsidP="00B01C86">
            <w:pPr>
              <w:rPr>
                <w:rFonts w:ascii="Arial Nova Light" w:hAnsi="Arial Nova Light"/>
              </w:rPr>
            </w:pPr>
            <w:r w:rsidRPr="004F325A">
              <w:rPr>
                <w:rFonts w:ascii="Arial Nova Light" w:hAnsi="Arial Nova Light"/>
              </w:rPr>
              <w:t xml:space="preserve">Allows a </w:t>
            </w:r>
            <w:r w:rsidRPr="00FB621A">
              <w:rPr>
                <w:rFonts w:ascii="Arial Nova Light" w:hAnsi="Arial Nova Light"/>
              </w:rPr>
              <w:t>political subdivision</w:t>
            </w:r>
            <w:r w:rsidRPr="004F325A">
              <w:rPr>
                <w:rFonts w:ascii="Arial Nova Light" w:hAnsi="Arial Nova Light"/>
              </w:rPr>
              <w:t xml:space="preserve">, when required by statute to publish a notice two or more times, to make the first publication of notice in a newspaper and any subsequent publications of the notice on the official web site of the </w:t>
            </w:r>
            <w:r w:rsidRPr="000B4917">
              <w:rPr>
                <w:rFonts w:ascii="Arial Nova Light" w:hAnsi="Arial Nova Light"/>
              </w:rPr>
              <w:t>political subdivision.</w:t>
            </w:r>
            <w:r w:rsidRPr="004F325A">
              <w:rPr>
                <w:rFonts w:ascii="Arial Nova Light" w:hAnsi="Arial Nova Light"/>
              </w:rPr>
              <w:t xml:space="preserve"> </w:t>
            </w:r>
          </w:p>
          <w:p w14:paraId="6851B6DB" w14:textId="3ACDB9F2" w:rsidR="00B01C86" w:rsidRPr="00EE2967" w:rsidRDefault="00B01C86" w:rsidP="00B01C86">
            <w:pPr>
              <w:rPr>
                <w:rFonts w:ascii="Arial Nova Light" w:hAnsi="Arial Nova Light"/>
              </w:rPr>
            </w:pPr>
            <w:r w:rsidRPr="004F325A">
              <w:rPr>
                <w:rFonts w:ascii="Arial Nova Light" w:hAnsi="Arial Nova Light"/>
              </w:rPr>
              <w:t xml:space="preserve">Requires the political subdivision or contractor that maintains the political subdivision's official web site to provide proof of publication of the notice on the official web site. </w:t>
            </w:r>
          </w:p>
        </w:tc>
        <w:tc>
          <w:tcPr>
            <w:tcW w:w="1463" w:type="dxa"/>
            <w:shd w:val="clear" w:color="auto" w:fill="auto"/>
          </w:tcPr>
          <w:p w14:paraId="21E0D0D1" w14:textId="40F8C929" w:rsidR="00B01C86" w:rsidRPr="00472724" w:rsidRDefault="00DB4A54" w:rsidP="00B01C86">
            <w:pPr>
              <w:spacing w:after="0" w:line="240" w:lineRule="auto"/>
              <w:jc w:val="center"/>
              <w:rPr>
                <w:rFonts w:ascii="Arial Nova Light" w:hAnsi="Arial Nova Light"/>
              </w:rPr>
            </w:pPr>
            <w:r>
              <w:rPr>
                <w:rFonts w:ascii="Arial Nova Light" w:hAnsi="Arial Nova Light"/>
              </w:rPr>
              <w:t>July 1, 2021</w:t>
            </w:r>
          </w:p>
        </w:tc>
      </w:tr>
    </w:tbl>
    <w:p w14:paraId="39F22E4F" w14:textId="77777777" w:rsidR="00B36B10" w:rsidRPr="00472724" w:rsidRDefault="00B36B10" w:rsidP="00B36B10">
      <w:pPr>
        <w:spacing w:after="0" w:line="240" w:lineRule="auto"/>
        <w:rPr>
          <w:rFonts w:ascii="Arial Nova Light" w:hAnsi="Arial Nova Light"/>
        </w:rPr>
      </w:pPr>
    </w:p>
    <w:p w14:paraId="37926D9F" w14:textId="05B5E567" w:rsidR="00253CC5" w:rsidRPr="00472724" w:rsidRDefault="008216FF" w:rsidP="008216FF">
      <w:pPr>
        <w:tabs>
          <w:tab w:val="left" w:pos="6286"/>
        </w:tabs>
        <w:spacing w:after="0" w:line="240" w:lineRule="auto"/>
        <w:rPr>
          <w:rFonts w:ascii="Arial Nova Light" w:hAnsi="Arial Nova Light"/>
        </w:rPr>
      </w:pPr>
      <w:r>
        <w:rPr>
          <w:rFonts w:ascii="Arial Nova Light" w:hAnsi="Arial Nova Light"/>
        </w:rPr>
        <w:tab/>
      </w:r>
    </w:p>
    <w:sectPr w:rsidR="00253CC5" w:rsidRPr="004727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8DA7" w14:textId="77777777" w:rsidR="003C3FBE" w:rsidRDefault="003C3FBE" w:rsidP="000D2E04">
      <w:pPr>
        <w:spacing w:after="0" w:line="240" w:lineRule="auto"/>
      </w:pPr>
      <w:r>
        <w:separator/>
      </w:r>
    </w:p>
  </w:endnote>
  <w:endnote w:type="continuationSeparator" w:id="0">
    <w:p w14:paraId="61D0130A" w14:textId="77777777" w:rsidR="003C3FBE" w:rsidRDefault="003C3FBE" w:rsidP="000D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5F68" w14:textId="77777777" w:rsidR="00420908" w:rsidRDefault="00420908" w:rsidP="000D2E04">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521FC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21FC2">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DABD" w14:textId="77777777" w:rsidR="003C3FBE" w:rsidRDefault="003C3FBE" w:rsidP="000D2E04">
      <w:pPr>
        <w:spacing w:after="0" w:line="240" w:lineRule="auto"/>
      </w:pPr>
      <w:r>
        <w:separator/>
      </w:r>
    </w:p>
  </w:footnote>
  <w:footnote w:type="continuationSeparator" w:id="0">
    <w:p w14:paraId="7AF6FEBE" w14:textId="77777777" w:rsidR="003C3FBE" w:rsidRDefault="003C3FBE" w:rsidP="000D2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208"/>
    <w:multiLevelType w:val="hybridMultilevel"/>
    <w:tmpl w:val="19A88208"/>
    <w:lvl w:ilvl="0" w:tplc="E5C40B5A">
      <w:start w:val="1"/>
      <w:numFmt w:val="decimal"/>
      <w:lvlText w:val="(%1)"/>
      <w:lvlJc w:val="left"/>
      <w:pPr>
        <w:ind w:left="720" w:hanging="360"/>
      </w:pPr>
      <w:rPr>
        <w:rFonts w:ascii="Century Gothic" w:eastAsia="Calibri" w:hAnsi="Century Gothic"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10"/>
    <w:rsid w:val="000334D6"/>
    <w:rsid w:val="00036D91"/>
    <w:rsid w:val="00040251"/>
    <w:rsid w:val="00042B8A"/>
    <w:rsid w:val="00043C09"/>
    <w:rsid w:val="00055003"/>
    <w:rsid w:val="00057834"/>
    <w:rsid w:val="00061011"/>
    <w:rsid w:val="00064670"/>
    <w:rsid w:val="0006568B"/>
    <w:rsid w:val="00071CD6"/>
    <w:rsid w:val="000817A0"/>
    <w:rsid w:val="00083AFF"/>
    <w:rsid w:val="00087BE3"/>
    <w:rsid w:val="000901A4"/>
    <w:rsid w:val="000A24EC"/>
    <w:rsid w:val="000B2754"/>
    <w:rsid w:val="000B4917"/>
    <w:rsid w:val="000C16D1"/>
    <w:rsid w:val="000D2E04"/>
    <w:rsid w:val="000D427E"/>
    <w:rsid w:val="000E3B79"/>
    <w:rsid w:val="000E601C"/>
    <w:rsid w:val="000F186E"/>
    <w:rsid w:val="000F60F3"/>
    <w:rsid w:val="000F644A"/>
    <w:rsid w:val="00116ADC"/>
    <w:rsid w:val="001301D0"/>
    <w:rsid w:val="001313E5"/>
    <w:rsid w:val="00131CD3"/>
    <w:rsid w:val="001360AC"/>
    <w:rsid w:val="00146043"/>
    <w:rsid w:val="00147A5E"/>
    <w:rsid w:val="00151312"/>
    <w:rsid w:val="00157C7F"/>
    <w:rsid w:val="00160850"/>
    <w:rsid w:val="00164EAB"/>
    <w:rsid w:val="00171ACC"/>
    <w:rsid w:val="00185AF3"/>
    <w:rsid w:val="0019077C"/>
    <w:rsid w:val="00193651"/>
    <w:rsid w:val="001A0124"/>
    <w:rsid w:val="001A36D3"/>
    <w:rsid w:val="001A398E"/>
    <w:rsid w:val="001A439B"/>
    <w:rsid w:val="001A5C51"/>
    <w:rsid w:val="001C021B"/>
    <w:rsid w:val="001C05A9"/>
    <w:rsid w:val="001C30D5"/>
    <w:rsid w:val="001C3757"/>
    <w:rsid w:val="001D5117"/>
    <w:rsid w:val="001E0C7C"/>
    <w:rsid w:val="001F2180"/>
    <w:rsid w:val="001F4284"/>
    <w:rsid w:val="001F4C01"/>
    <w:rsid w:val="00210400"/>
    <w:rsid w:val="00215283"/>
    <w:rsid w:val="00222FA6"/>
    <w:rsid w:val="00245B88"/>
    <w:rsid w:val="002502E5"/>
    <w:rsid w:val="00250E7F"/>
    <w:rsid w:val="00251428"/>
    <w:rsid w:val="00253CC5"/>
    <w:rsid w:val="0027262E"/>
    <w:rsid w:val="002A44E3"/>
    <w:rsid w:val="002A4DED"/>
    <w:rsid w:val="002B10EE"/>
    <w:rsid w:val="002B15E3"/>
    <w:rsid w:val="002C2251"/>
    <w:rsid w:val="002C603F"/>
    <w:rsid w:val="002C7B4C"/>
    <w:rsid w:val="002D4F4F"/>
    <w:rsid w:val="002E586D"/>
    <w:rsid w:val="002E6F9E"/>
    <w:rsid w:val="002E7136"/>
    <w:rsid w:val="002F056F"/>
    <w:rsid w:val="002F4DA1"/>
    <w:rsid w:val="00300FE0"/>
    <w:rsid w:val="00301CDE"/>
    <w:rsid w:val="00302871"/>
    <w:rsid w:val="003129AC"/>
    <w:rsid w:val="0031750E"/>
    <w:rsid w:val="00326D75"/>
    <w:rsid w:val="00332C7F"/>
    <w:rsid w:val="00340BEB"/>
    <w:rsid w:val="00343985"/>
    <w:rsid w:val="00352A85"/>
    <w:rsid w:val="003600FD"/>
    <w:rsid w:val="003734AA"/>
    <w:rsid w:val="00373AD1"/>
    <w:rsid w:val="00374467"/>
    <w:rsid w:val="00383569"/>
    <w:rsid w:val="003835F5"/>
    <w:rsid w:val="0038557E"/>
    <w:rsid w:val="00386156"/>
    <w:rsid w:val="003920E1"/>
    <w:rsid w:val="00393875"/>
    <w:rsid w:val="003A4330"/>
    <w:rsid w:val="003B5A2E"/>
    <w:rsid w:val="003C0266"/>
    <w:rsid w:val="003C0CB6"/>
    <w:rsid w:val="003C3FBE"/>
    <w:rsid w:val="003C3FFA"/>
    <w:rsid w:val="003C4866"/>
    <w:rsid w:val="003C5AD9"/>
    <w:rsid w:val="003E6220"/>
    <w:rsid w:val="00406E5B"/>
    <w:rsid w:val="00411B10"/>
    <w:rsid w:val="00411B4A"/>
    <w:rsid w:val="00415594"/>
    <w:rsid w:val="00420908"/>
    <w:rsid w:val="00421E4C"/>
    <w:rsid w:val="00422083"/>
    <w:rsid w:val="00423075"/>
    <w:rsid w:val="0044239A"/>
    <w:rsid w:val="00447DC0"/>
    <w:rsid w:val="004501E1"/>
    <w:rsid w:val="00452753"/>
    <w:rsid w:val="00464C57"/>
    <w:rsid w:val="00465C04"/>
    <w:rsid w:val="004722CD"/>
    <w:rsid w:val="00472724"/>
    <w:rsid w:val="0047637E"/>
    <w:rsid w:val="00483993"/>
    <w:rsid w:val="00492E64"/>
    <w:rsid w:val="004939EC"/>
    <w:rsid w:val="004B5CDE"/>
    <w:rsid w:val="004C5A0C"/>
    <w:rsid w:val="004C6F7F"/>
    <w:rsid w:val="004D38ED"/>
    <w:rsid w:val="004D749A"/>
    <w:rsid w:val="004E3097"/>
    <w:rsid w:val="004E5269"/>
    <w:rsid w:val="004E6985"/>
    <w:rsid w:val="004F1E8E"/>
    <w:rsid w:val="004F325A"/>
    <w:rsid w:val="004F5BFD"/>
    <w:rsid w:val="004F73A6"/>
    <w:rsid w:val="00500DED"/>
    <w:rsid w:val="005027F9"/>
    <w:rsid w:val="00502BC6"/>
    <w:rsid w:val="00502FA2"/>
    <w:rsid w:val="005164FD"/>
    <w:rsid w:val="00517C35"/>
    <w:rsid w:val="005214CA"/>
    <w:rsid w:val="00521FC2"/>
    <w:rsid w:val="005232AC"/>
    <w:rsid w:val="00540B3E"/>
    <w:rsid w:val="005473F8"/>
    <w:rsid w:val="0055252F"/>
    <w:rsid w:val="0055266C"/>
    <w:rsid w:val="005565E2"/>
    <w:rsid w:val="00560D2F"/>
    <w:rsid w:val="00584B0E"/>
    <w:rsid w:val="00585D42"/>
    <w:rsid w:val="00586564"/>
    <w:rsid w:val="005B3AD5"/>
    <w:rsid w:val="005B41FF"/>
    <w:rsid w:val="005C350B"/>
    <w:rsid w:val="005C4C15"/>
    <w:rsid w:val="005C6335"/>
    <w:rsid w:val="005D634A"/>
    <w:rsid w:val="005E70E6"/>
    <w:rsid w:val="005F5588"/>
    <w:rsid w:val="005F69AA"/>
    <w:rsid w:val="005F7BFE"/>
    <w:rsid w:val="006040A8"/>
    <w:rsid w:val="0060462E"/>
    <w:rsid w:val="00607051"/>
    <w:rsid w:val="00610965"/>
    <w:rsid w:val="00612AFC"/>
    <w:rsid w:val="00623A79"/>
    <w:rsid w:val="00632C97"/>
    <w:rsid w:val="00635A92"/>
    <w:rsid w:val="0064514A"/>
    <w:rsid w:val="0064563A"/>
    <w:rsid w:val="0065019F"/>
    <w:rsid w:val="0066381E"/>
    <w:rsid w:val="006777E3"/>
    <w:rsid w:val="006828F6"/>
    <w:rsid w:val="00691BCB"/>
    <w:rsid w:val="006972FD"/>
    <w:rsid w:val="006C2951"/>
    <w:rsid w:val="006D1748"/>
    <w:rsid w:val="006E1E8A"/>
    <w:rsid w:val="006E3464"/>
    <w:rsid w:val="006E3BE7"/>
    <w:rsid w:val="00705725"/>
    <w:rsid w:val="007159B9"/>
    <w:rsid w:val="0073304D"/>
    <w:rsid w:val="00734044"/>
    <w:rsid w:val="007349E1"/>
    <w:rsid w:val="0074131B"/>
    <w:rsid w:val="007415B4"/>
    <w:rsid w:val="00743808"/>
    <w:rsid w:val="007465A9"/>
    <w:rsid w:val="0074662F"/>
    <w:rsid w:val="007469B4"/>
    <w:rsid w:val="007577FD"/>
    <w:rsid w:val="00760916"/>
    <w:rsid w:val="007616E1"/>
    <w:rsid w:val="00763A60"/>
    <w:rsid w:val="007642A3"/>
    <w:rsid w:val="007652ED"/>
    <w:rsid w:val="007745C5"/>
    <w:rsid w:val="00783854"/>
    <w:rsid w:val="00785A3E"/>
    <w:rsid w:val="00786EB1"/>
    <w:rsid w:val="007916F7"/>
    <w:rsid w:val="007A2526"/>
    <w:rsid w:val="007B27DF"/>
    <w:rsid w:val="007C180B"/>
    <w:rsid w:val="007C4C86"/>
    <w:rsid w:val="007C5D06"/>
    <w:rsid w:val="007D093D"/>
    <w:rsid w:val="007E3FCB"/>
    <w:rsid w:val="007E49E1"/>
    <w:rsid w:val="007E4F62"/>
    <w:rsid w:val="007E6807"/>
    <w:rsid w:val="007F4B3A"/>
    <w:rsid w:val="007F521F"/>
    <w:rsid w:val="00807C4B"/>
    <w:rsid w:val="008115F6"/>
    <w:rsid w:val="0081799B"/>
    <w:rsid w:val="00820418"/>
    <w:rsid w:val="0082084E"/>
    <w:rsid w:val="008216FF"/>
    <w:rsid w:val="0082305C"/>
    <w:rsid w:val="00825878"/>
    <w:rsid w:val="00835E9C"/>
    <w:rsid w:val="0084193A"/>
    <w:rsid w:val="00851A48"/>
    <w:rsid w:val="00854FA1"/>
    <w:rsid w:val="00861B6E"/>
    <w:rsid w:val="008825D9"/>
    <w:rsid w:val="00886B71"/>
    <w:rsid w:val="008912C7"/>
    <w:rsid w:val="00893252"/>
    <w:rsid w:val="008A169D"/>
    <w:rsid w:val="008B106C"/>
    <w:rsid w:val="008B17D6"/>
    <w:rsid w:val="008B2BC7"/>
    <w:rsid w:val="008C3EDB"/>
    <w:rsid w:val="008D5670"/>
    <w:rsid w:val="008D6DFB"/>
    <w:rsid w:val="008E768F"/>
    <w:rsid w:val="008E7D2C"/>
    <w:rsid w:val="0090072F"/>
    <w:rsid w:val="00902CC1"/>
    <w:rsid w:val="00902F75"/>
    <w:rsid w:val="0091672C"/>
    <w:rsid w:val="00924E78"/>
    <w:rsid w:val="00940085"/>
    <w:rsid w:val="009462FD"/>
    <w:rsid w:val="00951BB6"/>
    <w:rsid w:val="00956D9F"/>
    <w:rsid w:val="00977E93"/>
    <w:rsid w:val="00992261"/>
    <w:rsid w:val="009A37E3"/>
    <w:rsid w:val="009A39D7"/>
    <w:rsid w:val="009A3A48"/>
    <w:rsid w:val="009B603C"/>
    <w:rsid w:val="009C2E7E"/>
    <w:rsid w:val="009C5DC1"/>
    <w:rsid w:val="009C6886"/>
    <w:rsid w:val="009D48B9"/>
    <w:rsid w:val="009E0C6A"/>
    <w:rsid w:val="00A059A2"/>
    <w:rsid w:val="00A11C0D"/>
    <w:rsid w:val="00A15AEF"/>
    <w:rsid w:val="00A178B3"/>
    <w:rsid w:val="00A23B7C"/>
    <w:rsid w:val="00A23D2D"/>
    <w:rsid w:val="00A242F9"/>
    <w:rsid w:val="00A264F0"/>
    <w:rsid w:val="00A3107B"/>
    <w:rsid w:val="00A310C7"/>
    <w:rsid w:val="00A32A15"/>
    <w:rsid w:val="00A338B3"/>
    <w:rsid w:val="00A34E89"/>
    <w:rsid w:val="00A43134"/>
    <w:rsid w:val="00A61CE4"/>
    <w:rsid w:val="00A94318"/>
    <w:rsid w:val="00A94D5E"/>
    <w:rsid w:val="00A94D9C"/>
    <w:rsid w:val="00AA5340"/>
    <w:rsid w:val="00AC022A"/>
    <w:rsid w:val="00AD14A2"/>
    <w:rsid w:val="00AD60E2"/>
    <w:rsid w:val="00AF1F6B"/>
    <w:rsid w:val="00AF3D4E"/>
    <w:rsid w:val="00AF624C"/>
    <w:rsid w:val="00B01C86"/>
    <w:rsid w:val="00B10055"/>
    <w:rsid w:val="00B12B9D"/>
    <w:rsid w:val="00B13C40"/>
    <w:rsid w:val="00B342B2"/>
    <w:rsid w:val="00B36B10"/>
    <w:rsid w:val="00B41E6C"/>
    <w:rsid w:val="00B42ACD"/>
    <w:rsid w:val="00B47121"/>
    <w:rsid w:val="00B51F0C"/>
    <w:rsid w:val="00B6325F"/>
    <w:rsid w:val="00B66E53"/>
    <w:rsid w:val="00B71E61"/>
    <w:rsid w:val="00B7745C"/>
    <w:rsid w:val="00B82CE5"/>
    <w:rsid w:val="00B92EEC"/>
    <w:rsid w:val="00B941BF"/>
    <w:rsid w:val="00B962E9"/>
    <w:rsid w:val="00BA60FA"/>
    <w:rsid w:val="00BB1C41"/>
    <w:rsid w:val="00BB70CF"/>
    <w:rsid w:val="00BC4C79"/>
    <w:rsid w:val="00BC55DF"/>
    <w:rsid w:val="00BC5960"/>
    <w:rsid w:val="00BD4A46"/>
    <w:rsid w:val="00BE1428"/>
    <w:rsid w:val="00BF06F0"/>
    <w:rsid w:val="00BF29AF"/>
    <w:rsid w:val="00BF2A80"/>
    <w:rsid w:val="00C00255"/>
    <w:rsid w:val="00C15C4C"/>
    <w:rsid w:val="00C215D2"/>
    <w:rsid w:val="00C2300E"/>
    <w:rsid w:val="00C315E4"/>
    <w:rsid w:val="00C42EA3"/>
    <w:rsid w:val="00C44126"/>
    <w:rsid w:val="00C44C0A"/>
    <w:rsid w:val="00C5090A"/>
    <w:rsid w:val="00C62FFA"/>
    <w:rsid w:val="00C712DF"/>
    <w:rsid w:val="00C71B3D"/>
    <w:rsid w:val="00C727DA"/>
    <w:rsid w:val="00C73B90"/>
    <w:rsid w:val="00C74F93"/>
    <w:rsid w:val="00C7638B"/>
    <w:rsid w:val="00C7672A"/>
    <w:rsid w:val="00C76EFF"/>
    <w:rsid w:val="00C94A11"/>
    <w:rsid w:val="00C94CBD"/>
    <w:rsid w:val="00C96C7F"/>
    <w:rsid w:val="00CB430D"/>
    <w:rsid w:val="00CC1547"/>
    <w:rsid w:val="00CE21C3"/>
    <w:rsid w:val="00CE2CA0"/>
    <w:rsid w:val="00CF26CD"/>
    <w:rsid w:val="00CF6623"/>
    <w:rsid w:val="00D00905"/>
    <w:rsid w:val="00D05209"/>
    <w:rsid w:val="00D07242"/>
    <w:rsid w:val="00D1313E"/>
    <w:rsid w:val="00D13B69"/>
    <w:rsid w:val="00D1501A"/>
    <w:rsid w:val="00D25209"/>
    <w:rsid w:val="00D257C3"/>
    <w:rsid w:val="00D27681"/>
    <w:rsid w:val="00D27DBF"/>
    <w:rsid w:val="00D30023"/>
    <w:rsid w:val="00D3371D"/>
    <w:rsid w:val="00D346F3"/>
    <w:rsid w:val="00D34C3F"/>
    <w:rsid w:val="00D35CA2"/>
    <w:rsid w:val="00D3634A"/>
    <w:rsid w:val="00D46301"/>
    <w:rsid w:val="00D50ABB"/>
    <w:rsid w:val="00D54345"/>
    <w:rsid w:val="00D56A9C"/>
    <w:rsid w:val="00D6621B"/>
    <w:rsid w:val="00D7688B"/>
    <w:rsid w:val="00D84E7E"/>
    <w:rsid w:val="00D85DFE"/>
    <w:rsid w:val="00D97468"/>
    <w:rsid w:val="00DA42C1"/>
    <w:rsid w:val="00DA6C56"/>
    <w:rsid w:val="00DB14DD"/>
    <w:rsid w:val="00DB3540"/>
    <w:rsid w:val="00DB3871"/>
    <w:rsid w:val="00DB4A54"/>
    <w:rsid w:val="00DC6DAF"/>
    <w:rsid w:val="00DC6F52"/>
    <w:rsid w:val="00DD58E7"/>
    <w:rsid w:val="00DE21CB"/>
    <w:rsid w:val="00DE3C27"/>
    <w:rsid w:val="00DE698B"/>
    <w:rsid w:val="00DE7D65"/>
    <w:rsid w:val="00DF0199"/>
    <w:rsid w:val="00DF690C"/>
    <w:rsid w:val="00E10758"/>
    <w:rsid w:val="00E2241C"/>
    <w:rsid w:val="00E329EB"/>
    <w:rsid w:val="00E34676"/>
    <w:rsid w:val="00E42E1D"/>
    <w:rsid w:val="00E45FB0"/>
    <w:rsid w:val="00E5091B"/>
    <w:rsid w:val="00E539E4"/>
    <w:rsid w:val="00E551CB"/>
    <w:rsid w:val="00E621EF"/>
    <w:rsid w:val="00E64A20"/>
    <w:rsid w:val="00E66859"/>
    <w:rsid w:val="00E67F08"/>
    <w:rsid w:val="00E71F49"/>
    <w:rsid w:val="00E914DE"/>
    <w:rsid w:val="00EB3C72"/>
    <w:rsid w:val="00EB4EB5"/>
    <w:rsid w:val="00EB7893"/>
    <w:rsid w:val="00EC31DF"/>
    <w:rsid w:val="00EE010E"/>
    <w:rsid w:val="00EE0EC3"/>
    <w:rsid w:val="00EE2967"/>
    <w:rsid w:val="00EE2F3A"/>
    <w:rsid w:val="00EF12D0"/>
    <w:rsid w:val="00EF17EA"/>
    <w:rsid w:val="00F0332D"/>
    <w:rsid w:val="00F143E7"/>
    <w:rsid w:val="00F31B86"/>
    <w:rsid w:val="00F340B3"/>
    <w:rsid w:val="00F37001"/>
    <w:rsid w:val="00F4304F"/>
    <w:rsid w:val="00F461DF"/>
    <w:rsid w:val="00F46DD4"/>
    <w:rsid w:val="00F57700"/>
    <w:rsid w:val="00F606F3"/>
    <w:rsid w:val="00F63EFA"/>
    <w:rsid w:val="00F72DDA"/>
    <w:rsid w:val="00F80FFF"/>
    <w:rsid w:val="00F86BBD"/>
    <w:rsid w:val="00F86E68"/>
    <w:rsid w:val="00F93E8D"/>
    <w:rsid w:val="00FA04FC"/>
    <w:rsid w:val="00FA34C9"/>
    <w:rsid w:val="00FA35E3"/>
    <w:rsid w:val="00FB39FB"/>
    <w:rsid w:val="00FB61C2"/>
    <w:rsid w:val="00FB621A"/>
    <w:rsid w:val="00FC4E25"/>
    <w:rsid w:val="00FC6593"/>
    <w:rsid w:val="00FE7842"/>
    <w:rsid w:val="00FF08DF"/>
    <w:rsid w:val="00FF4B18"/>
    <w:rsid w:val="00FF6331"/>
    <w:rsid w:val="00FF6BD6"/>
    <w:rsid w:val="00FF71A3"/>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3B1E"/>
  <w15:docId w15:val="{5111F24C-4A70-4945-A982-12D0E6BC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68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E04"/>
    <w:pPr>
      <w:tabs>
        <w:tab w:val="center" w:pos="4680"/>
        <w:tab w:val="right" w:pos="9360"/>
      </w:tabs>
    </w:pPr>
  </w:style>
  <w:style w:type="character" w:customStyle="1" w:styleId="HeaderChar">
    <w:name w:val="Header Char"/>
    <w:link w:val="Header"/>
    <w:uiPriority w:val="99"/>
    <w:rsid w:val="000D2E04"/>
    <w:rPr>
      <w:sz w:val="22"/>
      <w:szCs w:val="22"/>
    </w:rPr>
  </w:style>
  <w:style w:type="paragraph" w:styleId="Footer">
    <w:name w:val="footer"/>
    <w:basedOn w:val="Normal"/>
    <w:link w:val="FooterChar"/>
    <w:uiPriority w:val="99"/>
    <w:unhideWhenUsed/>
    <w:rsid w:val="000D2E04"/>
    <w:pPr>
      <w:tabs>
        <w:tab w:val="center" w:pos="4680"/>
        <w:tab w:val="right" w:pos="9360"/>
      </w:tabs>
    </w:pPr>
  </w:style>
  <w:style w:type="character" w:customStyle="1" w:styleId="FooterChar">
    <w:name w:val="Footer Char"/>
    <w:link w:val="Footer"/>
    <w:uiPriority w:val="99"/>
    <w:rsid w:val="000D2E04"/>
    <w:rPr>
      <w:sz w:val="22"/>
      <w:szCs w:val="22"/>
    </w:rPr>
  </w:style>
  <w:style w:type="character" w:styleId="Hyperlink">
    <w:name w:val="Hyperlink"/>
    <w:uiPriority w:val="99"/>
    <w:unhideWhenUsed/>
    <w:rsid w:val="008A169D"/>
    <w:rPr>
      <w:color w:val="0563C1"/>
      <w:u w:val="single"/>
    </w:rPr>
  </w:style>
  <w:style w:type="character" w:styleId="CommentReference">
    <w:name w:val="annotation reference"/>
    <w:uiPriority w:val="99"/>
    <w:semiHidden/>
    <w:unhideWhenUsed/>
    <w:rsid w:val="00B41E6C"/>
    <w:rPr>
      <w:sz w:val="16"/>
      <w:szCs w:val="16"/>
    </w:rPr>
  </w:style>
  <w:style w:type="paragraph" w:styleId="CommentText">
    <w:name w:val="annotation text"/>
    <w:basedOn w:val="Normal"/>
    <w:link w:val="CommentTextChar"/>
    <w:uiPriority w:val="99"/>
    <w:semiHidden/>
    <w:unhideWhenUsed/>
    <w:rsid w:val="00B41E6C"/>
    <w:rPr>
      <w:sz w:val="20"/>
      <w:szCs w:val="20"/>
    </w:rPr>
  </w:style>
  <w:style w:type="character" w:customStyle="1" w:styleId="CommentTextChar">
    <w:name w:val="Comment Text Char"/>
    <w:basedOn w:val="DefaultParagraphFont"/>
    <w:link w:val="CommentText"/>
    <w:uiPriority w:val="99"/>
    <w:semiHidden/>
    <w:rsid w:val="00B41E6C"/>
  </w:style>
  <w:style w:type="paragraph" w:styleId="CommentSubject">
    <w:name w:val="annotation subject"/>
    <w:basedOn w:val="CommentText"/>
    <w:next w:val="CommentText"/>
    <w:link w:val="CommentSubjectChar"/>
    <w:uiPriority w:val="99"/>
    <w:semiHidden/>
    <w:unhideWhenUsed/>
    <w:rsid w:val="00B41E6C"/>
    <w:rPr>
      <w:b/>
      <w:bCs/>
    </w:rPr>
  </w:style>
  <w:style w:type="character" w:customStyle="1" w:styleId="CommentSubjectChar">
    <w:name w:val="Comment Subject Char"/>
    <w:link w:val="CommentSubject"/>
    <w:uiPriority w:val="99"/>
    <w:semiHidden/>
    <w:rsid w:val="00B41E6C"/>
    <w:rPr>
      <w:b/>
      <w:bCs/>
    </w:rPr>
  </w:style>
  <w:style w:type="paragraph" w:styleId="BalloonText">
    <w:name w:val="Balloon Text"/>
    <w:basedOn w:val="Normal"/>
    <w:link w:val="BalloonTextChar"/>
    <w:uiPriority w:val="99"/>
    <w:semiHidden/>
    <w:unhideWhenUsed/>
    <w:rsid w:val="00B41E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41E6C"/>
    <w:rPr>
      <w:rFonts w:ascii="Segoe UI" w:hAnsi="Segoe UI" w:cs="Segoe UI"/>
      <w:sz w:val="18"/>
      <w:szCs w:val="18"/>
    </w:rPr>
  </w:style>
  <w:style w:type="character" w:styleId="FollowedHyperlink">
    <w:name w:val="FollowedHyperlink"/>
    <w:uiPriority w:val="99"/>
    <w:semiHidden/>
    <w:unhideWhenUsed/>
    <w:rsid w:val="0082305C"/>
    <w:rPr>
      <w:color w:val="954F72"/>
      <w:u w:val="single"/>
    </w:rPr>
  </w:style>
  <w:style w:type="character" w:styleId="UnresolvedMention">
    <w:name w:val="Unresolved Mention"/>
    <w:basedOn w:val="DefaultParagraphFont"/>
    <w:uiPriority w:val="99"/>
    <w:semiHidden/>
    <w:unhideWhenUsed/>
    <w:rsid w:val="0047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ga.in.gov/legislative/2021/bills/house/1072" TargetMode="External"/><Relationship Id="rId13" Type="http://schemas.openxmlformats.org/officeDocument/2006/relationships/hyperlink" Target="http://iga.in.gov/legislative/2021/bills/house/1449" TargetMode="External"/><Relationship Id="rId18" Type="http://schemas.openxmlformats.org/officeDocument/2006/relationships/hyperlink" Target="http://iga.in.gov/legislative/2021/bills/house/14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ga.in.gov/legislative/2021/bills/senate/80" TargetMode="External"/><Relationship Id="rId7" Type="http://schemas.openxmlformats.org/officeDocument/2006/relationships/image" Target="media/image1.jpeg"/><Relationship Id="rId12" Type="http://schemas.openxmlformats.org/officeDocument/2006/relationships/hyperlink" Target="http://iga.in.gov/legislative/2021/bills/house/1309" TargetMode="External"/><Relationship Id="rId17" Type="http://schemas.openxmlformats.org/officeDocument/2006/relationships/hyperlink" Target="http://iga.in.gov/legislative/2021/bills/house/100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ga.in.gov/legislative/2021/bills/house/1001" TargetMode="External"/><Relationship Id="rId20" Type="http://schemas.openxmlformats.org/officeDocument/2006/relationships/hyperlink" Target="http://iga.in.gov/legislative/2021/bills/senate/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ga.in.gov/legislative/2021/bills/senate/263" TargetMode="External"/><Relationship Id="rId24" Type="http://schemas.openxmlformats.org/officeDocument/2006/relationships/hyperlink" Target="http://iga.in.gov/legislative/2021/bills/senate/332" TargetMode="External"/><Relationship Id="rId5" Type="http://schemas.openxmlformats.org/officeDocument/2006/relationships/footnotes" Target="footnotes.xml"/><Relationship Id="rId15" Type="http://schemas.openxmlformats.org/officeDocument/2006/relationships/hyperlink" Target="http://iga.in.gov/legislative/2021/bills/house/1169" TargetMode="External"/><Relationship Id="rId23" Type="http://schemas.openxmlformats.org/officeDocument/2006/relationships/hyperlink" Target="http://iga.in.gov/legislative/2021/bills/senate/304" TargetMode="External"/><Relationship Id="rId10" Type="http://schemas.openxmlformats.org/officeDocument/2006/relationships/hyperlink" Target="http://iga.in.gov/legislative/2021/bills/house/1271" TargetMode="External"/><Relationship Id="rId19" Type="http://schemas.openxmlformats.org/officeDocument/2006/relationships/hyperlink" Target="http://iga.in.gov/legislative/2021/bills/house/1421" TargetMode="External"/><Relationship Id="rId4" Type="http://schemas.openxmlformats.org/officeDocument/2006/relationships/webSettings" Target="webSettings.xml"/><Relationship Id="rId9" Type="http://schemas.openxmlformats.org/officeDocument/2006/relationships/hyperlink" Target="http://iga.in.gov/legislative/2021/bills/house/1156" TargetMode="External"/><Relationship Id="rId14" Type="http://schemas.openxmlformats.org/officeDocument/2006/relationships/hyperlink" Target="http://iga.in.gov/legislative/2021/bills/senate/398" TargetMode="External"/><Relationship Id="rId22" Type="http://schemas.openxmlformats.org/officeDocument/2006/relationships/hyperlink" Target="http://iga.in.gov/legislative/2021/bills/senate/18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5</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12936</CharactersWithSpaces>
  <SharedDoc>false</SharedDoc>
  <HLinks>
    <vt:vector size="114" baseType="variant">
      <vt:variant>
        <vt:i4>6750323</vt:i4>
      </vt:variant>
      <vt:variant>
        <vt:i4>54</vt:i4>
      </vt:variant>
      <vt:variant>
        <vt:i4>0</vt:i4>
      </vt:variant>
      <vt:variant>
        <vt:i4>5</vt:i4>
      </vt:variant>
      <vt:variant>
        <vt:lpwstr>http://iga.in.gov/legislative/2018/resolutions/house/concurrent/59</vt:lpwstr>
      </vt:variant>
      <vt:variant>
        <vt:lpwstr>document-a77e10e8</vt:lpwstr>
      </vt:variant>
      <vt:variant>
        <vt:i4>6750333</vt:i4>
      </vt:variant>
      <vt:variant>
        <vt:i4>51</vt:i4>
      </vt:variant>
      <vt:variant>
        <vt:i4>0</vt:i4>
      </vt:variant>
      <vt:variant>
        <vt:i4>5</vt:i4>
      </vt:variant>
      <vt:variant>
        <vt:lpwstr>http://iga.in.gov/legislative/2018/resolutions/house/concurrent/58</vt:lpwstr>
      </vt:variant>
      <vt:variant>
        <vt:lpwstr>document-ccb7785e</vt:lpwstr>
      </vt:variant>
      <vt:variant>
        <vt:i4>3407980</vt:i4>
      </vt:variant>
      <vt:variant>
        <vt:i4>48</vt:i4>
      </vt:variant>
      <vt:variant>
        <vt:i4>0</vt:i4>
      </vt:variant>
      <vt:variant>
        <vt:i4>5</vt:i4>
      </vt:variant>
      <vt:variant>
        <vt:lpwstr>http://iga.in.gov/legislative/2018/bills/senate/438</vt:lpwstr>
      </vt:variant>
      <vt:variant>
        <vt:lpwstr>document-fe9a980b</vt:lpwstr>
      </vt:variant>
      <vt:variant>
        <vt:i4>7274551</vt:i4>
      </vt:variant>
      <vt:variant>
        <vt:i4>45</vt:i4>
      </vt:variant>
      <vt:variant>
        <vt:i4>0</vt:i4>
      </vt:variant>
      <vt:variant>
        <vt:i4>5</vt:i4>
      </vt:variant>
      <vt:variant>
        <vt:lpwstr>http://iga.in.gov/legislative/2018/bills/senate/431</vt:lpwstr>
      </vt:variant>
      <vt:variant>
        <vt:lpwstr>document-e781ca38</vt:lpwstr>
      </vt:variant>
      <vt:variant>
        <vt:i4>3670067</vt:i4>
      </vt:variant>
      <vt:variant>
        <vt:i4>42</vt:i4>
      </vt:variant>
      <vt:variant>
        <vt:i4>0</vt:i4>
      </vt:variant>
      <vt:variant>
        <vt:i4>5</vt:i4>
      </vt:variant>
      <vt:variant>
        <vt:lpwstr>http://iga.in.gov/legislative/2018/bills/senate/392</vt:lpwstr>
      </vt:variant>
      <vt:variant>
        <vt:lpwstr>document-5ece6d02</vt:lpwstr>
      </vt:variant>
      <vt:variant>
        <vt:i4>3604540</vt:i4>
      </vt:variant>
      <vt:variant>
        <vt:i4>39</vt:i4>
      </vt:variant>
      <vt:variant>
        <vt:i4>0</vt:i4>
      </vt:variant>
      <vt:variant>
        <vt:i4>5</vt:i4>
      </vt:variant>
      <vt:variant>
        <vt:lpwstr>http://iga.in.gov/legislative/2018/bills/senate/373</vt:lpwstr>
      </vt:variant>
      <vt:variant>
        <vt:lpwstr>document-54af396b</vt:lpwstr>
      </vt:variant>
      <vt:variant>
        <vt:i4>3211313</vt:i4>
      </vt:variant>
      <vt:variant>
        <vt:i4>36</vt:i4>
      </vt:variant>
      <vt:variant>
        <vt:i4>0</vt:i4>
      </vt:variant>
      <vt:variant>
        <vt:i4>5</vt:i4>
      </vt:variant>
      <vt:variant>
        <vt:lpwstr>http://iga.in.gov/legislative/2018/bills/senate/372</vt:lpwstr>
      </vt:variant>
      <vt:variant>
        <vt:lpwstr>document-50bed3d4</vt:lpwstr>
      </vt:variant>
      <vt:variant>
        <vt:i4>6422631</vt:i4>
      </vt:variant>
      <vt:variant>
        <vt:i4>33</vt:i4>
      </vt:variant>
      <vt:variant>
        <vt:i4>0</vt:i4>
      </vt:variant>
      <vt:variant>
        <vt:i4>5</vt:i4>
      </vt:variant>
      <vt:variant>
        <vt:lpwstr>http://iga.in.gov/legislative/2018/bills/senate/300</vt:lpwstr>
      </vt:variant>
      <vt:variant>
        <vt:lpwstr>document-d4eb3f15</vt:lpwstr>
      </vt:variant>
      <vt:variant>
        <vt:i4>6553653</vt:i4>
      </vt:variant>
      <vt:variant>
        <vt:i4>30</vt:i4>
      </vt:variant>
      <vt:variant>
        <vt:i4>0</vt:i4>
      </vt:variant>
      <vt:variant>
        <vt:i4>5</vt:i4>
      </vt:variant>
      <vt:variant>
        <vt:lpwstr>http://iga.in.gov/legislative/2018/bills/senate/290</vt:lpwstr>
      </vt:variant>
      <vt:variant>
        <vt:lpwstr>document-01748f35</vt:lpwstr>
      </vt:variant>
      <vt:variant>
        <vt:i4>3211319</vt:i4>
      </vt:variant>
      <vt:variant>
        <vt:i4>27</vt:i4>
      </vt:variant>
      <vt:variant>
        <vt:i4>0</vt:i4>
      </vt:variant>
      <vt:variant>
        <vt:i4>5</vt:i4>
      </vt:variant>
      <vt:variant>
        <vt:lpwstr>http://iga.in.gov/legislative/2018/bills/senate/236</vt:lpwstr>
      </vt:variant>
      <vt:variant>
        <vt:lpwstr>document-16c26e76</vt:lpwstr>
      </vt:variant>
      <vt:variant>
        <vt:i4>3735656</vt:i4>
      </vt:variant>
      <vt:variant>
        <vt:i4>24</vt:i4>
      </vt:variant>
      <vt:variant>
        <vt:i4>0</vt:i4>
      </vt:variant>
      <vt:variant>
        <vt:i4>5</vt:i4>
      </vt:variant>
      <vt:variant>
        <vt:lpwstr>http://iga.in.gov/legislative/2018/bills/house/1412</vt:lpwstr>
      </vt:variant>
      <vt:variant>
        <vt:lpwstr>document-baa318d8</vt:lpwstr>
      </vt:variant>
      <vt:variant>
        <vt:i4>3932265</vt:i4>
      </vt:variant>
      <vt:variant>
        <vt:i4>21</vt:i4>
      </vt:variant>
      <vt:variant>
        <vt:i4>0</vt:i4>
      </vt:variant>
      <vt:variant>
        <vt:i4>5</vt:i4>
      </vt:variant>
      <vt:variant>
        <vt:lpwstr>http://iga.in.gov/legislative/2018/bills/house/1262</vt:lpwstr>
      </vt:variant>
      <vt:variant>
        <vt:lpwstr>document-79ad200a</vt:lpwstr>
      </vt:variant>
      <vt:variant>
        <vt:i4>3997799</vt:i4>
      </vt:variant>
      <vt:variant>
        <vt:i4>18</vt:i4>
      </vt:variant>
      <vt:variant>
        <vt:i4>0</vt:i4>
      </vt:variant>
      <vt:variant>
        <vt:i4>5</vt:i4>
      </vt:variant>
      <vt:variant>
        <vt:lpwstr>http://iga.in.gov/legislative/2018/bills/house/1257</vt:lpwstr>
      </vt:variant>
      <vt:variant>
        <vt:lpwstr>document-d2f20cdd</vt:lpwstr>
      </vt:variant>
      <vt:variant>
        <vt:i4>7012454</vt:i4>
      </vt:variant>
      <vt:variant>
        <vt:i4>15</vt:i4>
      </vt:variant>
      <vt:variant>
        <vt:i4>0</vt:i4>
      </vt:variant>
      <vt:variant>
        <vt:i4>5</vt:i4>
      </vt:variant>
      <vt:variant>
        <vt:lpwstr>http://iga.in.gov/legislative/2018/bills/house/1109</vt:lpwstr>
      </vt:variant>
      <vt:variant>
        <vt:lpwstr>document-2ef602a5</vt:lpwstr>
      </vt:variant>
      <vt:variant>
        <vt:i4>4063282</vt:i4>
      </vt:variant>
      <vt:variant>
        <vt:i4>12</vt:i4>
      </vt:variant>
      <vt:variant>
        <vt:i4>0</vt:i4>
      </vt:variant>
      <vt:variant>
        <vt:i4>5</vt:i4>
      </vt:variant>
      <vt:variant>
        <vt:lpwstr>http://iga.in.gov/legislative/2018/bills/house/1065</vt:lpwstr>
      </vt:variant>
      <vt:variant>
        <vt:lpwstr>document-1474c43f</vt:lpwstr>
      </vt:variant>
      <vt:variant>
        <vt:i4>6815794</vt:i4>
      </vt:variant>
      <vt:variant>
        <vt:i4>9</vt:i4>
      </vt:variant>
      <vt:variant>
        <vt:i4>0</vt:i4>
      </vt:variant>
      <vt:variant>
        <vt:i4>5</vt:i4>
      </vt:variant>
      <vt:variant>
        <vt:lpwstr>http://iga.in.gov/legislative/2018/bills/house/1036</vt:lpwstr>
      </vt:variant>
      <vt:variant>
        <vt:lpwstr>document-8c6f2196</vt:lpwstr>
      </vt:variant>
      <vt:variant>
        <vt:i4>4128874</vt:i4>
      </vt:variant>
      <vt:variant>
        <vt:i4>6</vt:i4>
      </vt:variant>
      <vt:variant>
        <vt:i4>0</vt:i4>
      </vt:variant>
      <vt:variant>
        <vt:i4>5</vt:i4>
      </vt:variant>
      <vt:variant>
        <vt:lpwstr>http://iga.in.gov/legislative/2018/bills/house/1004</vt:lpwstr>
      </vt:variant>
      <vt:variant>
        <vt:lpwstr>document-bc384740</vt:lpwstr>
      </vt:variant>
      <vt:variant>
        <vt:i4>6881381</vt:i4>
      </vt:variant>
      <vt:variant>
        <vt:i4>3</vt:i4>
      </vt:variant>
      <vt:variant>
        <vt:i4>0</vt:i4>
      </vt:variant>
      <vt:variant>
        <vt:i4>5</vt:i4>
      </vt:variant>
      <vt:variant>
        <vt:lpwstr>http://iga.in.gov/legislative/2018/bills/house/1003</vt:lpwstr>
      </vt:variant>
      <vt:variant>
        <vt:lpwstr>document-4cb323cf</vt:lpwstr>
      </vt:variant>
      <vt:variant>
        <vt:i4>7012450</vt:i4>
      </vt:variant>
      <vt:variant>
        <vt:i4>0</vt:i4>
      </vt:variant>
      <vt:variant>
        <vt:i4>0</vt:i4>
      </vt:variant>
      <vt:variant>
        <vt:i4>5</vt:i4>
      </vt:variant>
      <vt:variant>
        <vt:lpwstr>http://iga.in.gov/legislative/2018/bills/house/1002</vt:lpwstr>
      </vt:variant>
      <vt:variant>
        <vt:lpwstr>document-60f2bf70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Sylvia</dc:creator>
  <cp:keywords/>
  <dc:description/>
  <cp:lastModifiedBy>Watson, Sylvia</cp:lastModifiedBy>
  <cp:revision>101</cp:revision>
  <cp:lastPrinted>2018-06-11T18:50:00Z</cp:lastPrinted>
  <dcterms:created xsi:type="dcterms:W3CDTF">2021-07-20T17:04:00Z</dcterms:created>
  <dcterms:modified xsi:type="dcterms:W3CDTF">2021-11-08T21:38:00Z</dcterms:modified>
</cp:coreProperties>
</file>