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ACF9F" w14:textId="750E9DAD" w:rsidR="003A7251" w:rsidRPr="0063602B" w:rsidRDefault="47456BEB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360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TITLE 170 INDIANA UTILITY REGULATORY COMMISSION</w:t>
      </w:r>
    </w:p>
    <w:p w14:paraId="0B66A454" w14:textId="15F78769" w:rsidR="003A7251" w:rsidRDefault="003A7251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78AE2B" w14:textId="77777777" w:rsidR="00A50048" w:rsidRPr="0063602B" w:rsidRDefault="00A50048" w:rsidP="007C32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360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Proposed Rule</w:t>
      </w:r>
    </w:p>
    <w:p w14:paraId="0643E057" w14:textId="77777777" w:rsidR="00A50048" w:rsidRDefault="00A50048" w:rsidP="007C32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LSA Document #24-___</w:t>
      </w:r>
    </w:p>
    <w:p w14:paraId="6EA10BF5" w14:textId="77777777" w:rsidR="00A50048" w:rsidRDefault="00A50048" w:rsidP="007C32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IURC RM #24-___</w:t>
      </w:r>
    </w:p>
    <w:p w14:paraId="034ADA20" w14:textId="77777777" w:rsidR="00A50048" w:rsidRDefault="00A50048" w:rsidP="007C32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C224E2" w14:textId="6722FC55" w:rsidR="003A7251" w:rsidRDefault="5DC841E6" w:rsidP="006360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DIGEST</w:t>
      </w:r>
    </w:p>
    <w:p w14:paraId="432CE43E" w14:textId="6355E5BC" w:rsidR="003A7251" w:rsidRDefault="003A7251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FAD090" w14:textId="12E3EFAA" w:rsidR="003A7251" w:rsidRDefault="00A50048" w:rsidP="54AFC4D1">
      <w:pPr>
        <w:widowControl w:val="0"/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5DC841E6"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Amends section 3.5 </w:t>
      </w:r>
      <w:r w:rsidR="09BE2F6F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to set forth the expense reimbursement for municipal utility cases heard by the IURC</w:t>
      </w:r>
      <w:r w:rsidR="40BBFE34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A7CC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adds</w:t>
      </w:r>
      <w:r w:rsidR="004A7CC1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40BBFE34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section 1</w:t>
      </w:r>
      <w:r w:rsidR="004A7CC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4.5</w:t>
      </w:r>
      <w:r w:rsidR="40BBFE34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 </w:t>
      </w:r>
      <w:r w:rsidR="3C9EE884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set forth penalties for </w:t>
      </w:r>
      <w:r w:rsidR="1582839D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failure to comply with </w:t>
      </w:r>
      <w:r w:rsidR="008E11DD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order</w:t>
      </w:r>
      <w:r w:rsidR="0023003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="008E11DD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3873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or subpoena</w:t>
      </w:r>
      <w:r w:rsidR="0023003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="00B63873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7CC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issued pursuant to IC 8-1-2-50 </w:t>
      </w:r>
      <w:r w:rsidR="008E11DD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9D0A13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adds section 25.5 to </w:t>
      </w:r>
      <w:r w:rsidR="007A5FB5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set forth court reporter fees</w:t>
      </w:r>
      <w:r w:rsidR="1582839D" w:rsidRPr="54AFC4D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4E65C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65C1" w:rsidRPr="004E65C1">
        <w:rPr>
          <w:rStyle w:val="normaltextrun"/>
          <w:rFonts w:ascii="Times New Roman" w:eastAsia="Times New Roman" w:hAnsi="Times New Roman" w:cs="Times New Roman"/>
          <w:color w:val="000000" w:themeColor="text1"/>
          <w:sz w:val="20"/>
          <w:szCs w:val="20"/>
        </w:rPr>
        <w:t>Effective 30 days after filing with the Publisher.</w:t>
      </w:r>
    </w:p>
    <w:p w14:paraId="33337697" w14:textId="0DF84661" w:rsidR="003A7251" w:rsidRDefault="003A7251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C755713" w14:textId="20EC7695" w:rsidR="00894524" w:rsidRDefault="00894524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SECTION 1</w:t>
      </w:r>
      <w:r w:rsidR="00FA6A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170 IAC 1-1.1-3.5 IS AMENDED TO READ AS FOLLOWS:</w:t>
      </w:r>
    </w:p>
    <w:p w14:paraId="36B3A30D" w14:textId="77777777" w:rsidR="00894524" w:rsidRDefault="00894524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AEB95" w14:textId="0B85F0D8" w:rsidR="003A7251" w:rsidRDefault="47456BEB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170 IAC 1-1.1-3.5 Remittances to the commission</w:t>
      </w:r>
    </w:p>
    <w:p w14:paraId="7F0CDE2A" w14:textId="0DE44D4E" w:rsidR="003A7251" w:rsidRDefault="47456BEB" w:rsidP="54AFC4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Authority: IC 8-1-1-3</w:t>
      </w:r>
    </w:p>
    <w:p w14:paraId="21C4172E" w14:textId="199AFEEE" w:rsidR="003A7251" w:rsidRPr="0063602B" w:rsidRDefault="47456BEB" w:rsidP="54AFC4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Affected: IC 8-1-1-5; IC 8-1-2-70; IC 8-1-2-85; IC 8-1-22.5-7; IC 8-1-26-23</w:t>
      </w:r>
      <w:r w:rsidR="00A23DC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; IC 8-1-2-61.5</w:t>
      </w:r>
    </w:p>
    <w:p w14:paraId="443BDF0D" w14:textId="729F3571" w:rsidR="003A7251" w:rsidRDefault="003A7251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318480D" w14:textId="75F0DD55" w:rsidR="003A7251" w:rsidRDefault="47456BEB" w:rsidP="54AFC4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Sec. 3.5. (a) The following may be remitted to the commission:</w:t>
      </w:r>
    </w:p>
    <w:p w14:paraId="241442FD" w14:textId="7F3CD581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(1) Civil penalties imposed under IC 8-1-26-23 or IC 8-1-22.5-7.</w:t>
      </w:r>
    </w:p>
    <w:p w14:paraId="2845C377" w14:textId="5F3106DF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(2) Municipal expenses under IC 8-1-2-70.</w:t>
      </w:r>
    </w:p>
    <w:p w14:paraId="3F476EE9" w14:textId="77777777" w:rsidR="00A25437" w:rsidRDefault="00A25437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397620" w:rsidRPr="006360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397620" w:rsidRPr="006360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) </w:t>
      </w:r>
      <w:r w:rsidR="00094A85" w:rsidRP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In requiring reimbursement of expenses from municipal utilities under IC 8-1-2-70,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094A85" w:rsidRP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commission shall calculate the expenses based on the actual hourly rate and actual hours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094A85" w:rsidRP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expended on the case by commission personnel. Commission expenses shall be reimbursed at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094A85" w:rsidRP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the actual amount of the expense.</w:t>
      </w:r>
      <w:r w:rsid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01CCB6FD" w14:textId="30AC98B9" w:rsidR="00397620" w:rsidRPr="0063602B" w:rsidRDefault="00A25437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  <w:t xml:space="preserve">(B) </w:t>
      </w:r>
      <w:r w:rsidR="00094A85" w:rsidRP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A flat fee for small municipal utilities, as </w:t>
      </w:r>
      <w:r w:rsidR="00202F4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described</w:t>
      </w:r>
      <w:r w:rsidR="00094A85" w:rsidRP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in IC 8-1-2-61.5, shall be set by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094A85" w:rsidRPr="00094A8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commission by general administrative order.</w:t>
      </w:r>
    </w:p>
    <w:p w14:paraId="4A42FFF5" w14:textId="244351F0" w:rsidR="003A7251" w:rsidRDefault="47456BEB" w:rsidP="54AFC4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</w:t>
      </w:r>
      <w:r w:rsidRP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Except as noted in subsection </w:t>
      </w:r>
      <w:r w:rsidRP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</w:t>
      </w: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payment may be made:</w:t>
      </w:r>
    </w:p>
    <w:p w14:paraId="250420BE" w14:textId="22810951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(1) by money </w:t>
      </w:r>
      <w:proofErr w:type="gramStart"/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order;</w:t>
      </w:r>
      <w:proofErr w:type="gramEnd"/>
    </w:p>
    <w:p w14:paraId="719359CE" w14:textId="6000C66A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(2) by check; or</w:t>
      </w:r>
    </w:p>
    <w:p w14:paraId="058E8B28" w14:textId="5CEC1E5C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(3) as indicated by the secretary of the </w:t>
      </w:r>
      <w:proofErr w:type="gramStart"/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commission;</w:t>
      </w:r>
      <w:proofErr w:type="gramEnd"/>
    </w:p>
    <w:p w14:paraId="4C19C45F" w14:textId="607B7216" w:rsidR="003A7251" w:rsidRDefault="47456BEB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payable to the Indiana utility regulatory commission.</w:t>
      </w:r>
    </w:p>
    <w:p w14:paraId="19B28686" w14:textId="45AB1903" w:rsidR="003A7251" w:rsidRDefault="47456BEB" w:rsidP="54AFC4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FA46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Remittances in payment of the statutory fees for the issuance of:</w:t>
      </w:r>
    </w:p>
    <w:p w14:paraId="08087A2C" w14:textId="2C7C4C5F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(1) </w:t>
      </w:r>
      <w:proofErr w:type="gramStart"/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bonds;</w:t>
      </w:r>
      <w:proofErr w:type="gramEnd"/>
    </w:p>
    <w:p w14:paraId="7D86EC2B" w14:textId="7A0F7C47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(2) notes; or</w:t>
      </w:r>
    </w:p>
    <w:p w14:paraId="0072F171" w14:textId="75BB1D2E" w:rsidR="003A7251" w:rsidRDefault="47456BEB" w:rsidP="54AFC4D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(3) other </w:t>
      </w:r>
      <w:proofErr w:type="gramStart"/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securities;</w:t>
      </w:r>
      <w:proofErr w:type="gramEnd"/>
    </w:p>
    <w:p w14:paraId="69F67CE5" w14:textId="39204758" w:rsidR="003A7251" w:rsidRDefault="47456BEB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4AFC4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by municipalities under IC 8-1-2-85 shall be made by check payable to the "Treasurer of the State of Indiana" and delivered to the secretary of the commission. </w:t>
      </w:r>
      <w:r w:rsidRPr="54AFC4D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(Indiana Utility Regulatory Commission; 170 IAC 1-1.1-3.5; filed Jun 10, 2020, 7:38 a.m.: 20200708-IR-170190378FRA)</w:t>
      </w:r>
    </w:p>
    <w:p w14:paraId="6FE3C6C8" w14:textId="1AB0D9D3" w:rsidR="003A7251" w:rsidRDefault="003A7251" w:rsidP="54AFC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601F0A" w14:textId="13C62489" w:rsidR="003A7251" w:rsidRDefault="009C7C68" w:rsidP="00FA6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SECTION 2. 170 IAC 1-1.1-</w:t>
      </w:r>
      <w:r w:rsidR="003235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14.5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IS </w:t>
      </w:r>
      <w:r w:rsidR="003235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ADDED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 READ AS FOLLOWS:</w:t>
      </w:r>
    </w:p>
    <w:p w14:paraId="1F24F9C4" w14:textId="33AA8EEA" w:rsidR="003A7251" w:rsidRDefault="003A7251" w:rsidP="00323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32303F" w14:textId="21959E79" w:rsidR="003235BE" w:rsidRPr="00186830" w:rsidRDefault="003235BE" w:rsidP="00323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868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170 IAC 1-1.1-14.5 Production of Books, Accounts, Papers, or Records</w:t>
      </w:r>
    </w:p>
    <w:p w14:paraId="6F6DE6A6" w14:textId="62B8F12B" w:rsidR="003235BE" w:rsidRPr="00186830" w:rsidRDefault="003235BE" w:rsidP="00323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868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  <w:t>Authority: IC 8-1-1-3; IC 8-1-2-50</w:t>
      </w:r>
    </w:p>
    <w:p w14:paraId="5E4E8F6E" w14:textId="367088D7" w:rsidR="003235BE" w:rsidRPr="00186830" w:rsidRDefault="003235BE" w:rsidP="00323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868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  <w:t>Affected: IC 8-1-2-50</w:t>
      </w:r>
    </w:p>
    <w:p w14:paraId="15DF3B31" w14:textId="77777777" w:rsidR="003235BE" w:rsidRDefault="003235BE" w:rsidP="00323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FCE93B" w14:textId="16854835" w:rsidR="003235BE" w:rsidRPr="00186830" w:rsidRDefault="003235BE" w:rsidP="001868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868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Sec. 14.5 (a) The commission may require, by order or subpoena, the production of a public utility’s books, accounts, papers, or records.</w:t>
      </w:r>
    </w:p>
    <w:p w14:paraId="7A54D404" w14:textId="5DC25BC4" w:rsidR="003235BE" w:rsidRPr="008F4693" w:rsidRDefault="003235BE" w:rsidP="0018683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(b) The commission may assess penalties for failure to comply with a commission order or subpoena made under this section. </w:t>
      </w: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In determining the amount of penalty, the commission shall consider </w:t>
      </w:r>
      <w:r w:rsidR="001B4B2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IC 4-22-2-19.6(d) and </w:t>
      </w: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the following factors: </w:t>
      </w:r>
    </w:p>
    <w:p w14:paraId="235695B7" w14:textId="77777777" w:rsidR="003235BE" w:rsidRPr="008F4693" w:rsidRDefault="003235BE" w:rsidP="003235B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Whether the conduct was limited in scope. </w:t>
      </w:r>
    </w:p>
    <w:p w14:paraId="4BBA557C" w14:textId="1E0D9C60" w:rsidR="003235BE" w:rsidRPr="008F4693" w:rsidRDefault="003235BE" w:rsidP="003235B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Whether the 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ublic</w:t>
      </w: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95DD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utility </w:t>
      </w: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has a history of previous violations. </w:t>
      </w:r>
    </w:p>
    <w:p w14:paraId="466E653E" w14:textId="77777777" w:rsidR="003235BE" w:rsidRPr="008F4693" w:rsidRDefault="003235BE" w:rsidP="003235B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Whether the 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ublic utility</w:t>
      </w: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voluntarily ceased engaging in the violation and made appropriate restitution. </w:t>
      </w:r>
    </w:p>
    <w:p w14:paraId="142EC448" w14:textId="77777777" w:rsidR="003235BE" w:rsidRDefault="003235BE" w:rsidP="003235B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F469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Whether there is a need for deterrence of future violations.</w:t>
      </w:r>
    </w:p>
    <w:p w14:paraId="63D2F155" w14:textId="21BE8939" w:rsidR="003235BE" w:rsidRPr="008F4693" w:rsidRDefault="003235BE" w:rsidP="001868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(</w:t>
      </w:r>
      <w:r w:rsidRPr="001868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Indiana Utility Regulatory Commission, 170 IAC 1-1.1-14.5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)</w:t>
      </w:r>
    </w:p>
    <w:p w14:paraId="07285F3B" w14:textId="77777777" w:rsidR="003235BE" w:rsidRDefault="003235BE" w:rsidP="001868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C078E63" w14:textId="2EAE4AF4" w:rsidR="003A7251" w:rsidRDefault="003233D7" w:rsidP="54AFC4D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SECTION 3. 170 IAC 1-1.1-25.5 IS ADDED TO READ AS FOLLOWS:</w:t>
      </w:r>
    </w:p>
    <w:p w14:paraId="627F1534" w14:textId="08777D45" w:rsidR="00DC026B" w:rsidRPr="0063602B" w:rsidRDefault="00435500" w:rsidP="00DC026B">
      <w:pPr>
        <w:pStyle w:val="NoSpacing"/>
        <w:rPr>
          <w:rStyle w:val="eop"/>
          <w:rFonts w:ascii="Times New Roman" w:hAnsi="Times New Roman" w:cs="Times New Roman"/>
          <w:b/>
          <w:bCs/>
          <w:sz w:val="20"/>
          <w:szCs w:val="20"/>
        </w:rPr>
      </w:pPr>
      <w:r w:rsidRPr="0063602B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170 IAC 1-1.1-2</w:t>
      </w:r>
      <w:r w:rsidR="00DC026B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5.5</w:t>
      </w:r>
      <w:r w:rsidRPr="0063602B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 xml:space="preserve"> Reporter Fees </w:t>
      </w:r>
      <w:r w:rsidRPr="0063602B">
        <w:rPr>
          <w:rStyle w:val="eop"/>
          <w:rFonts w:ascii="Times New Roman" w:hAnsi="Times New Roman" w:cs="Times New Roman"/>
          <w:b/>
          <w:bCs/>
          <w:sz w:val="20"/>
          <w:szCs w:val="20"/>
        </w:rPr>
        <w:t> </w:t>
      </w:r>
    </w:p>
    <w:p w14:paraId="52A492F0" w14:textId="23F69BAE" w:rsidR="00435500" w:rsidRPr="0063602B" w:rsidRDefault="00DC026B" w:rsidP="0063602B">
      <w:pPr>
        <w:pStyle w:val="NoSpacing"/>
        <w:rPr>
          <w:b/>
          <w:bCs/>
        </w:rPr>
      </w:pPr>
      <w:r w:rsidRPr="0063602B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ab/>
      </w:r>
      <w:r w:rsidR="00435500" w:rsidRPr="0063602B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Authority:  IC 8-1-3-8. </w:t>
      </w:r>
      <w:r w:rsidR="00435500" w:rsidRPr="0063602B">
        <w:rPr>
          <w:rStyle w:val="eop"/>
          <w:rFonts w:ascii="Times New Roman" w:hAnsi="Times New Roman" w:cs="Times New Roman"/>
          <w:b/>
          <w:bCs/>
          <w:sz w:val="20"/>
          <w:szCs w:val="20"/>
        </w:rPr>
        <w:t> </w:t>
      </w:r>
    </w:p>
    <w:p w14:paraId="0EA5F062" w14:textId="77777777" w:rsidR="00435500" w:rsidRPr="0063602B" w:rsidRDefault="00435500" w:rsidP="00435500">
      <w:pPr>
        <w:pStyle w:val="paragraph"/>
        <w:spacing w:before="0" w:beforeAutospacing="0" w:after="0" w:afterAutospacing="0"/>
        <w:ind w:firstLine="720"/>
        <w:textAlignment w:val="baseline"/>
        <w:rPr>
          <w:b/>
          <w:bCs/>
          <w:sz w:val="20"/>
          <w:szCs w:val="20"/>
        </w:rPr>
      </w:pPr>
      <w:r w:rsidRPr="0063602B">
        <w:rPr>
          <w:rStyle w:val="normaltextrun"/>
          <w:b/>
          <w:bCs/>
          <w:sz w:val="20"/>
          <w:szCs w:val="20"/>
        </w:rPr>
        <w:t>Affected:  IC 8-1-3-8. </w:t>
      </w:r>
      <w:r w:rsidRPr="0063602B">
        <w:rPr>
          <w:rStyle w:val="eop"/>
          <w:b/>
          <w:bCs/>
          <w:sz w:val="20"/>
          <w:szCs w:val="20"/>
        </w:rPr>
        <w:t> </w:t>
      </w:r>
    </w:p>
    <w:p w14:paraId="0F03A85C" w14:textId="77777777" w:rsidR="00435500" w:rsidRPr="0063602B" w:rsidRDefault="00435500" w:rsidP="00435500">
      <w:pPr>
        <w:pStyle w:val="paragraph"/>
        <w:spacing w:before="0" w:beforeAutospacing="0" w:after="0" w:afterAutospacing="0"/>
        <w:ind w:firstLine="720"/>
        <w:textAlignment w:val="baseline"/>
        <w:rPr>
          <w:b/>
          <w:bCs/>
          <w:sz w:val="20"/>
          <w:szCs w:val="20"/>
        </w:rPr>
      </w:pPr>
      <w:r w:rsidRPr="0063602B">
        <w:rPr>
          <w:rStyle w:val="normaltextrun"/>
          <w:b/>
          <w:bCs/>
          <w:sz w:val="20"/>
          <w:szCs w:val="20"/>
        </w:rPr>
        <w:t> </w:t>
      </w:r>
      <w:r w:rsidRPr="0063602B">
        <w:rPr>
          <w:rStyle w:val="eop"/>
          <w:b/>
          <w:bCs/>
          <w:sz w:val="20"/>
          <w:szCs w:val="20"/>
        </w:rPr>
        <w:t> </w:t>
      </w:r>
    </w:p>
    <w:p w14:paraId="1A5E9336" w14:textId="49F89610" w:rsidR="00435500" w:rsidRDefault="00435500" w:rsidP="0043550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b/>
          <w:bCs/>
          <w:sz w:val="20"/>
          <w:szCs w:val="20"/>
        </w:rPr>
      </w:pPr>
      <w:r w:rsidRPr="0063602B">
        <w:rPr>
          <w:rStyle w:val="normaltextrun"/>
          <w:b/>
          <w:bCs/>
          <w:sz w:val="20"/>
          <w:szCs w:val="20"/>
        </w:rPr>
        <w:t>Sec. 2</w:t>
      </w:r>
      <w:r w:rsidR="00A761B8">
        <w:rPr>
          <w:rStyle w:val="normaltextrun"/>
          <w:b/>
          <w:bCs/>
          <w:sz w:val="20"/>
          <w:szCs w:val="20"/>
        </w:rPr>
        <w:t>5.5</w:t>
      </w:r>
      <w:r w:rsidRPr="0063602B">
        <w:rPr>
          <w:rStyle w:val="normaltextrun"/>
          <w:b/>
          <w:bCs/>
          <w:sz w:val="20"/>
          <w:szCs w:val="20"/>
        </w:rPr>
        <w:t xml:space="preserve">. </w:t>
      </w:r>
      <w:r w:rsidR="00A4762A">
        <w:rPr>
          <w:rStyle w:val="normaltextrun"/>
          <w:b/>
          <w:bCs/>
          <w:sz w:val="20"/>
          <w:szCs w:val="20"/>
        </w:rPr>
        <w:t>R</w:t>
      </w:r>
      <w:r w:rsidRPr="0063602B">
        <w:rPr>
          <w:rStyle w:val="normaltextrun"/>
          <w:b/>
          <w:bCs/>
          <w:sz w:val="20"/>
          <w:szCs w:val="20"/>
        </w:rPr>
        <w:t>eporter fees shall be set by the commission through the issuance of a general administrative order setting forth a schedule of reasonable reporter fees.  </w:t>
      </w:r>
      <w:r w:rsidRPr="0063602B">
        <w:rPr>
          <w:rStyle w:val="eop"/>
          <w:b/>
          <w:bCs/>
          <w:sz w:val="20"/>
          <w:szCs w:val="20"/>
        </w:rPr>
        <w:t> </w:t>
      </w:r>
    </w:p>
    <w:p w14:paraId="07BC99E3" w14:textId="09689233" w:rsidR="00EE0909" w:rsidRPr="0063602B" w:rsidRDefault="00752172" w:rsidP="0063602B">
      <w:pPr>
        <w:pStyle w:val="paragraph"/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>
        <w:rPr>
          <w:rStyle w:val="eop"/>
          <w:b/>
          <w:bCs/>
          <w:sz w:val="20"/>
          <w:szCs w:val="20"/>
        </w:rPr>
        <w:t>(</w:t>
      </w:r>
      <w:r w:rsidRPr="0063602B">
        <w:rPr>
          <w:rStyle w:val="eop"/>
          <w:b/>
          <w:bCs/>
          <w:i/>
          <w:iCs/>
          <w:sz w:val="20"/>
          <w:szCs w:val="20"/>
        </w:rPr>
        <w:t>Indiana Utility Regulatory Commission</w:t>
      </w:r>
      <w:r w:rsidR="00FA68DE" w:rsidRPr="0063602B">
        <w:rPr>
          <w:rStyle w:val="eop"/>
          <w:b/>
          <w:bCs/>
          <w:i/>
          <w:iCs/>
          <w:sz w:val="20"/>
          <w:szCs w:val="20"/>
        </w:rPr>
        <w:t xml:space="preserve">; 170 IAC </w:t>
      </w:r>
      <w:r w:rsidR="00307E6D" w:rsidRPr="0063602B">
        <w:rPr>
          <w:rStyle w:val="eop"/>
          <w:b/>
          <w:bCs/>
          <w:i/>
          <w:iCs/>
          <w:sz w:val="20"/>
          <w:szCs w:val="20"/>
        </w:rPr>
        <w:t>1-1.1</w:t>
      </w:r>
      <w:r w:rsidR="00195B73" w:rsidRPr="0063602B">
        <w:rPr>
          <w:rStyle w:val="eop"/>
          <w:b/>
          <w:bCs/>
          <w:i/>
          <w:iCs/>
          <w:sz w:val="20"/>
          <w:szCs w:val="20"/>
        </w:rPr>
        <w:t>-22.5</w:t>
      </w:r>
      <w:r w:rsidR="00227AC7">
        <w:rPr>
          <w:rStyle w:val="eop"/>
          <w:b/>
          <w:bCs/>
          <w:sz w:val="20"/>
          <w:szCs w:val="20"/>
        </w:rPr>
        <w:t>)</w:t>
      </w:r>
    </w:p>
    <w:p w14:paraId="3F7CF4BD" w14:textId="77777777" w:rsidR="003233D7" w:rsidRPr="0063602B" w:rsidRDefault="003233D7" w:rsidP="54AFC4D1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233D7" w:rsidRPr="006360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2AFE9" w14:textId="77777777" w:rsidR="00F34BB9" w:rsidRDefault="00F34BB9" w:rsidP="00F34BB9">
      <w:pPr>
        <w:spacing w:after="0" w:line="240" w:lineRule="auto"/>
      </w:pPr>
      <w:r>
        <w:separator/>
      </w:r>
    </w:p>
  </w:endnote>
  <w:endnote w:type="continuationSeparator" w:id="0">
    <w:p w14:paraId="0AE40A85" w14:textId="77777777" w:rsidR="00F34BB9" w:rsidRDefault="00F34BB9" w:rsidP="00F34BB9">
      <w:pPr>
        <w:spacing w:after="0" w:line="240" w:lineRule="auto"/>
      </w:pPr>
      <w:r>
        <w:continuationSeparator/>
      </w:r>
    </w:p>
  </w:endnote>
  <w:endnote w:type="continuationNotice" w:id="1">
    <w:p w14:paraId="24429B2A" w14:textId="77777777" w:rsidR="00B842A7" w:rsidRDefault="00B84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BBD79" w14:textId="77777777" w:rsidR="00F34BB9" w:rsidRDefault="00F34BB9" w:rsidP="00F34BB9">
      <w:pPr>
        <w:spacing w:after="0" w:line="240" w:lineRule="auto"/>
      </w:pPr>
      <w:r>
        <w:separator/>
      </w:r>
    </w:p>
  </w:footnote>
  <w:footnote w:type="continuationSeparator" w:id="0">
    <w:p w14:paraId="14287DBA" w14:textId="77777777" w:rsidR="00F34BB9" w:rsidRDefault="00F34BB9" w:rsidP="00F34BB9">
      <w:pPr>
        <w:spacing w:after="0" w:line="240" w:lineRule="auto"/>
      </w:pPr>
      <w:r>
        <w:continuationSeparator/>
      </w:r>
    </w:p>
  </w:footnote>
  <w:footnote w:type="continuationNotice" w:id="1">
    <w:p w14:paraId="63183451" w14:textId="77777777" w:rsidR="00B842A7" w:rsidRDefault="00B84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9A41C" w14:textId="0D82B484" w:rsidR="00F34BB9" w:rsidRPr="00186830" w:rsidRDefault="00F34BB9" w:rsidP="00186830">
    <w:pPr>
      <w:pStyle w:val="Header"/>
      <w:jc w:val="center"/>
      <w:rPr>
        <w:color w:val="FF0000"/>
      </w:rPr>
    </w:pPr>
    <w:r w:rsidRPr="00186830">
      <w:rPr>
        <w:color w:val="FF0000"/>
      </w:rPr>
      <w:t>STRAWMAN DRAFT PROPOSED RULE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D0D93"/>
    <w:multiLevelType w:val="multilevel"/>
    <w:tmpl w:val="E51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12007"/>
    <w:multiLevelType w:val="multilevel"/>
    <w:tmpl w:val="D9A8A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20EC9"/>
    <w:multiLevelType w:val="multilevel"/>
    <w:tmpl w:val="CC241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A4412"/>
    <w:multiLevelType w:val="multilevel"/>
    <w:tmpl w:val="592C7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378951">
    <w:abstractNumId w:val="0"/>
  </w:num>
  <w:num w:numId="2" w16cid:durableId="981077844">
    <w:abstractNumId w:val="3"/>
  </w:num>
  <w:num w:numId="3" w16cid:durableId="1043677989">
    <w:abstractNumId w:val="2"/>
  </w:num>
  <w:num w:numId="4" w16cid:durableId="30185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F962DA"/>
    <w:rsid w:val="00003713"/>
    <w:rsid w:val="00030E30"/>
    <w:rsid w:val="000726A5"/>
    <w:rsid w:val="00094A85"/>
    <w:rsid w:val="000F7087"/>
    <w:rsid w:val="00133389"/>
    <w:rsid w:val="00186830"/>
    <w:rsid w:val="00192491"/>
    <w:rsid w:val="0019489C"/>
    <w:rsid w:val="00195B73"/>
    <w:rsid w:val="00197C83"/>
    <w:rsid w:val="001B4B22"/>
    <w:rsid w:val="00202F4A"/>
    <w:rsid w:val="00227AC7"/>
    <w:rsid w:val="00230031"/>
    <w:rsid w:val="002313F1"/>
    <w:rsid w:val="00260F9D"/>
    <w:rsid w:val="002B5555"/>
    <w:rsid w:val="002C30F2"/>
    <w:rsid w:val="00307E6D"/>
    <w:rsid w:val="003233D7"/>
    <w:rsid w:val="003235BE"/>
    <w:rsid w:val="00327B99"/>
    <w:rsid w:val="00397620"/>
    <w:rsid w:val="003A7251"/>
    <w:rsid w:val="003F7018"/>
    <w:rsid w:val="004219E8"/>
    <w:rsid w:val="00435500"/>
    <w:rsid w:val="00476E6B"/>
    <w:rsid w:val="004A7CC1"/>
    <w:rsid w:val="004E65C1"/>
    <w:rsid w:val="00571F72"/>
    <w:rsid w:val="00575828"/>
    <w:rsid w:val="005926A8"/>
    <w:rsid w:val="005B2154"/>
    <w:rsid w:val="005B45E1"/>
    <w:rsid w:val="0063602B"/>
    <w:rsid w:val="006A1E3D"/>
    <w:rsid w:val="00752172"/>
    <w:rsid w:val="007A5FB5"/>
    <w:rsid w:val="007C3240"/>
    <w:rsid w:val="008021F2"/>
    <w:rsid w:val="00815E4F"/>
    <w:rsid w:val="00843473"/>
    <w:rsid w:val="0088221E"/>
    <w:rsid w:val="00894524"/>
    <w:rsid w:val="008E11DD"/>
    <w:rsid w:val="008F4693"/>
    <w:rsid w:val="00927485"/>
    <w:rsid w:val="0096607F"/>
    <w:rsid w:val="009A08B3"/>
    <w:rsid w:val="009A42FA"/>
    <w:rsid w:val="009C7C68"/>
    <w:rsid w:val="009D0A13"/>
    <w:rsid w:val="00A23DC8"/>
    <w:rsid w:val="00A25437"/>
    <w:rsid w:val="00A4762A"/>
    <w:rsid w:val="00A50048"/>
    <w:rsid w:val="00A761B8"/>
    <w:rsid w:val="00AD6235"/>
    <w:rsid w:val="00B63873"/>
    <w:rsid w:val="00B6579A"/>
    <w:rsid w:val="00B842A7"/>
    <w:rsid w:val="00BD42C7"/>
    <w:rsid w:val="00BD5607"/>
    <w:rsid w:val="00C7541A"/>
    <w:rsid w:val="00C83116"/>
    <w:rsid w:val="00C95915"/>
    <w:rsid w:val="00CA0923"/>
    <w:rsid w:val="00CE29C4"/>
    <w:rsid w:val="00D7647C"/>
    <w:rsid w:val="00D95DDB"/>
    <w:rsid w:val="00DC026B"/>
    <w:rsid w:val="00E056C7"/>
    <w:rsid w:val="00E6579F"/>
    <w:rsid w:val="00EE0909"/>
    <w:rsid w:val="00F34BB9"/>
    <w:rsid w:val="00F44B11"/>
    <w:rsid w:val="00F60D48"/>
    <w:rsid w:val="00FA380E"/>
    <w:rsid w:val="00FA46B9"/>
    <w:rsid w:val="00FA68DE"/>
    <w:rsid w:val="00FA6A98"/>
    <w:rsid w:val="00FF56C4"/>
    <w:rsid w:val="027C3744"/>
    <w:rsid w:val="08B5D9CE"/>
    <w:rsid w:val="09BE2F6F"/>
    <w:rsid w:val="0EFCC8BF"/>
    <w:rsid w:val="14A240B8"/>
    <w:rsid w:val="1582839D"/>
    <w:rsid w:val="159CC146"/>
    <w:rsid w:val="17185BC7"/>
    <w:rsid w:val="323BB6A4"/>
    <w:rsid w:val="33BCB6CC"/>
    <w:rsid w:val="350AF5AA"/>
    <w:rsid w:val="395163D4"/>
    <w:rsid w:val="3C9EE884"/>
    <w:rsid w:val="40BBFE34"/>
    <w:rsid w:val="47456BEB"/>
    <w:rsid w:val="54AFC4D1"/>
    <w:rsid w:val="5DC841E6"/>
    <w:rsid w:val="6A44AB03"/>
    <w:rsid w:val="6B18E225"/>
    <w:rsid w:val="6FB7F090"/>
    <w:rsid w:val="75F962DA"/>
    <w:rsid w:val="7AC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62DA"/>
  <w15:chartTrackingRefBased/>
  <w15:docId w15:val="{24451F14-C13C-4A87-ACE5-8326D9FB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54AFC4D1"/>
  </w:style>
  <w:style w:type="paragraph" w:styleId="Revision">
    <w:name w:val="Revision"/>
    <w:hidden/>
    <w:uiPriority w:val="99"/>
    <w:semiHidden/>
    <w:rsid w:val="00F60D48"/>
    <w:pPr>
      <w:spacing w:after="0" w:line="240" w:lineRule="auto"/>
    </w:pPr>
  </w:style>
  <w:style w:type="paragraph" w:customStyle="1" w:styleId="paragraph">
    <w:name w:val="paragraph"/>
    <w:basedOn w:val="Normal"/>
    <w:rsid w:val="0043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35500"/>
  </w:style>
  <w:style w:type="paragraph" w:styleId="NoSpacing">
    <w:name w:val="No Spacing"/>
    <w:uiPriority w:val="1"/>
    <w:qFormat/>
    <w:rsid w:val="00DC02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B9"/>
  </w:style>
  <w:style w:type="paragraph" w:styleId="Footer">
    <w:name w:val="footer"/>
    <w:basedOn w:val="Normal"/>
    <w:link w:val="FooterChar"/>
    <w:uiPriority w:val="99"/>
    <w:unhideWhenUsed/>
    <w:rsid w:val="00F3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8" ma:contentTypeDescription="Create a new document." ma:contentTypeScope="" ma:versionID="813a7ce6630b4669e96a9f12534ca7e1">
  <xsd:schema xmlns:xsd="http://www.w3.org/2001/XMLSchema" xmlns:xs="http://www.w3.org/2001/XMLSchema" xmlns:p="http://schemas.microsoft.com/office/2006/metadata/properties" xmlns:ns2="1113b451-1eee-4937-a542-db638fb04653" xmlns:ns3="3159b18a-1c9e-40ae-afe6-d35ac3692f3a" xmlns:ns4="ddb5066c-6899-482b-9ea0-5145f9da9989" targetNamespace="http://schemas.microsoft.com/office/2006/metadata/properties" ma:root="true" ma:fieldsID="faeb5662860603ea6e38d8ae539cee51" ns2:_="" ns3:_="" ns4:_="">
    <xsd:import namespace="1113b451-1eee-4937-a542-db638fb04653"/>
    <xsd:import namespace="3159b18a-1c9e-40ae-afe6-d35ac3692f3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b7d275d-cce0-4868-8760-12db038c097b}" ma:internalName="TaxCatchAll" ma:showField="CatchAllData" ma:web="1113b451-1eee-4937-a542-db638fb0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Category xmlns="3159b18a-1c9e-40ae-afe6-d35ac3692f3a" xsi:nil="true"/>
    <lcf76f155ced4ddcb4097134ff3c332f xmlns="3159b18a-1c9e-40ae-afe6-d35ac3692f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37278C-0AC7-41D2-9141-DFA1E6E0F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258C5-2767-4C3F-9FE8-8C9DA663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E02CE-7812-4060-B2E5-737A008781A9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159b18a-1c9e-40ae-afe6-d35ac3692f3a"/>
    <ds:schemaRef ds:uri="1113b451-1eee-4937-a542-db638fb04653"/>
    <ds:schemaRef ds:uri="http://schemas.microsoft.com/office/infopath/2007/PartnerControls"/>
    <ds:schemaRef ds:uri="ddb5066c-6899-482b-9ea0-5145f9da9989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4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Steven</dc:creator>
  <cp:keywords/>
  <dc:description/>
  <cp:lastModifiedBy>Davies, Steven</cp:lastModifiedBy>
  <cp:revision>2</cp:revision>
  <dcterms:created xsi:type="dcterms:W3CDTF">2024-06-19T17:03:00Z</dcterms:created>
  <dcterms:modified xsi:type="dcterms:W3CDTF">2024-06-19T17:03:00Z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  <property fmtid="{D5CDD505-2E9C-101B-9397-08002B2CF9AE}" pid="3" name="MediaServiceImageTags">
    <vt:lpwstr/>
  </property>
</Properties>
</file>