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98" w:rsidRPr="00026E4E" w:rsidRDefault="00345D39" w:rsidP="00A10598">
      <w:pPr>
        <w:rPr>
          <w:rFonts w:ascii="Garamond" w:hAnsi="Garamond"/>
        </w:rPr>
      </w:pPr>
      <w:r>
        <w:rPr>
          <w:rFonts w:ascii="Garamond" w:hAnsi="Garamond"/>
          <w:noProof/>
        </w:rPr>
        <w:pict>
          <v:group id="_x0000_s1054" style="position:absolute;margin-left:-1in;margin-top:-69pt;width:558pt;height:105pt;z-index:251656704" coordorigin="360,60" coordsize="11160,2100">
            <v:line id="_x0000_s1048" style="position:absolute;flip:y;mso-wrap-style:none;v-text-anchor:middle" from="478,2160" to="10198,2160" o:regroupid="1" o:userdrawn="t" strokecolor="#006" strokeweight="2pt">
              <v:stroke startarrowwidth="narrow" startarrowlength="short" endarrowwidth="narrow" endarrowlength="short"/>
            </v:line>
            <v:line id="_x0000_s1049" style="position:absolute;mso-wrap-style:none;v-text-anchor:middle" from="1920,2040" to="11520,2040" o:regroupid="1" o:userdrawn="t" strokecolor="#960" strokeweight="1.5pt">
              <v:stroke startarrowwidth="narrow" startarrowlength="short" endarrowwidth="narrow" endarrowlength="short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360;top:60;width:1752;height:1920" o:regroupid="1" o:userdrawn="t">
              <v:imagedata r:id="rId7" o:title="Logo"/>
            </v:shape>
            <v:shape id="_x0000_s1050" type="#_x0000_t75" style="position:absolute;left:2340;top:180;width:4200;height:1575" o:regroupid="1" o:userdrawn="t" fillcolor="#bbe0e3">
              <v:imagedata r:id="rId8" o:title=""/>
            </v:shape>
          </v:group>
        </w:pict>
      </w:r>
    </w:p>
    <w:p w:rsidR="00A10598" w:rsidRPr="00026E4E" w:rsidRDefault="00A10598" w:rsidP="00A10598">
      <w:pPr>
        <w:rPr>
          <w:rFonts w:ascii="Garamond" w:hAnsi="Garamond"/>
        </w:rPr>
      </w:pPr>
    </w:p>
    <w:p w:rsidR="00A10598" w:rsidRPr="00026E4E" w:rsidRDefault="00A10598" w:rsidP="00A10598">
      <w:pPr>
        <w:rPr>
          <w:rFonts w:ascii="Garamond" w:hAnsi="Garamond"/>
        </w:rPr>
      </w:pPr>
    </w:p>
    <w:p w:rsidR="00F56CAF" w:rsidRDefault="00F56CAF" w:rsidP="00A10598">
      <w:pPr>
        <w:jc w:val="right"/>
        <w:rPr>
          <w:rFonts w:ascii="Garamond" w:hAnsi="Garamond"/>
        </w:rPr>
      </w:pPr>
    </w:p>
    <w:p w:rsidR="00047188" w:rsidRPr="00026E4E" w:rsidRDefault="00047188" w:rsidP="00A10598">
      <w:pPr>
        <w:jc w:val="right"/>
        <w:rPr>
          <w:rFonts w:ascii="Garamond" w:hAnsi="Garamond"/>
        </w:rPr>
      </w:pPr>
    </w:p>
    <w:p w:rsidR="00F44B90" w:rsidRPr="00721E22" w:rsidRDefault="00A53683" w:rsidP="00584971">
      <w:pPr>
        <w:jc w:val="both"/>
        <w:rPr>
          <w:rFonts w:ascii="Garamond" w:hAnsi="Garamond"/>
          <w:b/>
          <w:caps/>
          <w:sz w:val="28"/>
          <w:szCs w:val="28"/>
        </w:rPr>
      </w:pPr>
      <w:r>
        <w:rPr>
          <w:rFonts w:ascii="Garamond" w:hAnsi="Garamond"/>
          <w:b/>
          <w:caps/>
          <w:sz w:val="28"/>
          <w:szCs w:val="28"/>
        </w:rPr>
        <w:t>PC Replacement</w:t>
      </w:r>
      <w:r w:rsidR="00303C39">
        <w:rPr>
          <w:rFonts w:ascii="Garamond" w:hAnsi="Garamond"/>
          <w:b/>
          <w:caps/>
          <w:sz w:val="28"/>
          <w:szCs w:val="28"/>
        </w:rPr>
        <w:t xml:space="preserve"> POLICY</w:t>
      </w:r>
    </w:p>
    <w:p w:rsidR="00F44B90" w:rsidRDefault="00F44B90" w:rsidP="00584971">
      <w:pPr>
        <w:jc w:val="both"/>
        <w:rPr>
          <w:rFonts w:ascii="Garamond" w:hAnsi="Garamond"/>
          <w:b/>
        </w:rPr>
      </w:pPr>
      <w:r w:rsidRPr="00721E22">
        <w:rPr>
          <w:rFonts w:ascii="Garamond" w:hAnsi="Garamond"/>
          <w:b/>
        </w:rPr>
        <w:t xml:space="preserve">Policy Number: </w:t>
      </w:r>
      <w:r w:rsidR="00226C4E">
        <w:rPr>
          <w:rFonts w:ascii="Garamond" w:hAnsi="Garamond"/>
          <w:b/>
        </w:rPr>
        <w:t xml:space="preserve"> Operations (ITP) </w:t>
      </w:r>
      <w:r w:rsidR="007F3803">
        <w:rPr>
          <w:rFonts w:ascii="Garamond" w:hAnsi="Garamond"/>
          <w:b/>
        </w:rPr>
        <w:t>12-01</w:t>
      </w:r>
    </w:p>
    <w:p w:rsidR="00303C39" w:rsidRDefault="00303C39" w:rsidP="00584971">
      <w:pPr>
        <w:jc w:val="both"/>
        <w:rPr>
          <w:rFonts w:ascii="Garamond" w:hAnsi="Garamond"/>
          <w:b/>
          <w:sz w:val="22"/>
          <w:szCs w:val="22"/>
        </w:rPr>
      </w:pPr>
    </w:p>
    <w:p w:rsidR="00047188" w:rsidRPr="00721E22" w:rsidRDefault="00047188" w:rsidP="00584971">
      <w:pPr>
        <w:jc w:val="both"/>
        <w:rPr>
          <w:rFonts w:ascii="Garamond" w:hAnsi="Garamond"/>
          <w:b/>
          <w:sz w:val="22"/>
          <w:szCs w:val="22"/>
        </w:rPr>
      </w:pPr>
    </w:p>
    <w:p w:rsidR="00303C39" w:rsidRDefault="00F44B90" w:rsidP="00584971">
      <w:pPr>
        <w:jc w:val="both"/>
        <w:rPr>
          <w:rFonts w:ascii="Garamond" w:hAnsi="Garamond"/>
          <w:b/>
          <w:sz w:val="22"/>
          <w:szCs w:val="22"/>
        </w:rPr>
      </w:pPr>
      <w:r w:rsidRPr="00721E22">
        <w:rPr>
          <w:rFonts w:ascii="Garamond" w:hAnsi="Garamond"/>
          <w:b/>
          <w:sz w:val="22"/>
          <w:szCs w:val="22"/>
        </w:rPr>
        <w:t xml:space="preserve">Issue Date: </w:t>
      </w:r>
      <w:r w:rsidR="00C4239E">
        <w:rPr>
          <w:rFonts w:ascii="Garamond" w:hAnsi="Garamond"/>
          <w:b/>
          <w:sz w:val="22"/>
          <w:szCs w:val="22"/>
        </w:rPr>
        <w:t>11/19/2012</w:t>
      </w:r>
    </w:p>
    <w:p w:rsidR="00F44B90" w:rsidRPr="00721E22" w:rsidRDefault="00F44B90" w:rsidP="00584971">
      <w:pPr>
        <w:jc w:val="both"/>
        <w:rPr>
          <w:rFonts w:ascii="Garamond" w:hAnsi="Garamond"/>
          <w:b/>
          <w:sz w:val="22"/>
          <w:szCs w:val="22"/>
        </w:rPr>
      </w:pPr>
      <w:r w:rsidRPr="00721E22">
        <w:rPr>
          <w:rFonts w:ascii="Garamond" w:hAnsi="Garamond"/>
          <w:b/>
          <w:sz w:val="22"/>
          <w:szCs w:val="22"/>
        </w:rPr>
        <w:t>Effective Date: Immediate</w:t>
      </w:r>
    </w:p>
    <w:p w:rsidR="00F44B90" w:rsidRDefault="00F44B90" w:rsidP="00584971">
      <w:pPr>
        <w:jc w:val="both"/>
        <w:rPr>
          <w:rFonts w:ascii="Garamond" w:hAnsi="Garamond"/>
        </w:rPr>
      </w:pPr>
    </w:p>
    <w:p w:rsidR="00047188" w:rsidRPr="00721E22" w:rsidRDefault="00047188" w:rsidP="00584971">
      <w:pPr>
        <w:jc w:val="both"/>
        <w:rPr>
          <w:rFonts w:ascii="Garamond" w:hAnsi="Garamond"/>
        </w:rPr>
      </w:pPr>
    </w:p>
    <w:p w:rsidR="00F44B90" w:rsidRPr="00584971" w:rsidRDefault="00F44B90" w:rsidP="00584971">
      <w:pPr>
        <w:numPr>
          <w:ilvl w:val="0"/>
          <w:numId w:val="1"/>
        </w:numPr>
        <w:jc w:val="both"/>
        <w:rPr>
          <w:rFonts w:ascii="Garamond" w:hAnsi="Garamond"/>
          <w:b/>
          <w:sz w:val="22"/>
          <w:szCs w:val="22"/>
        </w:rPr>
      </w:pPr>
      <w:r w:rsidRPr="00584971">
        <w:rPr>
          <w:rFonts w:ascii="Garamond" w:hAnsi="Garamond"/>
          <w:b/>
          <w:sz w:val="22"/>
          <w:szCs w:val="22"/>
        </w:rPr>
        <w:t xml:space="preserve">Purpose </w:t>
      </w:r>
    </w:p>
    <w:p w:rsidR="00F44B90" w:rsidRPr="00721E22" w:rsidRDefault="00F44B90" w:rsidP="00584971">
      <w:pPr>
        <w:jc w:val="both"/>
        <w:rPr>
          <w:rFonts w:ascii="Garamond" w:hAnsi="Garamond"/>
          <w:sz w:val="22"/>
          <w:szCs w:val="22"/>
        </w:rPr>
      </w:pPr>
      <w:r w:rsidRPr="00721E22">
        <w:rPr>
          <w:rFonts w:ascii="Garamond" w:hAnsi="Garamond"/>
          <w:sz w:val="22"/>
          <w:szCs w:val="22"/>
        </w:rPr>
        <w:t xml:space="preserve"> </w:t>
      </w:r>
    </w:p>
    <w:p w:rsidR="00F44B90" w:rsidRPr="00721E22" w:rsidRDefault="005E55F5" w:rsidP="00F745CC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The purpose </w:t>
      </w:r>
      <w:r w:rsidR="007E3411">
        <w:rPr>
          <w:rFonts w:ascii="Garamond" w:hAnsi="Garamond"/>
          <w:sz w:val="22"/>
          <w:szCs w:val="22"/>
        </w:rPr>
        <w:t xml:space="preserve">of this policy </w:t>
      </w:r>
      <w:r>
        <w:rPr>
          <w:rFonts w:ascii="Garamond" w:hAnsi="Garamond"/>
          <w:sz w:val="22"/>
          <w:szCs w:val="22"/>
        </w:rPr>
        <w:t>is t</w:t>
      </w:r>
      <w:r w:rsidR="00BC59AF">
        <w:rPr>
          <w:rFonts w:ascii="Garamond" w:hAnsi="Garamond"/>
          <w:sz w:val="22"/>
          <w:szCs w:val="22"/>
        </w:rPr>
        <w:t>o e</w:t>
      </w:r>
      <w:r w:rsidR="00F44B90" w:rsidRPr="00721E22">
        <w:rPr>
          <w:rFonts w:ascii="Garamond" w:hAnsi="Garamond"/>
          <w:sz w:val="22"/>
          <w:szCs w:val="22"/>
        </w:rPr>
        <w:t xml:space="preserve">stablish </w:t>
      </w:r>
      <w:r w:rsidR="007E3411">
        <w:rPr>
          <w:rFonts w:ascii="Garamond" w:hAnsi="Garamond"/>
          <w:sz w:val="22"/>
          <w:szCs w:val="22"/>
        </w:rPr>
        <w:t xml:space="preserve">the requirements </w:t>
      </w:r>
      <w:r>
        <w:rPr>
          <w:rFonts w:ascii="Garamond" w:hAnsi="Garamond"/>
          <w:sz w:val="22"/>
          <w:szCs w:val="22"/>
        </w:rPr>
        <w:t xml:space="preserve">governing </w:t>
      </w:r>
      <w:r w:rsidR="00A53683">
        <w:rPr>
          <w:rFonts w:ascii="Garamond" w:hAnsi="Garamond"/>
          <w:sz w:val="22"/>
          <w:szCs w:val="22"/>
        </w:rPr>
        <w:t xml:space="preserve">PC Replacement </w:t>
      </w:r>
      <w:r w:rsidR="00CB4A53">
        <w:rPr>
          <w:rFonts w:ascii="Garamond" w:hAnsi="Garamond"/>
          <w:sz w:val="22"/>
          <w:szCs w:val="22"/>
        </w:rPr>
        <w:t>for Seat, NNS+ (Non-network Seat Plus), and NNS (Non-network Seat)</w:t>
      </w:r>
    </w:p>
    <w:p w:rsidR="00F44B90" w:rsidRPr="00721E22" w:rsidRDefault="00F44B90" w:rsidP="00584971">
      <w:pPr>
        <w:ind w:left="360"/>
        <w:jc w:val="both"/>
        <w:rPr>
          <w:rFonts w:ascii="Garamond" w:hAnsi="Garamond"/>
          <w:sz w:val="22"/>
          <w:szCs w:val="22"/>
        </w:rPr>
      </w:pPr>
    </w:p>
    <w:p w:rsidR="00F44B90" w:rsidRPr="00584971" w:rsidRDefault="00F44B90" w:rsidP="00584971">
      <w:pPr>
        <w:numPr>
          <w:ilvl w:val="0"/>
          <w:numId w:val="1"/>
        </w:numPr>
        <w:jc w:val="both"/>
        <w:rPr>
          <w:rFonts w:ascii="Garamond" w:hAnsi="Garamond"/>
          <w:b/>
          <w:sz w:val="22"/>
          <w:szCs w:val="22"/>
        </w:rPr>
      </w:pPr>
      <w:r w:rsidRPr="00584971">
        <w:rPr>
          <w:rFonts w:ascii="Garamond" w:hAnsi="Garamond"/>
          <w:b/>
          <w:sz w:val="22"/>
          <w:szCs w:val="22"/>
        </w:rPr>
        <w:t>Revision History</w:t>
      </w:r>
    </w:p>
    <w:p w:rsidR="00F44B90" w:rsidRPr="00721E22" w:rsidRDefault="00F44B90" w:rsidP="00584971">
      <w:pPr>
        <w:ind w:left="360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  <w:gridCol w:w="1871"/>
        <w:gridCol w:w="3554"/>
        <w:gridCol w:w="1415"/>
      </w:tblGrid>
      <w:tr w:rsidR="00F44B90" w:rsidRPr="00850C92" w:rsidTr="003D5B9C">
        <w:trPr>
          <w:trHeight w:val="420"/>
        </w:trPr>
        <w:tc>
          <w:tcPr>
            <w:tcW w:w="1497" w:type="dxa"/>
          </w:tcPr>
          <w:p w:rsidR="00F44B90" w:rsidRPr="00850C92" w:rsidRDefault="00F44B90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Revision Date</w:t>
            </w:r>
          </w:p>
        </w:tc>
        <w:tc>
          <w:tcPr>
            <w:tcW w:w="1871" w:type="dxa"/>
          </w:tcPr>
          <w:p w:rsidR="00F44B90" w:rsidRPr="00850C92" w:rsidRDefault="00F44B90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Revision Number</w:t>
            </w:r>
          </w:p>
        </w:tc>
        <w:tc>
          <w:tcPr>
            <w:tcW w:w="3554" w:type="dxa"/>
          </w:tcPr>
          <w:p w:rsidR="00F44B90" w:rsidRPr="00850C92" w:rsidRDefault="00F44B90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 xml:space="preserve">Change Made </w:t>
            </w:r>
          </w:p>
        </w:tc>
        <w:tc>
          <w:tcPr>
            <w:tcW w:w="1415" w:type="dxa"/>
          </w:tcPr>
          <w:p w:rsidR="00F44B90" w:rsidRPr="00850C92" w:rsidRDefault="00F44B90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Reviser</w:t>
            </w:r>
          </w:p>
        </w:tc>
      </w:tr>
      <w:tr w:rsidR="00F44B90" w:rsidRPr="00850C92" w:rsidTr="003D5B9C">
        <w:trPr>
          <w:trHeight w:val="502"/>
        </w:trPr>
        <w:tc>
          <w:tcPr>
            <w:tcW w:w="1497" w:type="dxa"/>
          </w:tcPr>
          <w:p w:rsidR="00F44B90" w:rsidRPr="00850C92" w:rsidRDefault="00C4239E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11/19/2012</w:t>
            </w:r>
          </w:p>
        </w:tc>
        <w:tc>
          <w:tcPr>
            <w:tcW w:w="1871" w:type="dxa"/>
          </w:tcPr>
          <w:p w:rsidR="00F44B90" w:rsidRPr="00850C92" w:rsidRDefault="00F44B90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01</w:t>
            </w:r>
          </w:p>
        </w:tc>
        <w:tc>
          <w:tcPr>
            <w:tcW w:w="3554" w:type="dxa"/>
          </w:tcPr>
          <w:p w:rsidR="00F44B90" w:rsidRPr="00850C92" w:rsidRDefault="00C4239E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Policy Creation</w:t>
            </w:r>
          </w:p>
        </w:tc>
        <w:tc>
          <w:tcPr>
            <w:tcW w:w="1415" w:type="dxa"/>
          </w:tcPr>
          <w:p w:rsidR="00F44B90" w:rsidRPr="00850C92" w:rsidRDefault="00786386" w:rsidP="00584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N. Scoble</w:t>
            </w:r>
          </w:p>
        </w:tc>
      </w:tr>
      <w:tr w:rsidR="003D5B9C" w:rsidRPr="00850C92" w:rsidTr="003D5B9C">
        <w:trPr>
          <w:trHeight w:val="50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9C" w:rsidRPr="00850C92" w:rsidRDefault="003D5B9C" w:rsidP="00D05E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02/25/2013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9C" w:rsidRPr="00850C92" w:rsidRDefault="003D5B9C" w:rsidP="003D5B9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9C" w:rsidRPr="00850C92" w:rsidRDefault="003D5B9C" w:rsidP="00D05E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Add 5.7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9C" w:rsidRPr="00850C92" w:rsidRDefault="003D5B9C" w:rsidP="00D05E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N. Scoble</w:t>
            </w:r>
          </w:p>
        </w:tc>
      </w:tr>
      <w:tr w:rsidR="006C5887" w:rsidRPr="00850C92" w:rsidTr="006C5887">
        <w:trPr>
          <w:trHeight w:val="50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7" w:rsidRPr="00850C92" w:rsidRDefault="006C5887" w:rsidP="00A66C9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05/13/2013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7" w:rsidRPr="00850C92" w:rsidRDefault="006C5887" w:rsidP="006C588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7" w:rsidRPr="00850C92" w:rsidRDefault="006C5887" w:rsidP="00CB6A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Updated 5.2 with 19</w:t>
            </w:r>
            <w:r w:rsidR="00CB6ADE">
              <w:rPr>
                <w:rFonts w:ascii="Garamond" w:hAnsi="Garamond"/>
                <w:sz w:val="22"/>
                <w:szCs w:val="22"/>
              </w:rPr>
              <w:t>”</w:t>
            </w:r>
            <w:r>
              <w:rPr>
                <w:rFonts w:ascii="Garamond" w:hAnsi="Garamond"/>
                <w:sz w:val="22"/>
                <w:szCs w:val="22"/>
              </w:rPr>
              <w:t xml:space="preserve"> monitor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7" w:rsidRPr="00850C92" w:rsidRDefault="006C5887" w:rsidP="00A66C9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N. Scoble</w:t>
            </w:r>
          </w:p>
        </w:tc>
      </w:tr>
      <w:tr w:rsidR="00CB6ADE" w:rsidRPr="00850C92" w:rsidTr="00CB6ADE">
        <w:trPr>
          <w:trHeight w:val="50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DE" w:rsidRPr="00850C92" w:rsidRDefault="00CB6ADE" w:rsidP="00CB6A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01/13/2014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DE" w:rsidRPr="00850C92" w:rsidRDefault="00CB6ADE" w:rsidP="0058056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0</w:t>
            </w:r>
            <w:r w:rsidR="0058056D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DE" w:rsidRPr="00850C92" w:rsidRDefault="00CB6ADE" w:rsidP="00CB6A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Updated 5.2 with 17” monitor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DE" w:rsidRPr="00850C92" w:rsidRDefault="00CB6ADE" w:rsidP="008B1B0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N. Scoble</w:t>
            </w:r>
          </w:p>
        </w:tc>
      </w:tr>
      <w:tr w:rsidR="0063522B" w:rsidRPr="00850C92" w:rsidTr="00814D76">
        <w:trPr>
          <w:trHeight w:val="502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B" w:rsidRPr="00850C92" w:rsidRDefault="0063522B" w:rsidP="00747E3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  <w:r w:rsidR="00747E3D">
              <w:rPr>
                <w:rFonts w:ascii="Garamond" w:hAnsi="Garamond"/>
                <w:sz w:val="22"/>
                <w:szCs w:val="22"/>
              </w:rPr>
              <w:t>3</w:t>
            </w:r>
            <w:r>
              <w:rPr>
                <w:rFonts w:ascii="Garamond" w:hAnsi="Garamond"/>
                <w:sz w:val="22"/>
                <w:szCs w:val="22"/>
              </w:rPr>
              <w:t>/05/2014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B" w:rsidRPr="00850C92" w:rsidRDefault="0063522B" w:rsidP="0063522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50C92">
              <w:rPr>
                <w:rFonts w:ascii="Garamond" w:hAnsi="Garamond"/>
                <w:sz w:val="22"/>
                <w:szCs w:val="22"/>
              </w:rPr>
              <w:t>0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B" w:rsidRPr="00850C92" w:rsidRDefault="0063522B" w:rsidP="0063522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Updated 5.2 with 20” monitor</w:t>
            </w:r>
            <w:r w:rsidR="00E11BA5">
              <w:rPr>
                <w:rFonts w:ascii="Garamond" w:hAnsi="Garamond"/>
                <w:sz w:val="22"/>
                <w:szCs w:val="22"/>
              </w:rPr>
              <w:t xml:space="preserve"> and PC Refresh Credit 1 time every 4 years</w:t>
            </w:r>
            <w:r w:rsidR="00123DAF">
              <w:rPr>
                <w:rFonts w:ascii="Garamond" w:hAnsi="Garamond"/>
                <w:sz w:val="22"/>
                <w:szCs w:val="22"/>
              </w:rPr>
              <w:t xml:space="preserve"> added to 5.1</w:t>
            </w:r>
            <w:proofErr w:type="gramStart"/>
            <w:r w:rsidR="00123DAF">
              <w:rPr>
                <w:rFonts w:ascii="Garamond" w:hAnsi="Garamond"/>
                <w:sz w:val="22"/>
                <w:szCs w:val="22"/>
              </w:rPr>
              <w:t>.</w:t>
            </w:r>
            <w:r w:rsidR="00E11BA5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B" w:rsidRPr="00850C92" w:rsidRDefault="0063522B" w:rsidP="00814D7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N. Scoble</w:t>
            </w:r>
          </w:p>
        </w:tc>
      </w:tr>
    </w:tbl>
    <w:p w:rsidR="003D5B9C" w:rsidRDefault="003D5B9C" w:rsidP="00584971">
      <w:pPr>
        <w:ind w:left="1080"/>
        <w:jc w:val="both"/>
        <w:rPr>
          <w:rFonts w:ascii="Garamond" w:hAnsi="Garamond"/>
          <w:sz w:val="22"/>
          <w:szCs w:val="22"/>
        </w:rPr>
      </w:pPr>
    </w:p>
    <w:p w:rsidR="003D5B9C" w:rsidRPr="00721E22" w:rsidRDefault="003D5B9C" w:rsidP="00584971">
      <w:pPr>
        <w:ind w:left="1080"/>
        <w:jc w:val="both"/>
        <w:rPr>
          <w:rFonts w:ascii="Garamond" w:hAnsi="Garamond"/>
          <w:sz w:val="22"/>
          <w:szCs w:val="22"/>
        </w:rPr>
      </w:pPr>
    </w:p>
    <w:p w:rsidR="00F44B90" w:rsidRPr="00584971" w:rsidRDefault="00F44B90" w:rsidP="00584971">
      <w:pPr>
        <w:numPr>
          <w:ilvl w:val="0"/>
          <w:numId w:val="1"/>
        </w:numPr>
        <w:jc w:val="both"/>
        <w:rPr>
          <w:rFonts w:ascii="Garamond" w:hAnsi="Garamond"/>
          <w:b/>
          <w:sz w:val="22"/>
          <w:szCs w:val="22"/>
        </w:rPr>
      </w:pPr>
      <w:r w:rsidRPr="00584971">
        <w:rPr>
          <w:rFonts w:ascii="Garamond" w:hAnsi="Garamond"/>
          <w:b/>
          <w:sz w:val="22"/>
          <w:szCs w:val="22"/>
        </w:rPr>
        <w:t>Persons, Groups, Systems Affected</w:t>
      </w:r>
    </w:p>
    <w:p w:rsidR="00F44B90" w:rsidRPr="00721E22" w:rsidRDefault="00F44B90" w:rsidP="00584971">
      <w:pPr>
        <w:jc w:val="both"/>
        <w:rPr>
          <w:rFonts w:ascii="Garamond" w:hAnsi="Garamond"/>
          <w:sz w:val="22"/>
          <w:szCs w:val="22"/>
        </w:rPr>
      </w:pPr>
    </w:p>
    <w:p w:rsidR="00FF241C" w:rsidRDefault="00F44B90" w:rsidP="00584971">
      <w:pPr>
        <w:ind w:left="360"/>
        <w:jc w:val="both"/>
        <w:rPr>
          <w:rFonts w:ascii="Garamond" w:hAnsi="Garamond"/>
          <w:sz w:val="22"/>
          <w:szCs w:val="22"/>
        </w:rPr>
      </w:pPr>
      <w:r w:rsidRPr="00721E22">
        <w:rPr>
          <w:rFonts w:ascii="Garamond" w:hAnsi="Garamond"/>
          <w:sz w:val="22"/>
          <w:szCs w:val="22"/>
        </w:rPr>
        <w:t>All agencies within the executive branch of Indiana state government</w:t>
      </w:r>
    </w:p>
    <w:p w:rsidR="00FF241C" w:rsidRDefault="00FF241C" w:rsidP="00584971">
      <w:pPr>
        <w:ind w:left="360"/>
        <w:jc w:val="both"/>
        <w:rPr>
          <w:rFonts w:ascii="Garamond" w:hAnsi="Garamond"/>
          <w:sz w:val="22"/>
          <w:szCs w:val="22"/>
        </w:rPr>
      </w:pPr>
    </w:p>
    <w:p w:rsidR="00F44B90" w:rsidRPr="00721E22" w:rsidRDefault="00F44B90" w:rsidP="00584971">
      <w:pPr>
        <w:ind w:left="360"/>
        <w:jc w:val="both"/>
        <w:rPr>
          <w:rFonts w:ascii="Garamond" w:hAnsi="Garamond"/>
          <w:sz w:val="22"/>
          <w:szCs w:val="22"/>
        </w:rPr>
      </w:pPr>
    </w:p>
    <w:p w:rsidR="00F44B90" w:rsidRPr="00584971" w:rsidRDefault="00F44B90" w:rsidP="00584971">
      <w:pPr>
        <w:numPr>
          <w:ilvl w:val="0"/>
          <w:numId w:val="1"/>
        </w:numPr>
        <w:jc w:val="both"/>
        <w:rPr>
          <w:rFonts w:ascii="Garamond" w:hAnsi="Garamond"/>
          <w:b/>
          <w:sz w:val="22"/>
          <w:szCs w:val="22"/>
        </w:rPr>
      </w:pPr>
      <w:r w:rsidRPr="00584971">
        <w:rPr>
          <w:rFonts w:ascii="Garamond" w:hAnsi="Garamond"/>
          <w:b/>
          <w:sz w:val="22"/>
          <w:szCs w:val="22"/>
        </w:rPr>
        <w:t>Definitions</w:t>
      </w:r>
    </w:p>
    <w:p w:rsidR="00F44B90" w:rsidRPr="00721E22" w:rsidRDefault="00F44B90" w:rsidP="00584971">
      <w:pPr>
        <w:jc w:val="both"/>
        <w:rPr>
          <w:rFonts w:ascii="Garamond" w:hAnsi="Garamond"/>
          <w:sz w:val="22"/>
          <w:szCs w:val="22"/>
        </w:rPr>
      </w:pPr>
    </w:p>
    <w:p w:rsidR="007E3411" w:rsidRPr="006D0D3E" w:rsidRDefault="007E3411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 w:rsidRPr="007E3411">
        <w:rPr>
          <w:rFonts w:ascii="Garamond" w:hAnsi="Garamond"/>
          <w:sz w:val="22"/>
          <w:szCs w:val="22"/>
        </w:rPr>
        <w:t>4.1</w:t>
      </w:r>
      <w:r w:rsidRPr="007E3411">
        <w:rPr>
          <w:rFonts w:ascii="Garamond" w:hAnsi="Garamond"/>
          <w:sz w:val="22"/>
          <w:szCs w:val="22"/>
        </w:rPr>
        <w:tab/>
      </w:r>
      <w:r w:rsidR="006D0D3E">
        <w:rPr>
          <w:rFonts w:ascii="Garamond" w:hAnsi="Garamond"/>
          <w:sz w:val="22"/>
          <w:szCs w:val="22"/>
          <w:u w:val="single"/>
        </w:rPr>
        <w:t xml:space="preserve">Seat </w:t>
      </w:r>
      <w:r w:rsidR="006D0D3E" w:rsidRPr="006D0D3E">
        <w:rPr>
          <w:rFonts w:ascii="Garamond" w:hAnsi="Garamond"/>
          <w:sz w:val="22"/>
          <w:szCs w:val="22"/>
        </w:rPr>
        <w:t>–</w:t>
      </w:r>
      <w:r w:rsidR="00821626">
        <w:rPr>
          <w:rFonts w:ascii="Garamond" w:hAnsi="Garamond"/>
          <w:sz w:val="22"/>
          <w:szCs w:val="22"/>
        </w:rPr>
        <w:t xml:space="preserve"> </w:t>
      </w:r>
      <w:r w:rsidR="006D0D3E">
        <w:rPr>
          <w:rFonts w:ascii="Garamond" w:hAnsi="Garamond"/>
          <w:sz w:val="22"/>
          <w:szCs w:val="22"/>
        </w:rPr>
        <w:t>PCs which are connected to the State of Indiana network</w:t>
      </w:r>
      <w:r w:rsidR="00A53683">
        <w:rPr>
          <w:rFonts w:ascii="Garamond" w:hAnsi="Garamond"/>
          <w:sz w:val="22"/>
          <w:szCs w:val="22"/>
        </w:rPr>
        <w:t xml:space="preserve">, </w:t>
      </w:r>
      <w:r w:rsidR="006D0D3E">
        <w:rPr>
          <w:rFonts w:ascii="Garamond" w:hAnsi="Garamond"/>
          <w:sz w:val="22"/>
          <w:szCs w:val="22"/>
        </w:rPr>
        <w:t>are replaced on a 4-year cycle</w:t>
      </w:r>
      <w:r w:rsidR="00A53683">
        <w:rPr>
          <w:rFonts w:ascii="Garamond" w:hAnsi="Garamond"/>
          <w:sz w:val="22"/>
          <w:szCs w:val="22"/>
        </w:rPr>
        <w:t>,</w:t>
      </w:r>
      <w:r w:rsidR="006D0D3E">
        <w:rPr>
          <w:rFonts w:ascii="Garamond" w:hAnsi="Garamond"/>
          <w:sz w:val="22"/>
          <w:szCs w:val="22"/>
        </w:rPr>
        <w:t xml:space="preserve"> and are IOT</w:t>
      </w:r>
      <w:r w:rsidR="000D13B0">
        <w:rPr>
          <w:rFonts w:ascii="Garamond" w:hAnsi="Garamond"/>
          <w:sz w:val="22"/>
          <w:szCs w:val="22"/>
        </w:rPr>
        <w:t>-</w:t>
      </w:r>
      <w:r w:rsidR="007B47C5">
        <w:rPr>
          <w:rFonts w:ascii="Garamond" w:hAnsi="Garamond"/>
          <w:sz w:val="22"/>
          <w:szCs w:val="22"/>
        </w:rPr>
        <w:t xml:space="preserve">owned </w:t>
      </w:r>
      <w:r w:rsidR="006D0D3E">
        <w:rPr>
          <w:rFonts w:ascii="Garamond" w:hAnsi="Garamond"/>
          <w:sz w:val="22"/>
          <w:szCs w:val="22"/>
        </w:rPr>
        <w:t>Assets.</w:t>
      </w:r>
    </w:p>
    <w:p w:rsidR="007E3411" w:rsidRPr="007E3411" w:rsidRDefault="007E3411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7E3411" w:rsidRPr="007E3411" w:rsidRDefault="007E3411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 w:rsidRPr="007E3411">
        <w:rPr>
          <w:rFonts w:ascii="Garamond" w:hAnsi="Garamond"/>
          <w:sz w:val="22"/>
          <w:szCs w:val="22"/>
        </w:rPr>
        <w:t>4.2</w:t>
      </w:r>
      <w:r w:rsidRPr="007E3411">
        <w:rPr>
          <w:rFonts w:ascii="Garamond" w:hAnsi="Garamond"/>
          <w:sz w:val="22"/>
          <w:szCs w:val="22"/>
        </w:rPr>
        <w:tab/>
      </w:r>
      <w:r w:rsidR="006D0D3E">
        <w:rPr>
          <w:rFonts w:ascii="Garamond" w:hAnsi="Garamond"/>
          <w:sz w:val="22"/>
          <w:szCs w:val="22"/>
          <w:u w:val="single"/>
        </w:rPr>
        <w:t>NNS+ (Non-network Seat Plus)</w:t>
      </w:r>
      <w:r w:rsidRPr="007E3411">
        <w:rPr>
          <w:rFonts w:ascii="Garamond" w:hAnsi="Garamond"/>
          <w:sz w:val="22"/>
          <w:szCs w:val="22"/>
        </w:rPr>
        <w:t xml:space="preserve"> – </w:t>
      </w:r>
      <w:r w:rsidR="006D0D3E">
        <w:rPr>
          <w:rFonts w:ascii="Garamond" w:hAnsi="Garamond"/>
          <w:sz w:val="22"/>
          <w:szCs w:val="22"/>
        </w:rPr>
        <w:t xml:space="preserve">PCs which are </w:t>
      </w:r>
      <w:r w:rsidR="007B47C5">
        <w:rPr>
          <w:rFonts w:ascii="Garamond" w:hAnsi="Garamond"/>
          <w:sz w:val="22"/>
          <w:szCs w:val="22"/>
        </w:rPr>
        <w:t>NOT</w:t>
      </w:r>
      <w:r w:rsidR="006D0D3E">
        <w:rPr>
          <w:rFonts w:ascii="Garamond" w:hAnsi="Garamond"/>
          <w:sz w:val="22"/>
          <w:szCs w:val="22"/>
        </w:rPr>
        <w:t xml:space="preserve"> connected to the State of Indiana network</w:t>
      </w:r>
      <w:r w:rsidR="00290E78">
        <w:rPr>
          <w:rFonts w:ascii="Garamond" w:hAnsi="Garamond"/>
          <w:sz w:val="22"/>
          <w:szCs w:val="22"/>
        </w:rPr>
        <w:t>,</w:t>
      </w:r>
      <w:r w:rsidR="002856C1">
        <w:rPr>
          <w:rFonts w:ascii="Garamond" w:hAnsi="Garamond"/>
          <w:sz w:val="22"/>
          <w:szCs w:val="22"/>
        </w:rPr>
        <w:t xml:space="preserve"> are replaced on a 4-year cycle</w:t>
      </w:r>
      <w:r w:rsidR="00290E78">
        <w:rPr>
          <w:rFonts w:ascii="Garamond" w:hAnsi="Garamond"/>
          <w:sz w:val="22"/>
          <w:szCs w:val="22"/>
        </w:rPr>
        <w:t>,</w:t>
      </w:r>
      <w:r w:rsidR="002856C1">
        <w:rPr>
          <w:rFonts w:ascii="Garamond" w:hAnsi="Garamond"/>
          <w:sz w:val="22"/>
          <w:szCs w:val="22"/>
        </w:rPr>
        <w:t xml:space="preserve"> and are IOT</w:t>
      </w:r>
      <w:r w:rsidR="000D13B0">
        <w:rPr>
          <w:rFonts w:ascii="Garamond" w:hAnsi="Garamond"/>
          <w:sz w:val="22"/>
          <w:szCs w:val="22"/>
        </w:rPr>
        <w:t>-</w:t>
      </w:r>
      <w:r w:rsidR="007B47C5">
        <w:rPr>
          <w:rFonts w:ascii="Garamond" w:hAnsi="Garamond"/>
          <w:sz w:val="22"/>
          <w:szCs w:val="22"/>
        </w:rPr>
        <w:t>owned</w:t>
      </w:r>
      <w:r w:rsidR="002856C1">
        <w:rPr>
          <w:rFonts w:ascii="Garamond" w:hAnsi="Garamond"/>
          <w:sz w:val="22"/>
          <w:szCs w:val="22"/>
        </w:rPr>
        <w:t xml:space="preserve"> Assets.</w:t>
      </w:r>
    </w:p>
    <w:p w:rsidR="007E3411" w:rsidRPr="007E3411" w:rsidRDefault="007E3411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7E3411" w:rsidRDefault="007E3411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4.3</w:t>
      </w:r>
      <w:r>
        <w:rPr>
          <w:rFonts w:ascii="Garamond" w:hAnsi="Garamond"/>
          <w:sz w:val="22"/>
          <w:szCs w:val="22"/>
        </w:rPr>
        <w:tab/>
      </w:r>
      <w:r w:rsidR="002856C1">
        <w:rPr>
          <w:rFonts w:ascii="Garamond" w:hAnsi="Garamond"/>
          <w:sz w:val="22"/>
          <w:szCs w:val="22"/>
          <w:u w:val="single"/>
        </w:rPr>
        <w:t>NNS (Non-network Seat)</w:t>
      </w:r>
      <w:r w:rsidR="002856C1">
        <w:rPr>
          <w:rFonts w:ascii="Garamond" w:hAnsi="Garamond"/>
          <w:sz w:val="22"/>
          <w:szCs w:val="22"/>
        </w:rPr>
        <w:t xml:space="preserve"> – PCs which are </w:t>
      </w:r>
      <w:r w:rsidR="007B47C5">
        <w:rPr>
          <w:rFonts w:ascii="Garamond" w:hAnsi="Garamond"/>
          <w:sz w:val="22"/>
          <w:szCs w:val="22"/>
        </w:rPr>
        <w:t>NOT</w:t>
      </w:r>
      <w:r w:rsidR="002856C1">
        <w:rPr>
          <w:rFonts w:ascii="Garamond" w:hAnsi="Garamond"/>
          <w:sz w:val="22"/>
          <w:szCs w:val="22"/>
        </w:rPr>
        <w:t xml:space="preserve"> connected to the State of Indiana network</w:t>
      </w:r>
      <w:r w:rsidR="00290E78">
        <w:rPr>
          <w:rFonts w:ascii="Garamond" w:hAnsi="Garamond"/>
          <w:sz w:val="22"/>
          <w:szCs w:val="22"/>
        </w:rPr>
        <w:t>,</w:t>
      </w:r>
      <w:r w:rsidR="002856C1">
        <w:rPr>
          <w:rFonts w:ascii="Garamond" w:hAnsi="Garamond"/>
          <w:sz w:val="22"/>
          <w:szCs w:val="22"/>
        </w:rPr>
        <w:t xml:space="preserve"> are not replaced by IOT</w:t>
      </w:r>
      <w:r w:rsidR="00290E78">
        <w:rPr>
          <w:rFonts w:ascii="Garamond" w:hAnsi="Garamond"/>
          <w:sz w:val="22"/>
          <w:szCs w:val="22"/>
        </w:rPr>
        <w:t>,</w:t>
      </w:r>
      <w:r w:rsidR="002856C1">
        <w:rPr>
          <w:rFonts w:ascii="Garamond" w:hAnsi="Garamond"/>
          <w:sz w:val="22"/>
          <w:szCs w:val="22"/>
        </w:rPr>
        <w:t xml:space="preserve"> and are </w:t>
      </w:r>
      <w:r w:rsidR="007B47C5">
        <w:rPr>
          <w:rFonts w:ascii="Garamond" w:hAnsi="Garamond"/>
          <w:sz w:val="22"/>
          <w:szCs w:val="22"/>
        </w:rPr>
        <w:t xml:space="preserve">NOT </w:t>
      </w:r>
      <w:r w:rsidR="002856C1">
        <w:rPr>
          <w:rFonts w:ascii="Garamond" w:hAnsi="Garamond"/>
          <w:sz w:val="22"/>
          <w:szCs w:val="22"/>
        </w:rPr>
        <w:t>IOT</w:t>
      </w:r>
      <w:r w:rsidR="000D13B0">
        <w:rPr>
          <w:rFonts w:ascii="Garamond" w:hAnsi="Garamond"/>
          <w:sz w:val="22"/>
          <w:szCs w:val="22"/>
        </w:rPr>
        <w:t>-</w:t>
      </w:r>
      <w:r w:rsidR="007B47C5">
        <w:rPr>
          <w:rFonts w:ascii="Garamond" w:hAnsi="Garamond"/>
          <w:sz w:val="22"/>
          <w:szCs w:val="22"/>
        </w:rPr>
        <w:t xml:space="preserve">owned </w:t>
      </w:r>
      <w:r w:rsidR="002856C1">
        <w:rPr>
          <w:rFonts w:ascii="Garamond" w:hAnsi="Garamond"/>
          <w:sz w:val="22"/>
          <w:szCs w:val="22"/>
        </w:rPr>
        <w:t>Assets</w:t>
      </w:r>
      <w:r w:rsidR="00037B25">
        <w:rPr>
          <w:rFonts w:ascii="Garamond" w:hAnsi="Garamond"/>
          <w:sz w:val="22"/>
          <w:szCs w:val="22"/>
        </w:rPr>
        <w:t xml:space="preserve"> (remain agency assets)</w:t>
      </w:r>
      <w:r w:rsidR="002856C1">
        <w:rPr>
          <w:rFonts w:ascii="Garamond" w:hAnsi="Garamond"/>
          <w:sz w:val="22"/>
          <w:szCs w:val="22"/>
        </w:rPr>
        <w:t>.</w:t>
      </w:r>
    </w:p>
    <w:p w:rsidR="006A286B" w:rsidRDefault="006A286B" w:rsidP="00BA7649">
      <w:pPr>
        <w:ind w:left="900" w:hanging="180"/>
        <w:jc w:val="both"/>
        <w:rPr>
          <w:rFonts w:ascii="Garamond" w:hAnsi="Garamond"/>
          <w:sz w:val="22"/>
          <w:szCs w:val="22"/>
        </w:rPr>
      </w:pPr>
    </w:p>
    <w:p w:rsidR="00BA7649" w:rsidRDefault="00BA7649" w:rsidP="00BA7649">
      <w:pPr>
        <w:ind w:left="900" w:hanging="1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 more information:</w:t>
      </w:r>
    </w:p>
    <w:p w:rsidR="00BA7649" w:rsidRDefault="00BA7649" w:rsidP="00BA7649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BA7649" w:rsidRDefault="00BA7649" w:rsidP="00BA7649">
      <w:pPr>
        <w:ind w:left="900" w:hanging="1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hyperlink r:id="rId9" w:history="1">
        <w:r w:rsidR="00C127FD">
          <w:rPr>
            <w:rStyle w:val="Hyperlink"/>
            <w:rFonts w:ascii="Garamond" w:hAnsi="Garamond"/>
            <w:sz w:val="22"/>
            <w:szCs w:val="22"/>
          </w:rPr>
          <w:t>http://www.in.gov/iot/files/FY2014_IOT_Services_Descriptions_and_Rates.pdf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:rsidR="00BA7649" w:rsidRDefault="00BA7649" w:rsidP="00BA7649">
      <w:pPr>
        <w:ind w:left="720"/>
        <w:jc w:val="both"/>
        <w:rPr>
          <w:rFonts w:ascii="Garamond" w:hAnsi="Garamond"/>
          <w:sz w:val="22"/>
          <w:szCs w:val="22"/>
        </w:rPr>
      </w:pPr>
    </w:p>
    <w:p w:rsidR="00992FA9" w:rsidRDefault="00992FA9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BA7649" w:rsidRDefault="00BA7649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4.4</w:t>
      </w:r>
      <w:r>
        <w:rPr>
          <w:rFonts w:ascii="Garamond" w:hAnsi="Garamond"/>
          <w:sz w:val="22"/>
          <w:szCs w:val="22"/>
        </w:rPr>
        <w:tab/>
      </w:r>
      <w:r w:rsidRPr="00BA7649">
        <w:rPr>
          <w:rFonts w:ascii="Garamond" w:hAnsi="Garamond"/>
          <w:sz w:val="22"/>
          <w:szCs w:val="22"/>
          <w:u w:val="single"/>
        </w:rPr>
        <w:t>PC Refresh</w:t>
      </w:r>
      <w:r>
        <w:rPr>
          <w:rFonts w:ascii="Garamond" w:hAnsi="Garamond"/>
          <w:sz w:val="22"/>
          <w:szCs w:val="22"/>
        </w:rPr>
        <w:t xml:space="preserve"> – </w:t>
      </w:r>
      <w:r w:rsidR="005F5000">
        <w:rPr>
          <w:rFonts w:ascii="Garamond" w:hAnsi="Garamond"/>
          <w:sz w:val="22"/>
          <w:szCs w:val="22"/>
        </w:rPr>
        <w:t>Approximately e</w:t>
      </w:r>
      <w:r>
        <w:rPr>
          <w:rFonts w:ascii="Garamond" w:hAnsi="Garamond"/>
          <w:sz w:val="22"/>
          <w:szCs w:val="22"/>
        </w:rPr>
        <w:t xml:space="preserve">very 4 years, an agency will be scheduled to receive new PCs </w:t>
      </w:r>
      <w:r w:rsidR="000D13B0">
        <w:rPr>
          <w:rFonts w:ascii="Garamond" w:hAnsi="Garamond"/>
          <w:sz w:val="22"/>
          <w:szCs w:val="22"/>
        </w:rPr>
        <w:t xml:space="preserve">for </w:t>
      </w:r>
      <w:r>
        <w:rPr>
          <w:rFonts w:ascii="Garamond" w:hAnsi="Garamond"/>
          <w:sz w:val="22"/>
          <w:szCs w:val="22"/>
        </w:rPr>
        <w:t>Seat and NNS+ PCs.</w:t>
      </w:r>
    </w:p>
    <w:p w:rsidR="009F11F9" w:rsidRDefault="009F11F9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9F11F9" w:rsidRDefault="009F11F9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4.5</w:t>
      </w:r>
      <w:r>
        <w:rPr>
          <w:rFonts w:ascii="Garamond" w:hAnsi="Garamond"/>
          <w:sz w:val="22"/>
          <w:szCs w:val="22"/>
        </w:rPr>
        <w:tab/>
      </w:r>
      <w:r w:rsidRPr="006F6DAB">
        <w:rPr>
          <w:rFonts w:ascii="Garamond" w:hAnsi="Garamond"/>
          <w:sz w:val="22"/>
          <w:szCs w:val="22"/>
          <w:u w:val="single"/>
        </w:rPr>
        <w:t>PC Refresh Credit</w:t>
      </w:r>
      <w:r>
        <w:rPr>
          <w:rFonts w:ascii="Garamond" w:hAnsi="Garamond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–  The</w:t>
      </w:r>
      <w:proofErr w:type="gramEnd"/>
      <w:r>
        <w:rPr>
          <w:rFonts w:ascii="Garamond" w:hAnsi="Garamond"/>
          <w:sz w:val="22"/>
          <w:szCs w:val="22"/>
        </w:rPr>
        <w:t xml:space="preserve"> cost of a standard desktop PC which is given as a credit when an agency chooses an upgraded model.  </w:t>
      </w:r>
    </w:p>
    <w:p w:rsidR="004A051E" w:rsidRDefault="004A051E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4A051E" w:rsidRDefault="004A051E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</w:t>
      </w:r>
      <w:r w:rsidR="009F11F9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ab/>
      </w:r>
      <w:r w:rsidRPr="006F6DAB">
        <w:rPr>
          <w:rFonts w:ascii="Garamond" w:hAnsi="Garamond"/>
          <w:sz w:val="22"/>
          <w:szCs w:val="22"/>
          <w:u w:val="single"/>
        </w:rPr>
        <w:t>IOT</w:t>
      </w:r>
      <w:r>
        <w:rPr>
          <w:rFonts w:ascii="Garamond" w:hAnsi="Garamond"/>
          <w:sz w:val="22"/>
          <w:szCs w:val="22"/>
        </w:rPr>
        <w:t xml:space="preserve"> – The acronym for the agency Indiana Office of Technology</w:t>
      </w:r>
    </w:p>
    <w:p w:rsidR="00226C4E" w:rsidRDefault="00226C4E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4A051E" w:rsidRDefault="00226C4E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</w:t>
      </w:r>
      <w:r w:rsidR="009F11F9">
        <w:rPr>
          <w:rFonts w:ascii="Garamond" w:hAnsi="Garamond"/>
          <w:sz w:val="22"/>
          <w:szCs w:val="22"/>
        </w:rPr>
        <w:t>7</w:t>
      </w:r>
      <w:r w:rsidR="004A051E">
        <w:rPr>
          <w:rFonts w:ascii="Garamond" w:hAnsi="Garamond"/>
          <w:sz w:val="22"/>
          <w:szCs w:val="22"/>
        </w:rPr>
        <w:tab/>
      </w:r>
      <w:r w:rsidR="004A051E" w:rsidRPr="006F6DAB">
        <w:rPr>
          <w:rFonts w:ascii="Garamond" w:hAnsi="Garamond"/>
          <w:sz w:val="22"/>
          <w:szCs w:val="22"/>
          <w:u w:val="single"/>
        </w:rPr>
        <w:t>Agency</w:t>
      </w:r>
      <w:r w:rsidR="004A051E">
        <w:rPr>
          <w:rFonts w:ascii="Garamond" w:hAnsi="Garamond"/>
          <w:sz w:val="22"/>
          <w:szCs w:val="22"/>
        </w:rPr>
        <w:t xml:space="preserve"> – All agencies in the executive branch of Indiana State Government </w:t>
      </w:r>
      <w:r w:rsidR="006F6DAB">
        <w:rPr>
          <w:rFonts w:ascii="Garamond" w:hAnsi="Garamond"/>
          <w:sz w:val="22"/>
          <w:szCs w:val="22"/>
        </w:rPr>
        <w:t>other than IOT.</w:t>
      </w:r>
    </w:p>
    <w:p w:rsidR="00BA7649" w:rsidRDefault="00BA7649" w:rsidP="007E3411">
      <w:pPr>
        <w:ind w:left="900" w:hanging="540"/>
        <w:jc w:val="both"/>
        <w:rPr>
          <w:rFonts w:ascii="Garamond" w:hAnsi="Garamond"/>
          <w:sz w:val="22"/>
          <w:szCs w:val="22"/>
        </w:rPr>
      </w:pPr>
    </w:p>
    <w:p w:rsidR="00821626" w:rsidRDefault="00821626" w:rsidP="007E3411">
      <w:pPr>
        <w:ind w:left="720"/>
        <w:jc w:val="both"/>
        <w:rPr>
          <w:rFonts w:ascii="Garamond" w:hAnsi="Garamond"/>
          <w:sz w:val="22"/>
          <w:szCs w:val="22"/>
        </w:rPr>
      </w:pPr>
    </w:p>
    <w:p w:rsidR="00F44B90" w:rsidRPr="004A051E" w:rsidRDefault="00F44B90" w:rsidP="0058497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A051E">
        <w:rPr>
          <w:rFonts w:ascii="Garamond" w:hAnsi="Garamond"/>
          <w:sz w:val="22"/>
          <w:szCs w:val="22"/>
        </w:rPr>
        <w:t>Policy</w:t>
      </w:r>
      <w:r w:rsidR="0088626F">
        <w:rPr>
          <w:rFonts w:ascii="Garamond" w:hAnsi="Garamond"/>
          <w:sz w:val="22"/>
          <w:szCs w:val="22"/>
        </w:rPr>
        <w:t xml:space="preserve"> (Seat and NNS+ PCs)</w:t>
      </w:r>
    </w:p>
    <w:p w:rsidR="00BA7649" w:rsidRPr="004A051E" w:rsidRDefault="00BA7649" w:rsidP="00BA7649">
      <w:pPr>
        <w:ind w:left="360"/>
        <w:jc w:val="both"/>
        <w:rPr>
          <w:rFonts w:ascii="Garamond" w:hAnsi="Garamond"/>
          <w:sz w:val="22"/>
          <w:szCs w:val="22"/>
        </w:rPr>
      </w:pPr>
    </w:p>
    <w:p w:rsidR="00BA7649" w:rsidRDefault="004A051E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 w:rsidRPr="004A051E">
        <w:rPr>
          <w:rFonts w:ascii="Garamond" w:hAnsi="Garamond"/>
          <w:sz w:val="22"/>
          <w:szCs w:val="22"/>
        </w:rPr>
        <w:t>5.1</w:t>
      </w:r>
      <w:r w:rsidRPr="004A051E">
        <w:rPr>
          <w:rFonts w:ascii="Garamond" w:hAnsi="Garamond"/>
          <w:sz w:val="22"/>
          <w:szCs w:val="22"/>
        </w:rPr>
        <w:tab/>
      </w:r>
      <w:r w:rsidR="00BA7649" w:rsidRPr="004A051E">
        <w:rPr>
          <w:rFonts w:ascii="Garamond" w:hAnsi="Garamond"/>
          <w:sz w:val="22"/>
          <w:szCs w:val="22"/>
        </w:rPr>
        <w:t xml:space="preserve">A new standard desktop PC (including a keyboard and mouse) will be made available to the agency paying either Seat or NNS+ </w:t>
      </w:r>
      <w:r w:rsidR="003A1BEB" w:rsidRPr="004A051E">
        <w:rPr>
          <w:rFonts w:ascii="Garamond" w:hAnsi="Garamond"/>
          <w:sz w:val="22"/>
          <w:szCs w:val="22"/>
        </w:rPr>
        <w:t>on the anniversary of the agency PC Refresh cycle</w:t>
      </w:r>
      <w:r w:rsidR="00BA7649" w:rsidRPr="004A051E">
        <w:rPr>
          <w:rFonts w:ascii="Garamond" w:hAnsi="Garamond"/>
          <w:sz w:val="22"/>
          <w:szCs w:val="22"/>
        </w:rPr>
        <w:t>.</w:t>
      </w:r>
      <w:r w:rsidR="007D72ED">
        <w:rPr>
          <w:rFonts w:ascii="Garamond" w:hAnsi="Garamond"/>
          <w:sz w:val="22"/>
          <w:szCs w:val="22"/>
        </w:rPr>
        <w:t xml:space="preserve">  </w:t>
      </w:r>
      <w:r w:rsidR="009F11F9">
        <w:rPr>
          <w:rFonts w:ascii="Garamond" w:hAnsi="Garamond"/>
          <w:sz w:val="22"/>
          <w:szCs w:val="22"/>
        </w:rPr>
        <w:t xml:space="preserve">IOT only provides one PC Refresh Credit every 4 years for each Seat or NNS+ charge.  </w:t>
      </w:r>
      <w:r w:rsidR="007D72ED">
        <w:rPr>
          <w:rFonts w:ascii="Garamond" w:hAnsi="Garamond"/>
          <w:sz w:val="22"/>
          <w:szCs w:val="22"/>
        </w:rPr>
        <w:t>Any upgraded PC (laptops and accessories) is the financial responsibility of the agency.</w:t>
      </w:r>
    </w:p>
    <w:p w:rsidR="004A051E" w:rsidRPr="004A051E" w:rsidRDefault="004A051E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AD3678" w:rsidRDefault="004A051E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5.2</w:t>
      </w:r>
      <w:r>
        <w:rPr>
          <w:rFonts w:ascii="Garamond" w:hAnsi="Garamond"/>
          <w:sz w:val="22"/>
          <w:szCs w:val="22"/>
        </w:rPr>
        <w:tab/>
      </w:r>
      <w:r w:rsidR="00AD3678" w:rsidRPr="004A051E">
        <w:rPr>
          <w:rFonts w:ascii="Garamond" w:hAnsi="Garamond"/>
          <w:sz w:val="22"/>
          <w:szCs w:val="22"/>
        </w:rPr>
        <w:t xml:space="preserve">Monitors are not included in PC Refresh but will be replaced </w:t>
      </w:r>
      <w:r w:rsidR="00290E78">
        <w:rPr>
          <w:rFonts w:ascii="Garamond" w:hAnsi="Garamond"/>
          <w:sz w:val="22"/>
          <w:szCs w:val="22"/>
        </w:rPr>
        <w:t>with a 1</w:t>
      </w:r>
      <w:r w:rsidR="00CB6ADE">
        <w:rPr>
          <w:rFonts w:ascii="Garamond" w:hAnsi="Garamond"/>
          <w:sz w:val="22"/>
          <w:szCs w:val="22"/>
        </w:rPr>
        <w:t>7</w:t>
      </w:r>
      <w:r w:rsidR="00290E78">
        <w:rPr>
          <w:rFonts w:ascii="Garamond" w:hAnsi="Garamond"/>
          <w:sz w:val="22"/>
          <w:szCs w:val="22"/>
        </w:rPr>
        <w:t xml:space="preserve">” monitor </w:t>
      </w:r>
      <w:r w:rsidR="00AD3678" w:rsidRPr="004A051E">
        <w:rPr>
          <w:rFonts w:ascii="Garamond" w:hAnsi="Garamond"/>
          <w:sz w:val="22"/>
          <w:szCs w:val="22"/>
        </w:rPr>
        <w:t>if the</w:t>
      </w:r>
      <w:r w:rsidR="00290E78">
        <w:rPr>
          <w:rFonts w:ascii="Garamond" w:hAnsi="Garamond"/>
          <w:sz w:val="22"/>
          <w:szCs w:val="22"/>
        </w:rPr>
        <w:t>re is a failure</w:t>
      </w:r>
      <w:r w:rsidR="00AD3678" w:rsidRPr="004A051E">
        <w:rPr>
          <w:rFonts w:ascii="Garamond" w:hAnsi="Garamond"/>
          <w:sz w:val="22"/>
          <w:szCs w:val="22"/>
        </w:rPr>
        <w:t>.</w:t>
      </w:r>
      <w:r w:rsidR="003A3488" w:rsidRPr="004A051E">
        <w:rPr>
          <w:rFonts w:ascii="Garamond" w:hAnsi="Garamond"/>
          <w:sz w:val="22"/>
          <w:szCs w:val="22"/>
        </w:rPr>
        <w:t xml:space="preserve">  </w:t>
      </w:r>
      <w:r w:rsidR="003A1BEB" w:rsidRPr="004A051E">
        <w:rPr>
          <w:rFonts w:ascii="Garamond" w:hAnsi="Garamond"/>
          <w:sz w:val="22"/>
          <w:szCs w:val="22"/>
        </w:rPr>
        <w:t>IOT only repla</w:t>
      </w:r>
      <w:r w:rsidRPr="004A051E">
        <w:rPr>
          <w:rFonts w:ascii="Garamond" w:hAnsi="Garamond"/>
          <w:sz w:val="22"/>
          <w:szCs w:val="22"/>
        </w:rPr>
        <w:t>ces failed monitors if there is a single monitor.  Providing multiple monitors is the agency’s responsibility.</w:t>
      </w:r>
    </w:p>
    <w:p w:rsidR="004A051E" w:rsidRDefault="004A051E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88626F" w:rsidRDefault="004A051E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5.3</w:t>
      </w:r>
      <w:r>
        <w:rPr>
          <w:rFonts w:ascii="Garamond" w:hAnsi="Garamond"/>
          <w:sz w:val="22"/>
          <w:szCs w:val="22"/>
        </w:rPr>
        <w:tab/>
      </w:r>
      <w:r w:rsidR="003A1BEB" w:rsidRPr="004A051E">
        <w:rPr>
          <w:rFonts w:ascii="Garamond" w:hAnsi="Garamond"/>
          <w:sz w:val="22"/>
          <w:szCs w:val="22"/>
        </w:rPr>
        <w:t xml:space="preserve">Although Seat and NNS+ PCs are IOT-owned assets, the agency is the custodian of the IOT-owned assets and is responsible for notifying IOT when an asset is moved </w:t>
      </w:r>
      <w:r>
        <w:rPr>
          <w:rFonts w:ascii="Garamond" w:hAnsi="Garamond"/>
          <w:sz w:val="22"/>
          <w:szCs w:val="22"/>
        </w:rPr>
        <w:t xml:space="preserve">or in the possession of a different user than when originally deployed.  </w:t>
      </w:r>
    </w:p>
    <w:p w:rsidR="0088626F" w:rsidRDefault="0088626F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3A1BEB" w:rsidRDefault="0088626F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5.4</w:t>
      </w:r>
      <w:r>
        <w:rPr>
          <w:rFonts w:ascii="Garamond" w:hAnsi="Garamond"/>
          <w:sz w:val="22"/>
          <w:szCs w:val="22"/>
        </w:rPr>
        <w:tab/>
        <w:t xml:space="preserve">The agency is responsible </w:t>
      </w:r>
      <w:r w:rsidR="003A1BEB" w:rsidRPr="004A051E">
        <w:rPr>
          <w:rFonts w:ascii="Garamond" w:hAnsi="Garamond"/>
          <w:sz w:val="22"/>
          <w:szCs w:val="22"/>
        </w:rPr>
        <w:t xml:space="preserve">for opening a ticket to have </w:t>
      </w:r>
      <w:r w:rsidR="000D13B0">
        <w:rPr>
          <w:rFonts w:ascii="Garamond" w:hAnsi="Garamond"/>
          <w:sz w:val="22"/>
          <w:szCs w:val="22"/>
        </w:rPr>
        <w:t xml:space="preserve">IOT-owned </w:t>
      </w:r>
      <w:r>
        <w:rPr>
          <w:rFonts w:ascii="Garamond" w:hAnsi="Garamond"/>
          <w:sz w:val="22"/>
          <w:szCs w:val="22"/>
        </w:rPr>
        <w:t xml:space="preserve">PC </w:t>
      </w:r>
      <w:r w:rsidR="003A1BEB" w:rsidRPr="004A051E">
        <w:rPr>
          <w:rFonts w:ascii="Garamond" w:hAnsi="Garamond"/>
          <w:sz w:val="22"/>
          <w:szCs w:val="22"/>
        </w:rPr>
        <w:t xml:space="preserve">asset no longer needed returned to IOT. </w:t>
      </w:r>
      <w:r w:rsidR="004A051E" w:rsidRPr="004A051E">
        <w:rPr>
          <w:rFonts w:ascii="Garamond" w:hAnsi="Garamond"/>
          <w:sz w:val="22"/>
          <w:szCs w:val="22"/>
        </w:rPr>
        <w:t xml:space="preserve"> </w:t>
      </w:r>
      <w:r w:rsidR="004138BD">
        <w:rPr>
          <w:rFonts w:ascii="Garamond" w:hAnsi="Garamond"/>
          <w:sz w:val="22"/>
          <w:szCs w:val="22"/>
        </w:rPr>
        <w:t>When the PC is returned to IOT</w:t>
      </w:r>
      <w:r w:rsidR="004A051E" w:rsidRPr="004A051E">
        <w:rPr>
          <w:rFonts w:ascii="Garamond" w:hAnsi="Garamond"/>
          <w:sz w:val="22"/>
          <w:szCs w:val="22"/>
        </w:rPr>
        <w:t xml:space="preserve">, the </w:t>
      </w:r>
      <w:r w:rsidR="007D72ED">
        <w:rPr>
          <w:rFonts w:ascii="Garamond" w:hAnsi="Garamond"/>
          <w:sz w:val="22"/>
          <w:szCs w:val="22"/>
        </w:rPr>
        <w:t xml:space="preserve">monthly </w:t>
      </w:r>
      <w:r w:rsidR="004A051E" w:rsidRPr="004A051E">
        <w:rPr>
          <w:rFonts w:ascii="Garamond" w:hAnsi="Garamond"/>
          <w:sz w:val="22"/>
          <w:szCs w:val="22"/>
        </w:rPr>
        <w:t xml:space="preserve">charge will be removed from the agency’s bill.  </w:t>
      </w:r>
      <w:r w:rsidR="003A1BEB" w:rsidRPr="004A051E">
        <w:rPr>
          <w:rFonts w:ascii="Garamond" w:hAnsi="Garamond"/>
          <w:sz w:val="22"/>
          <w:szCs w:val="22"/>
        </w:rPr>
        <w:t xml:space="preserve"> The agency assumes fiscal responsibility for damage or loss of all IOT-owned assets under their control including power adapters, keyboards, mice</w:t>
      </w:r>
      <w:r w:rsidR="004138BD">
        <w:rPr>
          <w:rFonts w:ascii="Garamond" w:hAnsi="Garamond"/>
          <w:sz w:val="22"/>
          <w:szCs w:val="22"/>
        </w:rPr>
        <w:t>, and accessories</w:t>
      </w:r>
      <w:r w:rsidR="003A1BEB" w:rsidRPr="004A051E">
        <w:rPr>
          <w:rFonts w:ascii="Garamond" w:hAnsi="Garamond"/>
          <w:sz w:val="22"/>
          <w:szCs w:val="22"/>
        </w:rPr>
        <w:t>.</w:t>
      </w:r>
    </w:p>
    <w:p w:rsidR="0088626F" w:rsidRDefault="0088626F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88626F" w:rsidRDefault="0088626F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5.5</w:t>
      </w:r>
      <w:r>
        <w:rPr>
          <w:rFonts w:ascii="Garamond" w:hAnsi="Garamond"/>
          <w:sz w:val="22"/>
          <w:szCs w:val="22"/>
        </w:rPr>
        <w:tab/>
        <w:t xml:space="preserve">IOT-owned Desktop Chassis style PCs must be </w:t>
      </w:r>
      <w:r w:rsidRPr="0088626F">
        <w:rPr>
          <w:rFonts w:ascii="Garamond" w:hAnsi="Garamond"/>
          <w:sz w:val="22"/>
          <w:szCs w:val="22"/>
        </w:rPr>
        <w:t>placed</w:t>
      </w:r>
      <w:r>
        <w:rPr>
          <w:rFonts w:ascii="Garamond" w:hAnsi="Garamond"/>
          <w:sz w:val="22"/>
          <w:szCs w:val="22"/>
        </w:rPr>
        <w:t xml:space="preserve"> flat on the desk</w:t>
      </w:r>
      <w:r w:rsidR="00D20496">
        <w:rPr>
          <w:rFonts w:ascii="Garamond" w:hAnsi="Garamond"/>
          <w:sz w:val="22"/>
          <w:szCs w:val="22"/>
        </w:rPr>
        <w:t>...</w:t>
      </w:r>
      <w:r>
        <w:rPr>
          <w:rFonts w:ascii="Garamond" w:hAnsi="Garamond"/>
          <w:sz w:val="22"/>
          <w:szCs w:val="22"/>
        </w:rPr>
        <w:t xml:space="preserve">  If a Desktop</w:t>
      </w:r>
      <w:r w:rsidR="003A51AA">
        <w:rPr>
          <w:rFonts w:ascii="Garamond" w:hAnsi="Garamond"/>
          <w:sz w:val="22"/>
          <w:szCs w:val="22"/>
        </w:rPr>
        <w:t xml:space="preserve"> PC</w:t>
      </w:r>
      <w:r>
        <w:rPr>
          <w:rFonts w:ascii="Garamond" w:hAnsi="Garamond"/>
          <w:sz w:val="22"/>
          <w:szCs w:val="22"/>
        </w:rPr>
        <w:t xml:space="preserve"> tips over resulting in damage to the PC, the agency must pay for the repair since this </w:t>
      </w:r>
      <w:r w:rsidR="000D13B0">
        <w:rPr>
          <w:rFonts w:ascii="Garamond" w:hAnsi="Garamond"/>
          <w:sz w:val="22"/>
          <w:szCs w:val="22"/>
        </w:rPr>
        <w:t xml:space="preserve">type of damage is </w:t>
      </w:r>
      <w:r>
        <w:rPr>
          <w:rFonts w:ascii="Garamond" w:hAnsi="Garamond"/>
          <w:sz w:val="22"/>
          <w:szCs w:val="22"/>
        </w:rPr>
        <w:t>not covered under warranty.  If a PC must be place</w:t>
      </w:r>
      <w:r w:rsidR="000D13B0">
        <w:rPr>
          <w:rFonts w:ascii="Garamond" w:hAnsi="Garamond"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 on the floor, </w:t>
      </w:r>
      <w:r w:rsidR="000D13B0">
        <w:rPr>
          <w:rFonts w:ascii="Garamond" w:hAnsi="Garamond"/>
          <w:sz w:val="22"/>
          <w:szCs w:val="22"/>
        </w:rPr>
        <w:t>a CPU stand may be purchased from IOT.</w:t>
      </w:r>
    </w:p>
    <w:p w:rsidR="000D13B0" w:rsidRDefault="000D13B0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0D13B0" w:rsidRDefault="000D13B0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5.6</w:t>
      </w:r>
      <w:r>
        <w:rPr>
          <w:rFonts w:ascii="Garamond" w:hAnsi="Garamond"/>
          <w:sz w:val="22"/>
          <w:szCs w:val="22"/>
        </w:rPr>
        <w:tab/>
        <w:t>If any agency requires a PC for a new position resulting in a new Seat or NNS+</w:t>
      </w:r>
      <w:r w:rsidR="00C47EA5">
        <w:rPr>
          <w:rFonts w:ascii="Garamond" w:hAnsi="Garamond"/>
          <w:sz w:val="22"/>
          <w:szCs w:val="22"/>
        </w:rPr>
        <w:t xml:space="preserve"> charge</w:t>
      </w:r>
      <w:r w:rsidR="007D72ED">
        <w:rPr>
          <w:rFonts w:ascii="Garamond" w:hAnsi="Garamond"/>
          <w:sz w:val="22"/>
          <w:szCs w:val="22"/>
        </w:rPr>
        <w:t>, the PC provided will be of the same approximate age (warranty expiration date) as the rest of the agency</w:t>
      </w:r>
      <w:r w:rsidR="003F0BB7">
        <w:rPr>
          <w:rFonts w:ascii="Garamond" w:hAnsi="Garamond"/>
          <w:sz w:val="22"/>
          <w:szCs w:val="22"/>
        </w:rPr>
        <w:t xml:space="preserve"> if available</w:t>
      </w:r>
      <w:r w:rsidR="007D72ED">
        <w:rPr>
          <w:rFonts w:ascii="Garamond" w:hAnsi="Garamond"/>
          <w:sz w:val="22"/>
          <w:szCs w:val="22"/>
        </w:rPr>
        <w:t>.</w:t>
      </w:r>
    </w:p>
    <w:p w:rsidR="003D5B9C" w:rsidRDefault="003D5B9C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3D5B9C" w:rsidRDefault="003D5B9C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5.7 The State of Indiana policy is to issue only 1 PC per employee.  If the employee needs to be mobile, they should be issued a laptop.  </w:t>
      </w:r>
    </w:p>
    <w:p w:rsidR="003A51AA" w:rsidRDefault="003A51AA" w:rsidP="004A051E">
      <w:pPr>
        <w:ind w:left="720" w:hanging="360"/>
        <w:jc w:val="both"/>
        <w:rPr>
          <w:rFonts w:ascii="Garamond" w:hAnsi="Garamond"/>
          <w:sz w:val="22"/>
          <w:szCs w:val="22"/>
        </w:rPr>
      </w:pPr>
    </w:p>
    <w:p w:rsidR="00F44B90" w:rsidRDefault="00F44B90" w:rsidP="00584971">
      <w:pPr>
        <w:jc w:val="both"/>
        <w:rPr>
          <w:rFonts w:ascii="Garamond" w:hAnsi="Garamond"/>
          <w:sz w:val="22"/>
          <w:szCs w:val="22"/>
        </w:rPr>
      </w:pPr>
    </w:p>
    <w:p w:rsidR="00C47EA5" w:rsidRDefault="00C47EA5" w:rsidP="00C47EA5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Policy (NNS)</w:t>
      </w:r>
    </w:p>
    <w:p w:rsidR="00584971" w:rsidRPr="00C127FD" w:rsidRDefault="00C47EA5" w:rsidP="00C127FD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3A51AA">
        <w:rPr>
          <w:rFonts w:ascii="Garamond" w:hAnsi="Garamond"/>
        </w:rPr>
        <w:tab/>
        <w:t xml:space="preserve">If an NNS PC has a failure which is not covered under warranty, the agency is fiscally responsible </w:t>
      </w:r>
      <w:r w:rsidR="00C127FD">
        <w:rPr>
          <w:rFonts w:ascii="Garamond" w:hAnsi="Garamond"/>
        </w:rPr>
        <w:t>for any repairs or replacements.</w:t>
      </w:r>
    </w:p>
    <w:sectPr w:rsidR="00584971" w:rsidRPr="00C127FD" w:rsidSect="00047188">
      <w:footerReference w:type="default" r:id="rId10"/>
      <w:pgSz w:w="12240" w:h="15840"/>
      <w:pgMar w:top="16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A1" w:rsidRDefault="00EC2BA1" w:rsidP="00047188">
      <w:r>
        <w:separator/>
      </w:r>
    </w:p>
  </w:endnote>
  <w:endnote w:type="continuationSeparator" w:id="0">
    <w:p w:rsidR="00EC2BA1" w:rsidRDefault="00EC2BA1" w:rsidP="0004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759165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3A51AA" w:rsidRPr="00047188" w:rsidRDefault="003A51AA">
            <w:pPr>
              <w:pStyle w:val="Footer"/>
              <w:jc w:val="center"/>
              <w:rPr>
                <w:sz w:val="20"/>
                <w:szCs w:val="20"/>
              </w:rPr>
            </w:pPr>
            <w:r w:rsidRPr="00047188">
              <w:rPr>
                <w:sz w:val="20"/>
                <w:szCs w:val="20"/>
              </w:rPr>
              <w:t xml:space="preserve">Page </w:t>
            </w:r>
            <w:r w:rsidR="00345D39" w:rsidRPr="00047188">
              <w:rPr>
                <w:sz w:val="20"/>
                <w:szCs w:val="20"/>
              </w:rPr>
              <w:fldChar w:fldCharType="begin"/>
            </w:r>
            <w:r w:rsidRPr="00047188">
              <w:rPr>
                <w:sz w:val="20"/>
                <w:szCs w:val="20"/>
              </w:rPr>
              <w:instrText xml:space="preserve"> PAGE </w:instrText>
            </w:r>
            <w:r w:rsidR="00345D39" w:rsidRPr="00047188">
              <w:rPr>
                <w:sz w:val="20"/>
                <w:szCs w:val="20"/>
              </w:rPr>
              <w:fldChar w:fldCharType="separate"/>
            </w:r>
            <w:r w:rsidR="00C127FD">
              <w:rPr>
                <w:noProof/>
                <w:sz w:val="20"/>
                <w:szCs w:val="20"/>
              </w:rPr>
              <w:t>3</w:t>
            </w:r>
            <w:r w:rsidR="00345D39" w:rsidRPr="00047188">
              <w:rPr>
                <w:sz w:val="20"/>
                <w:szCs w:val="20"/>
              </w:rPr>
              <w:fldChar w:fldCharType="end"/>
            </w:r>
            <w:r w:rsidRPr="00047188">
              <w:rPr>
                <w:sz w:val="20"/>
                <w:szCs w:val="20"/>
              </w:rPr>
              <w:t xml:space="preserve"> of </w:t>
            </w:r>
            <w:r w:rsidR="00345D39" w:rsidRPr="00047188">
              <w:rPr>
                <w:sz w:val="20"/>
                <w:szCs w:val="20"/>
              </w:rPr>
              <w:fldChar w:fldCharType="begin"/>
            </w:r>
            <w:r w:rsidRPr="00047188">
              <w:rPr>
                <w:sz w:val="20"/>
                <w:szCs w:val="20"/>
              </w:rPr>
              <w:instrText xml:space="preserve"> NUMPAGES  </w:instrText>
            </w:r>
            <w:r w:rsidR="00345D39" w:rsidRPr="00047188">
              <w:rPr>
                <w:sz w:val="20"/>
                <w:szCs w:val="20"/>
              </w:rPr>
              <w:fldChar w:fldCharType="separate"/>
            </w:r>
            <w:r w:rsidR="00C127FD">
              <w:rPr>
                <w:noProof/>
                <w:sz w:val="20"/>
                <w:szCs w:val="20"/>
              </w:rPr>
              <w:t>3</w:t>
            </w:r>
            <w:r w:rsidR="00345D39" w:rsidRPr="0004718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A1" w:rsidRDefault="00EC2BA1" w:rsidP="00047188">
      <w:r>
        <w:separator/>
      </w:r>
    </w:p>
  </w:footnote>
  <w:footnote w:type="continuationSeparator" w:id="0">
    <w:p w:rsidR="00EC2BA1" w:rsidRDefault="00EC2BA1" w:rsidP="00047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857"/>
    <w:multiLevelType w:val="multilevel"/>
    <w:tmpl w:val="34843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BF43A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C3E6087"/>
    <w:multiLevelType w:val="hybridMultilevel"/>
    <w:tmpl w:val="B248E3B8"/>
    <w:lvl w:ilvl="0" w:tplc="64C2BCB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B19668F"/>
    <w:multiLevelType w:val="multilevel"/>
    <w:tmpl w:val="9B5CC0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7351640"/>
    <w:multiLevelType w:val="multilevel"/>
    <w:tmpl w:val="D700CC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D3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AB8315C"/>
    <w:multiLevelType w:val="hybridMultilevel"/>
    <w:tmpl w:val="815AF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D6A"/>
    <w:rsid w:val="00026E4E"/>
    <w:rsid w:val="00037B25"/>
    <w:rsid w:val="00047188"/>
    <w:rsid w:val="000757D4"/>
    <w:rsid w:val="000766D8"/>
    <w:rsid w:val="000B3DFF"/>
    <w:rsid w:val="000B43D4"/>
    <w:rsid w:val="000C16B2"/>
    <w:rsid w:val="000D0EAF"/>
    <w:rsid w:val="000D13B0"/>
    <w:rsid w:val="000E4AD3"/>
    <w:rsid w:val="001002DB"/>
    <w:rsid w:val="00123DAF"/>
    <w:rsid w:val="00123DF9"/>
    <w:rsid w:val="00133DAF"/>
    <w:rsid w:val="001B40B4"/>
    <w:rsid w:val="001D3307"/>
    <w:rsid w:val="001F77C5"/>
    <w:rsid w:val="00226C4E"/>
    <w:rsid w:val="00240D19"/>
    <w:rsid w:val="0027072F"/>
    <w:rsid w:val="00282538"/>
    <w:rsid w:val="002856C1"/>
    <w:rsid w:val="00290E78"/>
    <w:rsid w:val="00303584"/>
    <w:rsid w:val="00303C39"/>
    <w:rsid w:val="00345D39"/>
    <w:rsid w:val="00351091"/>
    <w:rsid w:val="00367F77"/>
    <w:rsid w:val="0039083A"/>
    <w:rsid w:val="003A1BEB"/>
    <w:rsid w:val="003A3488"/>
    <w:rsid w:val="003A41A2"/>
    <w:rsid w:val="003A51AA"/>
    <w:rsid w:val="003C2B4E"/>
    <w:rsid w:val="003D5B9C"/>
    <w:rsid w:val="003E5F8D"/>
    <w:rsid w:val="003F0BB7"/>
    <w:rsid w:val="00412E25"/>
    <w:rsid w:val="004138BD"/>
    <w:rsid w:val="0048546A"/>
    <w:rsid w:val="004A051E"/>
    <w:rsid w:val="004D1507"/>
    <w:rsid w:val="004D22A0"/>
    <w:rsid w:val="004E2238"/>
    <w:rsid w:val="00532823"/>
    <w:rsid w:val="0055688D"/>
    <w:rsid w:val="00561F5A"/>
    <w:rsid w:val="00565AD0"/>
    <w:rsid w:val="0058056D"/>
    <w:rsid w:val="00584971"/>
    <w:rsid w:val="005C118D"/>
    <w:rsid w:val="005C5894"/>
    <w:rsid w:val="005E55F5"/>
    <w:rsid w:val="005F5000"/>
    <w:rsid w:val="00606EA9"/>
    <w:rsid w:val="00616142"/>
    <w:rsid w:val="00620F6E"/>
    <w:rsid w:val="00621006"/>
    <w:rsid w:val="00622586"/>
    <w:rsid w:val="006346CD"/>
    <w:rsid w:val="0063522B"/>
    <w:rsid w:val="00642DBE"/>
    <w:rsid w:val="006777C5"/>
    <w:rsid w:val="006A286B"/>
    <w:rsid w:val="006B671F"/>
    <w:rsid w:val="006C1965"/>
    <w:rsid w:val="006C5887"/>
    <w:rsid w:val="006D0D3E"/>
    <w:rsid w:val="006F6DAB"/>
    <w:rsid w:val="00723A30"/>
    <w:rsid w:val="00747E3D"/>
    <w:rsid w:val="0077060C"/>
    <w:rsid w:val="00776268"/>
    <w:rsid w:val="00786386"/>
    <w:rsid w:val="007B47C5"/>
    <w:rsid w:val="007B4A6E"/>
    <w:rsid w:val="007D72ED"/>
    <w:rsid w:val="007E3411"/>
    <w:rsid w:val="007E5455"/>
    <w:rsid w:val="007F26EF"/>
    <w:rsid w:val="007F3803"/>
    <w:rsid w:val="00810577"/>
    <w:rsid w:val="00814B78"/>
    <w:rsid w:val="00821626"/>
    <w:rsid w:val="00840411"/>
    <w:rsid w:val="00850C92"/>
    <w:rsid w:val="008648D9"/>
    <w:rsid w:val="0088626F"/>
    <w:rsid w:val="00890FED"/>
    <w:rsid w:val="008A1818"/>
    <w:rsid w:val="008C3164"/>
    <w:rsid w:val="008D094A"/>
    <w:rsid w:val="008D0D7F"/>
    <w:rsid w:val="008F5F40"/>
    <w:rsid w:val="00941DA4"/>
    <w:rsid w:val="00960E36"/>
    <w:rsid w:val="00992FA9"/>
    <w:rsid w:val="00996B6D"/>
    <w:rsid w:val="009F11F9"/>
    <w:rsid w:val="00A10598"/>
    <w:rsid w:val="00A143D3"/>
    <w:rsid w:val="00A1726F"/>
    <w:rsid w:val="00A53683"/>
    <w:rsid w:val="00A83DE9"/>
    <w:rsid w:val="00AA78E6"/>
    <w:rsid w:val="00AD3678"/>
    <w:rsid w:val="00B52E23"/>
    <w:rsid w:val="00B576BD"/>
    <w:rsid w:val="00BA7649"/>
    <w:rsid w:val="00BC59AF"/>
    <w:rsid w:val="00C01252"/>
    <w:rsid w:val="00C127FD"/>
    <w:rsid w:val="00C3419E"/>
    <w:rsid w:val="00C34967"/>
    <w:rsid w:val="00C4239E"/>
    <w:rsid w:val="00C47EA5"/>
    <w:rsid w:val="00CB4A53"/>
    <w:rsid w:val="00CB6ADE"/>
    <w:rsid w:val="00D0702A"/>
    <w:rsid w:val="00D20496"/>
    <w:rsid w:val="00D66EC1"/>
    <w:rsid w:val="00DC01C9"/>
    <w:rsid w:val="00E05D6A"/>
    <w:rsid w:val="00E11BA5"/>
    <w:rsid w:val="00E21A00"/>
    <w:rsid w:val="00E525BC"/>
    <w:rsid w:val="00EC2BA1"/>
    <w:rsid w:val="00EF6921"/>
    <w:rsid w:val="00F25B38"/>
    <w:rsid w:val="00F3544E"/>
    <w:rsid w:val="00F44B90"/>
    <w:rsid w:val="00F5035C"/>
    <w:rsid w:val="00F56CAF"/>
    <w:rsid w:val="00F745CC"/>
    <w:rsid w:val="00FB6461"/>
    <w:rsid w:val="00FB67BB"/>
    <w:rsid w:val="00FF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D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65A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D22A0"/>
    <w:rPr>
      <w:sz w:val="16"/>
      <w:szCs w:val="16"/>
    </w:rPr>
  </w:style>
  <w:style w:type="paragraph" w:styleId="CommentText">
    <w:name w:val="annotation text"/>
    <w:basedOn w:val="Normal"/>
    <w:semiHidden/>
    <w:rsid w:val="004D22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22A0"/>
    <w:rPr>
      <w:b/>
      <w:bCs/>
    </w:rPr>
  </w:style>
  <w:style w:type="paragraph" w:styleId="ListParagraph">
    <w:name w:val="List Paragraph"/>
    <w:basedOn w:val="Normal"/>
    <w:uiPriority w:val="34"/>
    <w:qFormat/>
    <w:rsid w:val="00622586"/>
    <w:pPr>
      <w:spacing w:after="200" w:line="276" w:lineRule="auto"/>
      <w:ind w:left="720"/>
      <w:contextualSpacing/>
    </w:pPr>
    <w:rPr>
      <w:sz w:val="22"/>
      <w:szCs w:val="22"/>
      <w:lang w:bidi="en-US"/>
    </w:rPr>
  </w:style>
  <w:style w:type="paragraph" w:styleId="Header">
    <w:name w:val="header"/>
    <w:basedOn w:val="Normal"/>
    <w:link w:val="HeaderChar"/>
    <w:rsid w:val="00047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18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7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188"/>
    <w:rPr>
      <w:sz w:val="24"/>
      <w:szCs w:val="24"/>
    </w:rPr>
  </w:style>
  <w:style w:type="character" w:styleId="Hyperlink">
    <w:name w:val="Hyperlink"/>
    <w:basedOn w:val="DefaultParagraphFont"/>
    <w:rsid w:val="000D0E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503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.gov/iot/files/FY2014_IOT_Services_Descriptions_and_R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IOT</dc:creator>
  <cp:lastModifiedBy>msteele</cp:lastModifiedBy>
  <cp:revision>3</cp:revision>
  <cp:lastPrinted>2014-01-13T15:33:00Z</cp:lastPrinted>
  <dcterms:created xsi:type="dcterms:W3CDTF">2014-03-24T13:01:00Z</dcterms:created>
  <dcterms:modified xsi:type="dcterms:W3CDTF">2014-03-24T13:07:00Z</dcterms:modified>
</cp:coreProperties>
</file>