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D89CC" w14:textId="4623202A" w:rsidR="00534FE2" w:rsidRDefault="00534FE2" w:rsidP="00534FE2">
      <w:pPr>
        <w:rPr>
          <w:b/>
        </w:rPr>
      </w:pPr>
      <w:r w:rsidRPr="00534FE2">
        <w:rPr>
          <w:b/>
        </w:rPr>
        <w:t>Environmental Review for Community Crossings</w:t>
      </w:r>
      <w:r>
        <w:rPr>
          <w:b/>
        </w:rPr>
        <w:t xml:space="preserve"> (</w:t>
      </w:r>
      <w:r w:rsidR="00176EA8">
        <w:rPr>
          <w:b/>
        </w:rPr>
        <w:t>May 2025</w:t>
      </w:r>
      <w:r>
        <w:rPr>
          <w:b/>
        </w:rPr>
        <w:t>)</w:t>
      </w:r>
    </w:p>
    <w:p w14:paraId="569C384A" w14:textId="77777777" w:rsidR="00534FE2" w:rsidRPr="00534FE2" w:rsidRDefault="00534FE2" w:rsidP="00534FE2">
      <w:pPr>
        <w:rPr>
          <w:b/>
        </w:rPr>
      </w:pPr>
      <w:r>
        <w:t xml:space="preserve">Community Crossings projects funded with only state and local money are not federal actions and therefore NEPA does not apply.  The recipient unit of government is the project proponent and is responsible for documenting how the project meets the requirements of the State Environmental Policy Act (SEPA).  Many projects will be exempted under the rule. </w:t>
      </w:r>
    </w:p>
    <w:p w14:paraId="6FFCCD01" w14:textId="77777777" w:rsidR="00176EA8" w:rsidRDefault="00534FE2" w:rsidP="0091753A">
      <w:pPr>
        <w:numPr>
          <w:ilvl w:val="0"/>
          <w:numId w:val="1"/>
        </w:numPr>
        <w:tabs>
          <w:tab w:val="clear" w:pos="720"/>
        </w:tabs>
        <w:spacing w:before="100" w:beforeAutospacing="1" w:after="100" w:afterAutospacing="1" w:line="240" w:lineRule="auto"/>
        <w:ind w:left="540"/>
        <w:rPr>
          <w:rFonts w:eastAsia="Times New Roman"/>
        </w:rPr>
      </w:pPr>
      <w:r w:rsidRPr="00176EA8">
        <w:rPr>
          <w:rFonts w:eastAsia="Times New Roman"/>
        </w:rPr>
        <w:t xml:space="preserve">Check </w:t>
      </w:r>
      <w:hyperlink r:id="rId8" w:anchor="327-11-1-3" w:history="1">
        <w:r w:rsidRPr="00176EA8">
          <w:rPr>
            <w:rStyle w:val="Hyperlink"/>
            <w:rFonts w:eastAsia="Times New Roman"/>
          </w:rPr>
          <w:t>327 IAC 11-1-3</w:t>
        </w:r>
      </w:hyperlink>
      <w:r w:rsidRPr="00176EA8">
        <w:rPr>
          <w:rFonts w:eastAsia="Times New Roman"/>
        </w:rPr>
        <w:t xml:space="preserve"> for exclusions and the </w:t>
      </w:r>
      <w:r w:rsidR="00176EA8" w:rsidRPr="00176EA8">
        <w:rPr>
          <w:rFonts w:eastAsia="Times New Roman"/>
        </w:rPr>
        <w:t xml:space="preserve">current </w:t>
      </w:r>
      <w:hyperlink r:id="rId9" w:history="1">
        <w:r w:rsidRPr="00176EA8">
          <w:rPr>
            <w:rStyle w:val="Hyperlink"/>
            <w:rFonts w:eastAsia="Times New Roman"/>
          </w:rPr>
          <w:t>INDOT CE Manual</w:t>
        </w:r>
      </w:hyperlink>
      <w:r w:rsidRPr="00176EA8">
        <w:rPr>
          <w:rFonts w:eastAsia="Times New Roman"/>
        </w:rPr>
        <w:t xml:space="preserve"> for exemptions.  If the project meets either of these requirements, document this in a memorandum to the project file.  This documentation may be required later in project development.</w:t>
      </w:r>
    </w:p>
    <w:p w14:paraId="21DBEBF4" w14:textId="62240528" w:rsidR="00534FE2" w:rsidRPr="00176EA8" w:rsidRDefault="00534FE2" w:rsidP="0091753A">
      <w:pPr>
        <w:numPr>
          <w:ilvl w:val="0"/>
          <w:numId w:val="1"/>
        </w:numPr>
        <w:tabs>
          <w:tab w:val="clear" w:pos="720"/>
        </w:tabs>
        <w:spacing w:before="100" w:beforeAutospacing="1" w:after="100" w:afterAutospacing="1" w:line="240" w:lineRule="auto"/>
        <w:ind w:left="540"/>
        <w:rPr>
          <w:rFonts w:eastAsia="Times New Roman"/>
        </w:rPr>
      </w:pPr>
      <w:r w:rsidRPr="00176EA8">
        <w:rPr>
          <w:rFonts w:eastAsia="Times New Roman"/>
        </w:rPr>
        <w:t xml:space="preserve">Projects that are not exempted or excluded will require a SEPA document.  Please </w:t>
      </w:r>
      <w:r w:rsidR="00176EA8" w:rsidRPr="00176EA8">
        <w:rPr>
          <w:rFonts w:eastAsia="Times New Roman"/>
        </w:rPr>
        <w:t>send questions to the NEPA Inbox (</w:t>
      </w:r>
      <w:hyperlink r:id="rId10" w:history="1">
        <w:r w:rsidR="00176EA8" w:rsidRPr="00176EA8">
          <w:rPr>
            <w:rStyle w:val="Hyperlink"/>
            <w:rFonts w:eastAsia="Times New Roman"/>
          </w:rPr>
          <w:t>esd.NEPA@indot.in.gov</w:t>
        </w:r>
      </w:hyperlink>
      <w:r w:rsidR="00176EA8" w:rsidRPr="00176EA8">
        <w:rPr>
          <w:rFonts w:eastAsia="Times New Roman"/>
        </w:rPr>
        <w:t xml:space="preserve">). </w:t>
      </w:r>
      <w:r w:rsidRPr="00176EA8">
        <w:rPr>
          <w:rFonts w:eastAsia="Times New Roman"/>
        </w:rPr>
        <w:t xml:space="preserve">  </w:t>
      </w:r>
    </w:p>
    <w:p w14:paraId="6A506E08" w14:textId="77777777" w:rsidR="00176EA8" w:rsidRDefault="00534FE2" w:rsidP="00176EA8">
      <w:pPr>
        <w:spacing w:before="100" w:beforeAutospacing="1" w:after="100" w:afterAutospacing="1" w:line="240" w:lineRule="auto"/>
        <w:rPr>
          <w:rFonts w:eastAsia="Times New Roman"/>
        </w:rPr>
      </w:pPr>
      <w:r>
        <w:rPr>
          <w:rFonts w:eastAsia="Times New Roman"/>
        </w:rPr>
        <w:t>Compliance with NEPA or SEPA does not excuse a project’s compliance with state historic preservation laws.</w:t>
      </w:r>
      <w:r w:rsidR="00176EA8">
        <w:rPr>
          <w:rFonts w:eastAsia="Times New Roman"/>
        </w:rPr>
        <w:t xml:space="preserve"> Please refer to </w:t>
      </w:r>
      <w:hyperlink r:id="rId11" w:history="1">
        <w:r w:rsidRPr="00176EA8">
          <w:rPr>
            <w:rStyle w:val="Hyperlink"/>
            <w:rFonts w:eastAsia="Times New Roman"/>
          </w:rPr>
          <w:t>INDOT’s Cultural Resources Manual</w:t>
        </w:r>
      </w:hyperlink>
      <w:r>
        <w:rPr>
          <w:rFonts w:eastAsia="Times New Roman"/>
        </w:rPr>
        <w:t xml:space="preserve"> that highlights those state regulations that are most likely to apply to transportation projects.</w:t>
      </w:r>
      <w:r w:rsidR="00176EA8">
        <w:rPr>
          <w:rFonts w:eastAsia="Times New Roman"/>
        </w:rPr>
        <w:t xml:space="preserve"> </w:t>
      </w:r>
      <w:r>
        <w:rPr>
          <w:rFonts w:eastAsia="Times New Roman"/>
        </w:rPr>
        <w:t>Projects that are limited to existing roadway footprint, such as resurfacing or patching, would likely not impact any historic properties and therefore not require coordination.</w:t>
      </w:r>
    </w:p>
    <w:p w14:paraId="0CF7BC39" w14:textId="07C10AC5" w:rsidR="00534FE2" w:rsidRPr="00176EA8" w:rsidRDefault="00534FE2" w:rsidP="0091753A">
      <w:pPr>
        <w:pStyle w:val="ListParagraph"/>
        <w:numPr>
          <w:ilvl w:val="0"/>
          <w:numId w:val="1"/>
        </w:numPr>
        <w:tabs>
          <w:tab w:val="clear" w:pos="720"/>
        </w:tabs>
        <w:spacing w:before="100" w:beforeAutospacing="1" w:after="100" w:afterAutospacing="1" w:line="240" w:lineRule="auto"/>
        <w:ind w:left="540"/>
        <w:rPr>
          <w:rFonts w:eastAsia="Times New Roman"/>
        </w:rPr>
      </w:pPr>
      <w:r w:rsidRPr="00176EA8">
        <w:rPr>
          <w:rFonts w:eastAsia="Times New Roman"/>
        </w:rPr>
        <w:t xml:space="preserve">If a Community Crossings project goes beyond the existing footprint or there are questions about impacts to historic properties, the project sponsor or consultant can send INDOT’s Cultural Resource Office (INDOT-CRO) a project description and aerial map, and INDOT-CRO will provide guidance on any actions that should occur concerning state preservation law compliance. </w:t>
      </w:r>
      <w:r w:rsidR="00176EA8">
        <w:rPr>
          <w:rFonts w:eastAsia="Times New Roman"/>
        </w:rPr>
        <w:t>Send project question or submittals to the INDOT-CRO Inbox (</w:t>
      </w:r>
      <w:hyperlink r:id="rId12" w:history="1">
        <w:r w:rsidR="0091753A" w:rsidRPr="00316F7B">
          <w:rPr>
            <w:rStyle w:val="Hyperlink"/>
            <w:rFonts w:eastAsia="Times New Roman"/>
          </w:rPr>
          <w:t>ESDCRO@indot.IN.gov</w:t>
        </w:r>
      </w:hyperlink>
      <w:r w:rsidR="0091753A">
        <w:rPr>
          <w:rFonts w:eastAsia="Times New Roman"/>
        </w:rPr>
        <w:t xml:space="preserve">).  </w:t>
      </w:r>
    </w:p>
    <w:p w14:paraId="176021A4" w14:textId="2ECA23C7" w:rsidR="0091753A" w:rsidRDefault="00534FE2" w:rsidP="00534FE2">
      <w:pPr>
        <w:spacing w:before="100" w:beforeAutospacing="1" w:after="100" w:afterAutospacing="1" w:line="240" w:lineRule="auto"/>
      </w:pPr>
      <w:r>
        <w:t xml:space="preserve">A project’s federal permits are </w:t>
      </w:r>
      <w:r w:rsidR="0091753A">
        <w:t>a</w:t>
      </w:r>
      <w:r>
        <w:t xml:space="preserve"> </w:t>
      </w:r>
      <w:r>
        <w:rPr>
          <w:rStyle w:val="Strong"/>
        </w:rPr>
        <w:t>separate federal action by the permitting agency, and that agency (e.g. USACE) is the lead agency for that federal action</w:t>
      </w:r>
      <w:r>
        <w:t>.</w:t>
      </w:r>
      <w:r w:rsidR="0091753A">
        <w:t xml:space="preserve"> </w:t>
      </w:r>
      <w:r>
        <w:t>Follow the federal agency’s requirements for investigations and documentation to meet their requirements. This will likely include demonstrating compliance with Section 106 and Endangered Species Act, and possibly other federal laws.</w:t>
      </w:r>
    </w:p>
    <w:p w14:paraId="6F3756CC" w14:textId="4D886A8E" w:rsidR="00534FE2" w:rsidRDefault="00534FE2" w:rsidP="00564079">
      <w:pPr>
        <w:pStyle w:val="ListParagraph"/>
        <w:numPr>
          <w:ilvl w:val="0"/>
          <w:numId w:val="1"/>
        </w:numPr>
        <w:spacing w:before="100" w:beforeAutospacing="1" w:after="100" w:afterAutospacing="1" w:line="240" w:lineRule="auto"/>
      </w:pPr>
      <w:r>
        <w:t>It is the project proponent’s responsibility to identify the need for federal permits early in project development, demonstrate compliance with federal laws, and execute any required mitigation.</w:t>
      </w:r>
      <w:r w:rsidR="0091753A">
        <w:t xml:space="preserve"> Please send questions to the NEPA Inbox (</w:t>
      </w:r>
      <w:hyperlink r:id="rId13" w:history="1">
        <w:r w:rsidR="0091753A" w:rsidRPr="00316F7B">
          <w:rPr>
            <w:rStyle w:val="Hyperlink"/>
          </w:rPr>
          <w:t>esd.NEPA@indot.in.gov</w:t>
        </w:r>
      </w:hyperlink>
      <w:r w:rsidR="0091753A">
        <w:t>).</w:t>
      </w:r>
    </w:p>
    <w:sectPr w:rsidR="00534F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9F622C"/>
    <w:multiLevelType w:val="multilevel"/>
    <w:tmpl w:val="07EAF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39294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FE2"/>
    <w:rsid w:val="00176EA8"/>
    <w:rsid w:val="001A3A07"/>
    <w:rsid w:val="001C44B0"/>
    <w:rsid w:val="001E6EF8"/>
    <w:rsid w:val="00534FE2"/>
    <w:rsid w:val="0091753A"/>
    <w:rsid w:val="00950095"/>
    <w:rsid w:val="00A03760"/>
    <w:rsid w:val="00AA40E3"/>
    <w:rsid w:val="00C8155A"/>
    <w:rsid w:val="00CF6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06D4E"/>
  <w15:chartTrackingRefBased/>
  <w15:docId w15:val="{F7EDBEE2-1939-4149-B932-CB88142C4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34FE2"/>
    <w:rPr>
      <w:color w:val="0000FF"/>
      <w:u w:val="single"/>
    </w:rPr>
  </w:style>
  <w:style w:type="paragraph" w:styleId="NormalWeb">
    <w:name w:val="Normal (Web)"/>
    <w:basedOn w:val="Normal"/>
    <w:uiPriority w:val="99"/>
    <w:semiHidden/>
    <w:unhideWhenUsed/>
    <w:rsid w:val="00534FE2"/>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sid w:val="00534FE2"/>
    <w:rPr>
      <w:b/>
      <w:bCs/>
    </w:rPr>
  </w:style>
  <w:style w:type="character" w:styleId="CommentReference">
    <w:name w:val="annotation reference"/>
    <w:basedOn w:val="DefaultParagraphFont"/>
    <w:uiPriority w:val="99"/>
    <w:semiHidden/>
    <w:unhideWhenUsed/>
    <w:rsid w:val="00A03760"/>
    <w:rPr>
      <w:sz w:val="16"/>
      <w:szCs w:val="16"/>
    </w:rPr>
  </w:style>
  <w:style w:type="paragraph" w:styleId="CommentText">
    <w:name w:val="annotation text"/>
    <w:basedOn w:val="Normal"/>
    <w:link w:val="CommentTextChar"/>
    <w:uiPriority w:val="99"/>
    <w:unhideWhenUsed/>
    <w:rsid w:val="00A03760"/>
    <w:pPr>
      <w:spacing w:line="240" w:lineRule="auto"/>
    </w:pPr>
    <w:rPr>
      <w:sz w:val="20"/>
      <w:szCs w:val="20"/>
    </w:rPr>
  </w:style>
  <w:style w:type="character" w:customStyle="1" w:styleId="CommentTextChar">
    <w:name w:val="Comment Text Char"/>
    <w:basedOn w:val="DefaultParagraphFont"/>
    <w:link w:val="CommentText"/>
    <w:uiPriority w:val="99"/>
    <w:rsid w:val="00A03760"/>
  </w:style>
  <w:style w:type="paragraph" w:styleId="CommentSubject">
    <w:name w:val="annotation subject"/>
    <w:basedOn w:val="CommentText"/>
    <w:next w:val="CommentText"/>
    <w:link w:val="CommentSubjectChar"/>
    <w:uiPriority w:val="99"/>
    <w:semiHidden/>
    <w:unhideWhenUsed/>
    <w:rsid w:val="00A03760"/>
    <w:rPr>
      <w:b/>
      <w:bCs/>
    </w:rPr>
  </w:style>
  <w:style w:type="character" w:customStyle="1" w:styleId="CommentSubjectChar">
    <w:name w:val="Comment Subject Char"/>
    <w:basedOn w:val="CommentTextChar"/>
    <w:link w:val="CommentSubject"/>
    <w:uiPriority w:val="99"/>
    <w:semiHidden/>
    <w:rsid w:val="00A03760"/>
    <w:rPr>
      <w:b/>
      <w:bCs/>
    </w:rPr>
  </w:style>
  <w:style w:type="character" w:styleId="FollowedHyperlink">
    <w:name w:val="FollowedHyperlink"/>
    <w:basedOn w:val="DefaultParagraphFont"/>
    <w:uiPriority w:val="99"/>
    <w:semiHidden/>
    <w:unhideWhenUsed/>
    <w:rsid w:val="00176EA8"/>
    <w:rPr>
      <w:color w:val="96607D" w:themeColor="followedHyperlink"/>
      <w:u w:val="single"/>
    </w:rPr>
  </w:style>
  <w:style w:type="character" w:styleId="UnresolvedMention">
    <w:name w:val="Unresolved Mention"/>
    <w:basedOn w:val="DefaultParagraphFont"/>
    <w:uiPriority w:val="99"/>
    <w:semiHidden/>
    <w:unhideWhenUsed/>
    <w:rsid w:val="00176EA8"/>
    <w:rPr>
      <w:color w:val="605E5C"/>
      <w:shd w:val="clear" w:color="auto" w:fill="E1DFDD"/>
    </w:rPr>
  </w:style>
  <w:style w:type="paragraph" w:styleId="ListParagraph">
    <w:name w:val="List Paragraph"/>
    <w:basedOn w:val="Normal"/>
    <w:uiPriority w:val="34"/>
    <w:qFormat/>
    <w:rsid w:val="00176E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1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ar.iga.in.gov/code/2026/327/11" TargetMode="External"/><Relationship Id="rId13" Type="http://schemas.openxmlformats.org/officeDocument/2006/relationships/hyperlink" Target="mailto:esd.NEPA@indot.in.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SDCRO@indot.IN.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gov/indot/cr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sd.NEPA@indot.in.gov" TargetMode="External"/><Relationship Id="rId4" Type="http://schemas.openxmlformats.org/officeDocument/2006/relationships/numbering" Target="numbering.xml"/><Relationship Id="rId9" Type="http://schemas.openxmlformats.org/officeDocument/2006/relationships/hyperlink" Target="https://www.in.gov/indot/engineering/environmental-services/environmental-policy/environmental-policy-manual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EE7ECB-9353-4497-AC2F-A9CFDA1661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A22190-0F67-43FA-B7C4-3B8FACC3EE95}">
  <ds:schemaRefs>
    <ds:schemaRef ds:uri="http://schemas.microsoft.com/sharepoint/v3/contenttype/forms"/>
  </ds:schemaRefs>
</ds:datastoreItem>
</file>

<file path=customXml/itemProps3.xml><?xml version="1.0" encoding="utf-8"?>
<ds:datastoreItem xmlns:ds="http://schemas.openxmlformats.org/officeDocument/2006/customXml" ds:itemID="{DB99187E-70E4-4FD4-93F9-B5CE19396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2711</CharactersWithSpaces>
  <SharedDoc>false</SharedDoc>
  <HLinks>
    <vt:vector size="24" baseType="variant">
      <vt:variant>
        <vt:i4>3080300</vt:i4>
      </vt:variant>
      <vt:variant>
        <vt:i4>9</vt:i4>
      </vt:variant>
      <vt:variant>
        <vt:i4>0</vt:i4>
      </vt:variant>
      <vt:variant>
        <vt:i4>5</vt:i4>
      </vt:variant>
      <vt:variant>
        <vt:lpwstr>http://links.govdelivery.com/track?type=click&amp;enid=ZWFzPTEmbWFpbGluZ2lkPTIwMTYwOTIxLjY0MDYwNTIxJm1lc3NhZ2VpZD1NREItUFJELUJVTC0yMDE2MDkyMS42NDA2MDUyMSZkYXRhYmFzZWlkPTEwMDEmc2VyaWFsPTE3MTE3NjY1JmVtYWlsaWQ9bGhpbGRlbkBpbmRvdC5pbi5nb3YmdXNlcmlkPWxoaWxkZW5AaW5kb3QuaW4uZ292JmZsPSZleHRyYT1NdWx0aXZhcmlhdGVJZD0mJiY=&amp;&amp;&amp;102&amp;&amp;&amp;http://www.in.gov/indot/crm/files/Chapter_1-Overview.pdf</vt:lpwstr>
      </vt:variant>
      <vt:variant>
        <vt:lpwstr/>
      </vt:variant>
      <vt:variant>
        <vt:i4>262246</vt:i4>
      </vt:variant>
      <vt:variant>
        <vt:i4>6</vt:i4>
      </vt:variant>
      <vt:variant>
        <vt:i4>0</vt:i4>
      </vt:variant>
      <vt:variant>
        <vt:i4>5</vt:i4>
      </vt:variant>
      <vt:variant>
        <vt:lpwstr>mailto:rbales@indot.in.gov</vt:lpwstr>
      </vt:variant>
      <vt:variant>
        <vt:lpwstr/>
      </vt:variant>
      <vt:variant>
        <vt:i4>3080300</vt:i4>
      </vt:variant>
      <vt:variant>
        <vt:i4>3</vt:i4>
      </vt:variant>
      <vt:variant>
        <vt:i4>0</vt:i4>
      </vt:variant>
      <vt:variant>
        <vt:i4>5</vt:i4>
      </vt:variant>
      <vt:variant>
        <vt:lpwstr>http://links.govdelivery.com/track?type=click&amp;enid=ZWFzPTEmbWFpbGluZ2lkPTIwMTYwOTIxLjY0MDYwNTIxJm1lc3NhZ2VpZD1NREItUFJELUJVTC0yMDE2MDkyMS42NDA2MDUyMSZkYXRhYmFzZWlkPTEwMDEmc2VyaWFsPTE3MTE3NjY1JmVtYWlsaWQ9bGhpbGRlbkBpbmRvdC5pbi5nb3YmdXNlcmlkPWxoaWxkZW5AaW5kb3QuaW4uZ292JmZsPSZleHRyYT1NdWx0aXZhcmlhdGVJZD0mJiY=&amp;&amp;&amp;101&amp;&amp;&amp;http://www.in.gov/indot/files/ES_2013CEManual.pdf</vt:lpwstr>
      </vt:variant>
      <vt:variant>
        <vt:lpwstr/>
      </vt:variant>
      <vt:variant>
        <vt:i4>3080300</vt:i4>
      </vt:variant>
      <vt:variant>
        <vt:i4>0</vt:i4>
      </vt:variant>
      <vt:variant>
        <vt:i4>0</vt:i4>
      </vt:variant>
      <vt:variant>
        <vt:i4>5</vt:i4>
      </vt:variant>
      <vt:variant>
        <vt:lpwstr>http://links.govdelivery.com/track?type=click&amp;enid=ZWFzPTEmbWFpbGluZ2lkPTIwMTYwOTIxLjY0MDYwNTIxJm1lc3NhZ2VpZD1NREItUFJELUJVTC0yMDE2MDkyMS42NDA2MDUyMSZkYXRhYmFzZWlkPTEwMDEmc2VyaWFsPTE3MTE3NjY1JmVtYWlsaWQ9bGhpbGRlbkBpbmRvdC5pbi5nb3YmdXNlcmlkPWxoaWxkZW5AaW5kb3QuaW4uZ292JmZsPSZleHRyYT1NdWx0aXZhcmlhdGVJZD0mJiY=&amp;&amp;&amp;100&amp;&amp;&amp;http://www.in.gov/legislative/iac/T03270/A00110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Bales, Ronald</dc:creator>
  <cp:keywords/>
  <dc:description/>
  <cp:lastModifiedBy>Wilson, Meredith</cp:lastModifiedBy>
  <cp:revision>2</cp:revision>
  <dcterms:created xsi:type="dcterms:W3CDTF">2025-05-20T17:54:00Z</dcterms:created>
  <dcterms:modified xsi:type="dcterms:W3CDTF">2025-05-20T17:54:00Z</dcterms:modified>
</cp:coreProperties>
</file>