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4F08" w14:textId="77777777" w:rsidR="005A5FD2" w:rsidRPr="00E26749" w:rsidRDefault="00E26749" w:rsidP="005A5FD2">
      <w:pPr>
        <w:pStyle w:val="Heading2"/>
        <w:spacing w:before="0" w:line="257" w:lineRule="auto"/>
        <w:rPr>
          <w:rFonts w:ascii="Tahoma" w:hAnsi="Tahoma" w:cs="Tahoma"/>
          <w:b/>
          <w:color w:val="auto"/>
        </w:rPr>
      </w:pPr>
      <w:r>
        <w:rPr>
          <w:rFonts w:ascii="Tahoma" w:hAnsi="Tahoma" w:cs="Tahoma"/>
          <w:b/>
          <w:color w:val="auto"/>
        </w:rPr>
        <w:t xml:space="preserve">Introduction to </w:t>
      </w:r>
      <w:r w:rsidR="005A5FD2" w:rsidRPr="00E26749">
        <w:rPr>
          <w:rFonts w:ascii="Tahoma" w:hAnsi="Tahoma" w:cs="Tahoma"/>
          <w:b/>
          <w:color w:val="auto"/>
        </w:rPr>
        <w:t>Contractor Prequalification</w:t>
      </w:r>
      <w:r>
        <w:rPr>
          <w:rFonts w:ascii="Tahoma" w:hAnsi="Tahoma" w:cs="Tahoma"/>
          <w:b/>
          <w:color w:val="auto"/>
        </w:rPr>
        <w:t xml:space="preserve"> </w:t>
      </w:r>
    </w:p>
    <w:p w14:paraId="791DDAA4" w14:textId="77777777" w:rsidR="005A5FD2" w:rsidRPr="005A5FD2" w:rsidRDefault="005A5FD2" w:rsidP="005A5FD2">
      <w:r>
        <w:t>_____________________________________________________________________________________</w:t>
      </w:r>
    </w:p>
    <w:p w14:paraId="0959C5A2" w14:textId="77777777" w:rsidR="005A5FD2" w:rsidRPr="00AB35B2" w:rsidRDefault="00497943">
      <w:pPr>
        <w:rPr>
          <w:rFonts w:ascii="Tahoma" w:hAnsi="Tahoma" w:cs="Tahoma"/>
          <w:b/>
          <w:sz w:val="20"/>
          <w:szCs w:val="20"/>
        </w:rPr>
      </w:pPr>
      <w:r w:rsidRPr="00AB35B2">
        <w:rPr>
          <w:rFonts w:ascii="Tahoma" w:hAnsi="Tahoma" w:cs="Tahoma"/>
          <w:b/>
          <w:sz w:val="20"/>
          <w:szCs w:val="20"/>
        </w:rPr>
        <w:t xml:space="preserve">A company </w:t>
      </w:r>
      <w:r w:rsidRPr="00AB35B2">
        <w:rPr>
          <w:rFonts w:ascii="Tahoma" w:hAnsi="Tahoma" w:cs="Tahoma"/>
          <w:b/>
          <w:color w:val="538135" w:themeColor="accent6" w:themeShade="BF"/>
          <w:sz w:val="20"/>
          <w:szCs w:val="20"/>
          <w:u w:val="single"/>
        </w:rPr>
        <w:t>MUST</w:t>
      </w:r>
      <w:r w:rsidRPr="00AB35B2">
        <w:rPr>
          <w:rFonts w:ascii="Tahoma" w:hAnsi="Tahoma" w:cs="Tahoma"/>
          <w:b/>
          <w:color w:val="538135" w:themeColor="accent6" w:themeShade="BF"/>
          <w:sz w:val="20"/>
          <w:szCs w:val="20"/>
        </w:rPr>
        <w:t xml:space="preserve"> </w:t>
      </w:r>
      <w:r w:rsidRPr="00AB35B2">
        <w:rPr>
          <w:rFonts w:ascii="Tahoma" w:hAnsi="Tahoma" w:cs="Tahoma"/>
          <w:b/>
          <w:sz w:val="20"/>
          <w:szCs w:val="20"/>
        </w:rPr>
        <w:t>be prequalified by INDOT as a contractor if:</w:t>
      </w:r>
    </w:p>
    <w:p w14:paraId="53FF9BA9" w14:textId="77777777" w:rsidR="00497943" w:rsidRPr="00AB35B2" w:rsidRDefault="00497943" w:rsidP="00497943">
      <w:pPr>
        <w:pStyle w:val="ListParagraph"/>
        <w:numPr>
          <w:ilvl w:val="0"/>
          <w:numId w:val="5"/>
        </w:numPr>
        <w:rPr>
          <w:rFonts w:ascii="Tahoma" w:hAnsi="Tahoma" w:cs="Tahoma"/>
          <w:sz w:val="20"/>
          <w:szCs w:val="20"/>
        </w:rPr>
      </w:pPr>
      <w:r w:rsidRPr="00AB35B2">
        <w:rPr>
          <w:rFonts w:ascii="Tahoma" w:hAnsi="Tahoma" w:cs="Tahoma"/>
          <w:sz w:val="20"/>
          <w:szCs w:val="20"/>
        </w:rPr>
        <w:t>The company bids on INDOT work as prime contractor</w:t>
      </w:r>
    </w:p>
    <w:p w14:paraId="10038AFF" w14:textId="36DE6AA3" w:rsidR="00497943" w:rsidRPr="00AB35B2" w:rsidRDefault="00497943" w:rsidP="00497943">
      <w:pPr>
        <w:pStyle w:val="ListParagraph"/>
        <w:numPr>
          <w:ilvl w:val="0"/>
          <w:numId w:val="5"/>
        </w:numPr>
        <w:rPr>
          <w:rFonts w:ascii="Tahoma" w:hAnsi="Tahoma" w:cs="Tahoma"/>
          <w:sz w:val="20"/>
          <w:szCs w:val="20"/>
        </w:rPr>
      </w:pPr>
      <w:r w:rsidRPr="00AB35B2">
        <w:rPr>
          <w:rFonts w:ascii="Tahoma" w:hAnsi="Tahoma" w:cs="Tahoma"/>
          <w:sz w:val="20"/>
          <w:szCs w:val="20"/>
        </w:rPr>
        <w:t xml:space="preserve">The company subcontracts for </w:t>
      </w:r>
      <w:r w:rsidR="00FE4F42">
        <w:rPr>
          <w:rFonts w:ascii="Tahoma" w:hAnsi="Tahoma" w:cs="Tahoma"/>
          <w:sz w:val="20"/>
          <w:szCs w:val="20"/>
        </w:rPr>
        <w:t xml:space="preserve">more than $300K in total </w:t>
      </w:r>
      <w:r w:rsidRPr="00AB35B2">
        <w:rPr>
          <w:rFonts w:ascii="Tahoma" w:hAnsi="Tahoma" w:cs="Tahoma"/>
          <w:sz w:val="20"/>
          <w:szCs w:val="20"/>
        </w:rPr>
        <w:t xml:space="preserve">INDOT </w:t>
      </w:r>
      <w:r w:rsidR="00FE4F42">
        <w:rPr>
          <w:rFonts w:ascii="Tahoma" w:hAnsi="Tahoma" w:cs="Tahoma"/>
          <w:sz w:val="20"/>
          <w:szCs w:val="20"/>
        </w:rPr>
        <w:t xml:space="preserve">at one </w:t>
      </w:r>
      <w:proofErr w:type="gramStart"/>
      <w:r w:rsidR="00FE4F42">
        <w:rPr>
          <w:rFonts w:ascii="Tahoma" w:hAnsi="Tahoma" w:cs="Tahoma"/>
          <w:sz w:val="20"/>
          <w:szCs w:val="20"/>
        </w:rPr>
        <w:t>time</w:t>
      </w:r>
      <w:proofErr w:type="gramEnd"/>
    </w:p>
    <w:p w14:paraId="72F821FD" w14:textId="57566376" w:rsidR="00497943" w:rsidRPr="00AB35B2" w:rsidRDefault="00497943" w:rsidP="00497943">
      <w:pPr>
        <w:pStyle w:val="ListParagraph"/>
        <w:numPr>
          <w:ilvl w:val="0"/>
          <w:numId w:val="5"/>
        </w:numPr>
        <w:rPr>
          <w:rFonts w:ascii="Tahoma" w:hAnsi="Tahoma" w:cs="Tahoma"/>
          <w:sz w:val="20"/>
          <w:szCs w:val="20"/>
        </w:rPr>
      </w:pPr>
      <w:r w:rsidRPr="00AB35B2">
        <w:rPr>
          <w:rFonts w:ascii="Tahoma" w:hAnsi="Tahoma" w:cs="Tahoma"/>
          <w:sz w:val="20"/>
          <w:szCs w:val="20"/>
        </w:rPr>
        <w:t xml:space="preserve">The company </w:t>
      </w:r>
      <w:r w:rsidR="00FE4F42">
        <w:rPr>
          <w:rFonts w:ascii="Tahoma" w:hAnsi="Tahoma" w:cs="Tahoma"/>
          <w:sz w:val="20"/>
          <w:szCs w:val="20"/>
        </w:rPr>
        <w:t>bids or subcontracts for more than $300K in local government work</w:t>
      </w:r>
      <w:r w:rsidRPr="00AB35B2">
        <w:rPr>
          <w:rFonts w:ascii="Tahoma" w:hAnsi="Tahoma" w:cs="Tahoma"/>
          <w:sz w:val="20"/>
          <w:szCs w:val="20"/>
        </w:rPr>
        <w:t xml:space="preserve"> </w:t>
      </w:r>
      <w:r w:rsidR="00FE4F42">
        <w:rPr>
          <w:rFonts w:ascii="Tahoma" w:hAnsi="Tahoma" w:cs="Tahoma"/>
          <w:sz w:val="20"/>
          <w:szCs w:val="20"/>
        </w:rPr>
        <w:t xml:space="preserve">that is </w:t>
      </w:r>
      <w:r w:rsidRPr="00AB35B2">
        <w:rPr>
          <w:rFonts w:ascii="Tahoma" w:hAnsi="Tahoma" w:cs="Tahoma"/>
          <w:sz w:val="20"/>
          <w:szCs w:val="20"/>
        </w:rPr>
        <w:t xml:space="preserve">the construction, improvement, alteration, repair, or maintenance of a highway, street, or road or </w:t>
      </w:r>
      <w:proofErr w:type="gramStart"/>
      <w:r w:rsidRPr="00AB35B2">
        <w:rPr>
          <w:rFonts w:ascii="Tahoma" w:hAnsi="Tahoma" w:cs="Tahoma"/>
          <w:sz w:val="20"/>
          <w:szCs w:val="20"/>
        </w:rPr>
        <w:t>alley</w:t>
      </w:r>
      <w:proofErr w:type="gramEnd"/>
      <w:r w:rsidRPr="00AB35B2">
        <w:rPr>
          <w:rFonts w:ascii="Tahoma" w:hAnsi="Tahoma" w:cs="Tahoma"/>
          <w:sz w:val="20"/>
          <w:szCs w:val="20"/>
        </w:rPr>
        <w:t xml:space="preserve"> </w:t>
      </w:r>
    </w:p>
    <w:p w14:paraId="343CE072" w14:textId="77777777" w:rsidR="00497943" w:rsidRPr="00AB35B2" w:rsidRDefault="00497943" w:rsidP="00497943">
      <w:pPr>
        <w:rPr>
          <w:rFonts w:ascii="Tahoma" w:hAnsi="Tahoma" w:cs="Tahoma"/>
          <w:b/>
          <w:sz w:val="20"/>
          <w:szCs w:val="20"/>
        </w:rPr>
      </w:pPr>
      <w:r w:rsidRPr="00AB35B2">
        <w:rPr>
          <w:rFonts w:ascii="Tahoma" w:hAnsi="Tahoma" w:cs="Tahoma"/>
          <w:b/>
          <w:sz w:val="20"/>
          <w:szCs w:val="20"/>
        </w:rPr>
        <w:t xml:space="preserve">A company </w:t>
      </w:r>
      <w:r w:rsidRPr="00AB35B2">
        <w:rPr>
          <w:rFonts w:ascii="Tahoma" w:hAnsi="Tahoma" w:cs="Tahoma"/>
          <w:b/>
          <w:color w:val="FF0000"/>
          <w:sz w:val="20"/>
          <w:szCs w:val="20"/>
          <w:u w:val="single"/>
        </w:rPr>
        <w:t>DOES NOT</w:t>
      </w:r>
      <w:r w:rsidRPr="00AB35B2">
        <w:rPr>
          <w:rFonts w:ascii="Tahoma" w:hAnsi="Tahoma" w:cs="Tahoma"/>
          <w:b/>
          <w:sz w:val="20"/>
          <w:szCs w:val="20"/>
        </w:rPr>
        <w:t xml:space="preserve"> have to be prequalified as a </w:t>
      </w:r>
      <w:r w:rsidRPr="00FE4F42">
        <w:rPr>
          <w:rFonts w:ascii="Tahoma" w:hAnsi="Tahoma" w:cs="Tahoma"/>
          <w:b/>
          <w:sz w:val="20"/>
          <w:szCs w:val="20"/>
        </w:rPr>
        <w:t>contractor</w:t>
      </w:r>
      <w:r w:rsidRPr="00AB35B2">
        <w:rPr>
          <w:rFonts w:ascii="Tahoma" w:hAnsi="Tahoma" w:cs="Tahoma"/>
          <w:b/>
          <w:sz w:val="20"/>
          <w:szCs w:val="20"/>
        </w:rPr>
        <w:t xml:space="preserve"> if:</w:t>
      </w:r>
    </w:p>
    <w:p w14:paraId="1E7B40DF" w14:textId="11F39A0E" w:rsidR="00497943" w:rsidRPr="00AB35B2" w:rsidRDefault="00497943" w:rsidP="00497943">
      <w:pPr>
        <w:pStyle w:val="ListParagraph"/>
        <w:numPr>
          <w:ilvl w:val="0"/>
          <w:numId w:val="6"/>
        </w:numPr>
        <w:rPr>
          <w:rFonts w:ascii="Tahoma" w:hAnsi="Tahoma" w:cs="Tahoma"/>
          <w:sz w:val="20"/>
          <w:szCs w:val="20"/>
        </w:rPr>
      </w:pPr>
      <w:r w:rsidRPr="00AB35B2">
        <w:rPr>
          <w:rFonts w:ascii="Tahoma" w:hAnsi="Tahoma" w:cs="Tahoma"/>
          <w:sz w:val="20"/>
          <w:szCs w:val="20"/>
        </w:rPr>
        <w:t xml:space="preserve">The company </w:t>
      </w:r>
      <w:r w:rsidR="00FE4F42">
        <w:rPr>
          <w:rFonts w:ascii="Tahoma" w:hAnsi="Tahoma" w:cs="Tahoma"/>
          <w:sz w:val="20"/>
          <w:szCs w:val="20"/>
        </w:rPr>
        <w:t xml:space="preserve">only </w:t>
      </w:r>
      <w:r w:rsidRPr="00AB35B2">
        <w:rPr>
          <w:rFonts w:ascii="Tahoma" w:hAnsi="Tahoma" w:cs="Tahoma"/>
          <w:sz w:val="20"/>
          <w:szCs w:val="20"/>
        </w:rPr>
        <w:t xml:space="preserve">contracts to haul materials or supplies to or from an INDOT job </w:t>
      </w:r>
      <w:proofErr w:type="gramStart"/>
      <w:r w:rsidRPr="00AB35B2">
        <w:rPr>
          <w:rFonts w:ascii="Tahoma" w:hAnsi="Tahoma" w:cs="Tahoma"/>
          <w:sz w:val="20"/>
          <w:szCs w:val="20"/>
        </w:rPr>
        <w:t>site</w:t>
      </w:r>
      <w:proofErr w:type="gramEnd"/>
      <w:r w:rsidRPr="00AB35B2">
        <w:rPr>
          <w:rFonts w:ascii="Tahoma" w:hAnsi="Tahoma" w:cs="Tahoma"/>
          <w:sz w:val="20"/>
          <w:szCs w:val="20"/>
        </w:rPr>
        <w:t xml:space="preserve"> </w:t>
      </w:r>
    </w:p>
    <w:p w14:paraId="79745B1D" w14:textId="17952982" w:rsidR="00497943" w:rsidRPr="00AB35B2" w:rsidRDefault="00497943" w:rsidP="00497943">
      <w:pPr>
        <w:pStyle w:val="ListParagraph"/>
        <w:numPr>
          <w:ilvl w:val="0"/>
          <w:numId w:val="6"/>
        </w:numPr>
        <w:rPr>
          <w:rFonts w:ascii="Tahoma" w:hAnsi="Tahoma" w:cs="Tahoma"/>
          <w:sz w:val="20"/>
          <w:szCs w:val="20"/>
        </w:rPr>
      </w:pPr>
      <w:r w:rsidRPr="00AB35B2">
        <w:rPr>
          <w:rFonts w:ascii="Tahoma" w:hAnsi="Tahoma" w:cs="Tahoma"/>
          <w:sz w:val="20"/>
          <w:szCs w:val="20"/>
        </w:rPr>
        <w:t>The company subcontracts for INDOT work</w:t>
      </w:r>
      <w:r w:rsidR="00FE4F42">
        <w:rPr>
          <w:rFonts w:ascii="Tahoma" w:hAnsi="Tahoma" w:cs="Tahoma"/>
          <w:sz w:val="20"/>
          <w:szCs w:val="20"/>
        </w:rPr>
        <w:t xml:space="preserve"> with a total value less than $</w:t>
      </w:r>
      <w:proofErr w:type="gramStart"/>
      <w:r w:rsidR="00FE4F42">
        <w:rPr>
          <w:rFonts w:ascii="Tahoma" w:hAnsi="Tahoma" w:cs="Tahoma"/>
          <w:sz w:val="20"/>
          <w:szCs w:val="20"/>
        </w:rPr>
        <w:t>300K</w:t>
      </w:r>
      <w:proofErr w:type="gramEnd"/>
      <w:r w:rsidR="00FE4F42">
        <w:rPr>
          <w:rFonts w:ascii="Tahoma" w:hAnsi="Tahoma" w:cs="Tahoma"/>
          <w:sz w:val="20"/>
          <w:szCs w:val="20"/>
        </w:rPr>
        <w:t xml:space="preserve"> </w:t>
      </w:r>
    </w:p>
    <w:p w14:paraId="29D76904" w14:textId="4355A26E" w:rsidR="00DC6B9B" w:rsidRPr="00FE4F42" w:rsidRDefault="00497943" w:rsidP="00497943">
      <w:pPr>
        <w:pStyle w:val="ListParagraph"/>
        <w:numPr>
          <w:ilvl w:val="0"/>
          <w:numId w:val="6"/>
        </w:numPr>
        <w:rPr>
          <w:rFonts w:ascii="Tahoma" w:hAnsi="Tahoma" w:cs="Tahoma"/>
          <w:sz w:val="20"/>
          <w:szCs w:val="20"/>
        </w:rPr>
      </w:pPr>
      <w:r w:rsidRPr="00AB35B2">
        <w:rPr>
          <w:rFonts w:ascii="Tahoma" w:hAnsi="Tahoma" w:cs="Tahoma"/>
          <w:sz w:val="20"/>
          <w:szCs w:val="20"/>
        </w:rPr>
        <w:t xml:space="preserve">The company </w:t>
      </w:r>
      <w:r w:rsidR="00FE4F42">
        <w:rPr>
          <w:rFonts w:ascii="Tahoma" w:hAnsi="Tahoma" w:cs="Tahoma"/>
          <w:sz w:val="20"/>
          <w:szCs w:val="20"/>
        </w:rPr>
        <w:t xml:space="preserve">contracts to perform a </w:t>
      </w:r>
      <w:r w:rsidRPr="00AB35B2">
        <w:rPr>
          <w:rFonts w:ascii="Tahoma" w:hAnsi="Tahoma" w:cs="Tahoma"/>
          <w:sz w:val="20"/>
          <w:szCs w:val="20"/>
        </w:rPr>
        <w:t xml:space="preserve">service </w:t>
      </w:r>
      <w:r w:rsidR="00FE4F42">
        <w:rPr>
          <w:rFonts w:ascii="Tahoma" w:hAnsi="Tahoma" w:cs="Tahoma"/>
          <w:sz w:val="20"/>
          <w:szCs w:val="20"/>
        </w:rPr>
        <w:t xml:space="preserve">for </w:t>
      </w:r>
      <w:r w:rsidRPr="00AB35B2">
        <w:rPr>
          <w:rFonts w:ascii="Tahoma" w:hAnsi="Tahoma" w:cs="Tahoma"/>
          <w:sz w:val="20"/>
          <w:szCs w:val="20"/>
        </w:rPr>
        <w:t>INDOT through the RFP process</w:t>
      </w:r>
      <w:r w:rsidR="00DE3D7B">
        <w:rPr>
          <w:rFonts w:ascii="Tahoma" w:hAnsi="Tahoma" w:cs="Tahoma"/>
          <w:sz w:val="20"/>
          <w:szCs w:val="20"/>
        </w:rPr>
        <w:t xml:space="preserve"> </w:t>
      </w:r>
      <w:r w:rsidR="00FE4F42" w:rsidRPr="002C5144">
        <w:rPr>
          <w:rStyle w:val="FootnoteReference"/>
          <w:rFonts w:ascii="Tahoma" w:hAnsi="Tahoma" w:cs="Tahoma"/>
          <w:b/>
          <w:bCs/>
        </w:rPr>
        <w:footnoteReference w:id="1"/>
      </w:r>
      <w:r w:rsidRPr="00AB35B2">
        <w:rPr>
          <w:rFonts w:ascii="Tahoma" w:hAnsi="Tahoma" w:cs="Tahoma"/>
          <w:sz w:val="20"/>
          <w:szCs w:val="20"/>
        </w:rPr>
        <w:t xml:space="preserve"> </w:t>
      </w:r>
    </w:p>
    <w:p w14:paraId="47E482DD" w14:textId="0791E87B" w:rsidR="00DC6B9B" w:rsidRPr="00AB35B2" w:rsidRDefault="00DC6B9B" w:rsidP="00497943">
      <w:pPr>
        <w:rPr>
          <w:rFonts w:ascii="Tahoma" w:hAnsi="Tahoma" w:cs="Tahoma"/>
          <w:b/>
          <w:sz w:val="20"/>
          <w:szCs w:val="20"/>
        </w:rPr>
      </w:pPr>
      <w:r w:rsidRPr="00AB35B2">
        <w:rPr>
          <w:rFonts w:ascii="Tahoma" w:hAnsi="Tahoma" w:cs="Tahoma"/>
          <w:b/>
          <w:sz w:val="20"/>
          <w:szCs w:val="20"/>
        </w:rPr>
        <w:t>Applying for Contractor Prequalification</w:t>
      </w:r>
      <w:r w:rsidR="00CF3B3E">
        <w:rPr>
          <w:rFonts w:ascii="Tahoma" w:hAnsi="Tahoma" w:cs="Tahoma"/>
          <w:b/>
          <w:sz w:val="20"/>
          <w:szCs w:val="20"/>
        </w:rPr>
        <w:t xml:space="preserve"> (“CPQ”)</w:t>
      </w:r>
    </w:p>
    <w:p w14:paraId="247D2BE8" w14:textId="7B70CBD0" w:rsidR="00FE4F42" w:rsidRPr="00AB35B2" w:rsidRDefault="00FE4F42" w:rsidP="00FE4F42">
      <w:pPr>
        <w:rPr>
          <w:rFonts w:ascii="Tahoma" w:hAnsi="Tahoma" w:cs="Tahoma"/>
          <w:sz w:val="20"/>
          <w:szCs w:val="20"/>
        </w:rPr>
      </w:pPr>
      <w:r>
        <w:rPr>
          <w:rFonts w:ascii="Tahoma" w:hAnsi="Tahoma" w:cs="Tahoma"/>
          <w:sz w:val="20"/>
          <w:szCs w:val="20"/>
        </w:rPr>
        <w:t>A</w:t>
      </w:r>
      <w:r w:rsidR="00797549">
        <w:rPr>
          <w:rFonts w:ascii="Tahoma" w:hAnsi="Tahoma" w:cs="Tahoma"/>
          <w:sz w:val="20"/>
          <w:szCs w:val="20"/>
        </w:rPr>
        <w:t>ll a</w:t>
      </w:r>
      <w:r>
        <w:rPr>
          <w:rFonts w:ascii="Tahoma" w:hAnsi="Tahoma" w:cs="Tahoma"/>
          <w:sz w:val="20"/>
          <w:szCs w:val="20"/>
        </w:rPr>
        <w:t xml:space="preserve">pplications for </w:t>
      </w:r>
      <w:r w:rsidR="00DC6B9B" w:rsidRPr="00AB35B2">
        <w:rPr>
          <w:rFonts w:ascii="Tahoma" w:hAnsi="Tahoma" w:cs="Tahoma"/>
          <w:sz w:val="20"/>
          <w:szCs w:val="20"/>
        </w:rPr>
        <w:t xml:space="preserve">contractor prequalification </w:t>
      </w:r>
      <w:r w:rsidR="00797549">
        <w:rPr>
          <w:rFonts w:ascii="Tahoma" w:hAnsi="Tahoma" w:cs="Tahoma"/>
          <w:sz w:val="20"/>
          <w:szCs w:val="20"/>
        </w:rPr>
        <w:t>must be</w:t>
      </w:r>
      <w:r>
        <w:rPr>
          <w:rFonts w:ascii="Tahoma" w:hAnsi="Tahoma" w:cs="Tahoma"/>
          <w:sz w:val="20"/>
          <w:szCs w:val="20"/>
        </w:rPr>
        <w:t xml:space="preserve"> completed through the Contractor Prequalification application in ITAP (“CPQ”). </w:t>
      </w:r>
      <w:r w:rsidR="00797549">
        <w:rPr>
          <w:rFonts w:ascii="Tahoma" w:hAnsi="Tahoma" w:cs="Tahoma"/>
          <w:sz w:val="20"/>
          <w:szCs w:val="20"/>
        </w:rPr>
        <w:t>Directions for how to access and complete an</w:t>
      </w:r>
      <w:r>
        <w:rPr>
          <w:rFonts w:ascii="Tahoma" w:hAnsi="Tahoma" w:cs="Tahoma"/>
          <w:sz w:val="20"/>
          <w:szCs w:val="20"/>
        </w:rPr>
        <w:t xml:space="preserve"> application </w:t>
      </w:r>
      <w:r w:rsidR="00797549">
        <w:rPr>
          <w:rFonts w:ascii="Tahoma" w:hAnsi="Tahoma" w:cs="Tahoma"/>
          <w:sz w:val="20"/>
          <w:szCs w:val="20"/>
        </w:rPr>
        <w:t xml:space="preserve">using CPQ </w:t>
      </w:r>
      <w:r w:rsidR="00E44C2B">
        <w:rPr>
          <w:rFonts w:ascii="Tahoma" w:hAnsi="Tahoma" w:cs="Tahoma"/>
          <w:sz w:val="20"/>
          <w:szCs w:val="20"/>
        </w:rPr>
        <w:t xml:space="preserve">are </w:t>
      </w:r>
      <w:r>
        <w:rPr>
          <w:rFonts w:ascii="Tahoma" w:hAnsi="Tahoma" w:cs="Tahoma"/>
          <w:sz w:val="20"/>
          <w:szCs w:val="20"/>
        </w:rPr>
        <w:t xml:space="preserve">outlined in the </w:t>
      </w:r>
      <w:hyperlink r:id="rId8" w:history="1">
        <w:r w:rsidR="00797549">
          <w:rPr>
            <w:rStyle w:val="Hyperlink"/>
            <w:rFonts w:ascii="Tahoma" w:hAnsi="Tahoma" w:cs="Tahoma"/>
            <w:sz w:val="20"/>
            <w:szCs w:val="20"/>
          </w:rPr>
          <w:t>CPQ User Guide</w:t>
        </w:r>
      </w:hyperlink>
      <w:r w:rsidR="00797549">
        <w:rPr>
          <w:rFonts w:ascii="Tahoma" w:hAnsi="Tahoma" w:cs="Tahoma"/>
          <w:sz w:val="20"/>
          <w:szCs w:val="20"/>
        </w:rPr>
        <w:t xml:space="preserve"> and </w:t>
      </w:r>
      <w:hyperlink r:id="rId9" w:history="1">
        <w:r w:rsidR="00797549">
          <w:rPr>
            <w:rStyle w:val="Hyperlink"/>
            <w:rFonts w:ascii="Tahoma" w:hAnsi="Tahoma" w:cs="Tahoma"/>
            <w:sz w:val="20"/>
            <w:szCs w:val="20"/>
          </w:rPr>
          <w:t>February 11, 2021 CPQ Training Session</w:t>
        </w:r>
      </w:hyperlink>
      <w:r w:rsidR="00797549">
        <w:rPr>
          <w:rFonts w:ascii="Tahoma" w:hAnsi="Tahoma" w:cs="Tahoma"/>
          <w:sz w:val="20"/>
          <w:szCs w:val="20"/>
        </w:rPr>
        <w:t xml:space="preserve">. </w:t>
      </w:r>
    </w:p>
    <w:p w14:paraId="2F2E3313" w14:textId="77777777" w:rsidR="00DC6B9B" w:rsidRPr="00AB35B2" w:rsidRDefault="00DC6B9B" w:rsidP="00DC6B9B">
      <w:pPr>
        <w:rPr>
          <w:rFonts w:ascii="Tahoma" w:hAnsi="Tahoma" w:cs="Tahoma"/>
          <w:b/>
          <w:sz w:val="20"/>
          <w:szCs w:val="20"/>
        </w:rPr>
      </w:pPr>
      <w:r w:rsidRPr="00AB35B2">
        <w:rPr>
          <w:rFonts w:ascii="Tahoma" w:hAnsi="Tahoma" w:cs="Tahoma"/>
          <w:b/>
          <w:sz w:val="20"/>
          <w:szCs w:val="20"/>
        </w:rPr>
        <w:t>Certificate of Qualification</w:t>
      </w:r>
    </w:p>
    <w:p w14:paraId="779506EF" w14:textId="5E38FD33" w:rsidR="001F3F16" w:rsidRPr="00AB35B2" w:rsidRDefault="00DC6B9B" w:rsidP="00497943">
      <w:pPr>
        <w:rPr>
          <w:rFonts w:ascii="Tahoma" w:hAnsi="Tahoma" w:cs="Tahoma"/>
          <w:sz w:val="20"/>
          <w:szCs w:val="20"/>
        </w:rPr>
      </w:pPr>
      <w:r w:rsidRPr="00AB35B2">
        <w:rPr>
          <w:rFonts w:ascii="Tahoma" w:hAnsi="Tahoma" w:cs="Tahoma"/>
          <w:sz w:val="20"/>
          <w:szCs w:val="20"/>
        </w:rPr>
        <w:t xml:space="preserve">Companies approved for </w:t>
      </w:r>
      <w:r w:rsidR="001F3F16" w:rsidRPr="00AB35B2">
        <w:rPr>
          <w:rFonts w:ascii="Tahoma" w:hAnsi="Tahoma" w:cs="Tahoma"/>
          <w:sz w:val="20"/>
          <w:szCs w:val="20"/>
        </w:rPr>
        <w:t xml:space="preserve">contractor </w:t>
      </w:r>
      <w:r w:rsidRPr="00AB35B2">
        <w:rPr>
          <w:rFonts w:ascii="Tahoma" w:hAnsi="Tahoma" w:cs="Tahoma"/>
          <w:sz w:val="20"/>
          <w:szCs w:val="20"/>
        </w:rPr>
        <w:t>prequalification are issued a certificate of qualification</w:t>
      </w:r>
      <w:r w:rsidR="004C7B9E">
        <w:rPr>
          <w:rFonts w:ascii="Tahoma" w:hAnsi="Tahoma" w:cs="Tahoma"/>
          <w:sz w:val="20"/>
          <w:szCs w:val="20"/>
        </w:rPr>
        <w:t xml:space="preserve"> containing the work types the company is qualified to contract for</w:t>
      </w:r>
      <w:r w:rsidRPr="00AB35B2">
        <w:rPr>
          <w:rFonts w:ascii="Tahoma" w:hAnsi="Tahoma" w:cs="Tahoma"/>
          <w:sz w:val="20"/>
          <w:szCs w:val="20"/>
        </w:rPr>
        <w:t xml:space="preserve">. </w:t>
      </w:r>
      <w:r w:rsidR="004C7B9E">
        <w:rPr>
          <w:rFonts w:ascii="Tahoma" w:hAnsi="Tahoma" w:cs="Tahoma"/>
          <w:sz w:val="20"/>
          <w:szCs w:val="20"/>
        </w:rPr>
        <w:t xml:space="preserve">A list of INDOT contractor work types is found </w:t>
      </w:r>
      <w:hyperlink r:id="rId10" w:history="1">
        <w:r w:rsidR="004C7B9E">
          <w:rPr>
            <w:rStyle w:val="Hyperlink"/>
            <w:rFonts w:ascii="Tahoma" w:hAnsi="Tahoma" w:cs="Tahoma"/>
            <w:sz w:val="20"/>
            <w:szCs w:val="20"/>
          </w:rPr>
          <w:t>here</w:t>
        </w:r>
      </w:hyperlink>
      <w:r w:rsidR="004C7B9E">
        <w:rPr>
          <w:rFonts w:ascii="Tahoma" w:hAnsi="Tahoma" w:cs="Tahoma"/>
          <w:sz w:val="20"/>
          <w:szCs w:val="20"/>
        </w:rPr>
        <w:t>.</w:t>
      </w:r>
    </w:p>
    <w:p w14:paraId="2B37FF2E" w14:textId="3753B19F" w:rsidR="00E26749" w:rsidRPr="00AB35B2" w:rsidRDefault="001F3F16" w:rsidP="00497943">
      <w:pPr>
        <w:rPr>
          <w:rFonts w:ascii="Tahoma" w:hAnsi="Tahoma" w:cs="Tahoma"/>
          <w:sz w:val="20"/>
          <w:szCs w:val="20"/>
        </w:rPr>
      </w:pPr>
      <w:r w:rsidRPr="00AB35B2">
        <w:rPr>
          <w:rFonts w:ascii="Tahoma" w:hAnsi="Tahoma" w:cs="Tahoma"/>
          <w:sz w:val="20"/>
          <w:szCs w:val="20"/>
        </w:rPr>
        <w:t>The certificate also states the maximum amount of work a contractor can have under contract at any one time (“aggregate rating”). A separate rating is also stated for each work type (“</w:t>
      </w:r>
      <w:r w:rsidR="00E26749" w:rsidRPr="00AB35B2">
        <w:rPr>
          <w:rFonts w:ascii="Tahoma" w:hAnsi="Tahoma" w:cs="Tahoma"/>
          <w:sz w:val="20"/>
          <w:szCs w:val="20"/>
        </w:rPr>
        <w:t>classification</w:t>
      </w:r>
      <w:r w:rsidRPr="00AB35B2">
        <w:rPr>
          <w:rFonts w:ascii="Tahoma" w:hAnsi="Tahoma" w:cs="Tahoma"/>
          <w:sz w:val="20"/>
          <w:szCs w:val="20"/>
        </w:rPr>
        <w:t xml:space="preserve"> rating”)</w:t>
      </w:r>
      <w:r w:rsidR="00E26749" w:rsidRPr="00AB35B2">
        <w:rPr>
          <w:rFonts w:ascii="Tahoma" w:hAnsi="Tahoma" w:cs="Tahoma"/>
          <w:sz w:val="20"/>
          <w:szCs w:val="20"/>
        </w:rPr>
        <w:t xml:space="preserve">, which is the maximum amount of work a company can have under contract and be eligible to perform </w:t>
      </w:r>
      <w:r w:rsidR="00CF3B3E">
        <w:rPr>
          <w:rFonts w:ascii="Tahoma" w:hAnsi="Tahoma" w:cs="Tahoma"/>
          <w:sz w:val="20"/>
          <w:szCs w:val="20"/>
        </w:rPr>
        <w:t xml:space="preserve">work items designated with that INDOT </w:t>
      </w:r>
      <w:r w:rsidR="00E26749" w:rsidRPr="00AB35B2">
        <w:rPr>
          <w:rFonts w:ascii="Tahoma" w:hAnsi="Tahoma" w:cs="Tahoma"/>
          <w:sz w:val="20"/>
          <w:szCs w:val="20"/>
        </w:rPr>
        <w:t>work type.</w:t>
      </w:r>
    </w:p>
    <w:p w14:paraId="1E454109" w14:textId="1A98623E" w:rsidR="00E26749" w:rsidRPr="00AB35B2" w:rsidRDefault="00E26749" w:rsidP="00497943">
      <w:pPr>
        <w:rPr>
          <w:rFonts w:ascii="Tahoma" w:hAnsi="Tahoma" w:cs="Tahoma"/>
          <w:sz w:val="20"/>
          <w:szCs w:val="20"/>
        </w:rPr>
      </w:pPr>
      <w:r w:rsidRPr="00AB35B2">
        <w:rPr>
          <w:rFonts w:ascii="Tahoma" w:hAnsi="Tahoma" w:cs="Tahoma"/>
          <w:sz w:val="20"/>
          <w:szCs w:val="20"/>
        </w:rPr>
        <w:t>The amount of work a company currently has under contract is called “unearned work”. Unearned work includes work from all sources, not just INDOT.</w:t>
      </w:r>
      <w:r w:rsidR="00DE3D7B">
        <w:rPr>
          <w:rFonts w:ascii="Tahoma" w:hAnsi="Tahoma" w:cs="Tahoma"/>
          <w:sz w:val="20"/>
          <w:szCs w:val="20"/>
        </w:rPr>
        <w:t xml:space="preserve"> </w:t>
      </w:r>
      <w:r w:rsidR="00E44C2B" w:rsidRPr="002C5144">
        <w:rPr>
          <w:rStyle w:val="FootnoteReference"/>
          <w:rFonts w:ascii="Tahoma" w:hAnsi="Tahoma" w:cs="Tahoma"/>
          <w:b/>
          <w:bCs/>
        </w:rPr>
        <w:footnoteReference w:id="2"/>
      </w:r>
      <w:r w:rsidR="00E44C2B">
        <w:rPr>
          <w:rFonts w:ascii="Tahoma" w:hAnsi="Tahoma" w:cs="Tahoma"/>
          <w:sz w:val="20"/>
          <w:szCs w:val="20"/>
        </w:rPr>
        <w:t xml:space="preserve"> </w:t>
      </w:r>
      <w:r w:rsidRPr="00AB35B2">
        <w:rPr>
          <w:rFonts w:ascii="Tahoma" w:hAnsi="Tahoma" w:cs="Tahoma"/>
          <w:sz w:val="20"/>
          <w:szCs w:val="20"/>
        </w:rPr>
        <w:t xml:space="preserve"> </w:t>
      </w:r>
    </w:p>
    <w:p w14:paraId="0D95535B" w14:textId="17D99022" w:rsidR="00AB35B2" w:rsidRPr="00E44C2B" w:rsidRDefault="00E26749" w:rsidP="00497943">
      <w:pPr>
        <w:rPr>
          <w:rFonts w:ascii="Tahoma" w:hAnsi="Tahoma" w:cs="Tahoma"/>
          <w:sz w:val="20"/>
          <w:szCs w:val="20"/>
        </w:rPr>
      </w:pPr>
      <w:r w:rsidRPr="00AB35B2">
        <w:rPr>
          <w:rFonts w:ascii="Tahoma" w:hAnsi="Tahoma" w:cs="Tahoma"/>
          <w:sz w:val="20"/>
          <w:szCs w:val="20"/>
        </w:rPr>
        <w:t>The difference between a company’s</w:t>
      </w:r>
      <w:r w:rsidR="001F3F16" w:rsidRPr="00AB35B2">
        <w:rPr>
          <w:rFonts w:ascii="Tahoma" w:hAnsi="Tahoma" w:cs="Tahoma"/>
          <w:sz w:val="20"/>
          <w:szCs w:val="20"/>
        </w:rPr>
        <w:t xml:space="preserve"> unearned work </w:t>
      </w:r>
      <w:r w:rsidRPr="00AB35B2">
        <w:rPr>
          <w:rFonts w:ascii="Tahoma" w:hAnsi="Tahoma" w:cs="Tahoma"/>
          <w:sz w:val="20"/>
          <w:szCs w:val="20"/>
        </w:rPr>
        <w:t>and</w:t>
      </w:r>
      <w:r w:rsidR="001F3F16" w:rsidRPr="00AB35B2">
        <w:rPr>
          <w:rFonts w:ascii="Tahoma" w:hAnsi="Tahoma" w:cs="Tahoma"/>
          <w:sz w:val="20"/>
          <w:szCs w:val="20"/>
        </w:rPr>
        <w:t xml:space="preserve"> its aggregate rating</w:t>
      </w:r>
      <w:r w:rsidRPr="00AB35B2">
        <w:rPr>
          <w:rFonts w:ascii="Tahoma" w:hAnsi="Tahoma" w:cs="Tahoma"/>
          <w:sz w:val="20"/>
          <w:szCs w:val="20"/>
        </w:rPr>
        <w:t xml:space="preserve"> is referred to as “capacity”. A contractor’s capacity is the total amount of </w:t>
      </w:r>
      <w:r w:rsidR="00E44C2B">
        <w:rPr>
          <w:rFonts w:ascii="Tahoma" w:hAnsi="Tahoma" w:cs="Tahoma"/>
          <w:sz w:val="20"/>
          <w:szCs w:val="20"/>
        </w:rPr>
        <w:t xml:space="preserve">additional </w:t>
      </w:r>
      <w:r w:rsidRPr="00AB35B2">
        <w:rPr>
          <w:rFonts w:ascii="Tahoma" w:hAnsi="Tahoma" w:cs="Tahoma"/>
          <w:sz w:val="20"/>
          <w:szCs w:val="20"/>
        </w:rPr>
        <w:t xml:space="preserve">work </w:t>
      </w:r>
      <w:r w:rsidR="00E44C2B">
        <w:rPr>
          <w:rFonts w:ascii="Tahoma" w:hAnsi="Tahoma" w:cs="Tahoma"/>
          <w:sz w:val="20"/>
          <w:szCs w:val="20"/>
        </w:rPr>
        <w:t xml:space="preserve">the firm </w:t>
      </w:r>
      <w:r w:rsidRPr="00AB35B2">
        <w:rPr>
          <w:rFonts w:ascii="Tahoma" w:hAnsi="Tahoma" w:cs="Tahoma"/>
          <w:sz w:val="20"/>
          <w:szCs w:val="20"/>
        </w:rPr>
        <w:t>is eligible to complete at a given time. A company that does not have sufficient capacity to complete a work item is not qualified to bid or subcontract for that item.</w:t>
      </w:r>
    </w:p>
    <w:p w14:paraId="34AB8FAB" w14:textId="26250317" w:rsidR="00E26749" w:rsidRPr="00AB35B2" w:rsidRDefault="00E26749" w:rsidP="00497943">
      <w:pPr>
        <w:rPr>
          <w:rFonts w:ascii="Tahoma" w:hAnsi="Tahoma" w:cs="Tahoma"/>
          <w:b/>
          <w:sz w:val="20"/>
          <w:szCs w:val="20"/>
        </w:rPr>
      </w:pPr>
      <w:r w:rsidRPr="00AB35B2">
        <w:rPr>
          <w:rFonts w:ascii="Tahoma" w:hAnsi="Tahoma" w:cs="Tahoma"/>
          <w:b/>
          <w:sz w:val="20"/>
          <w:szCs w:val="20"/>
        </w:rPr>
        <w:t>Qualified and Responsible</w:t>
      </w:r>
      <w:r w:rsidR="004C7B9E">
        <w:rPr>
          <w:rFonts w:ascii="Tahoma" w:hAnsi="Tahoma" w:cs="Tahoma"/>
          <w:b/>
          <w:sz w:val="20"/>
          <w:szCs w:val="20"/>
        </w:rPr>
        <w:t xml:space="preserve"> (Contractor Performance Regulation) </w:t>
      </w:r>
    </w:p>
    <w:p w14:paraId="0C32D19C" w14:textId="646B10CF" w:rsidR="00566776" w:rsidRDefault="00AB35B2" w:rsidP="00497943">
      <w:pPr>
        <w:rPr>
          <w:rFonts w:ascii="Tahoma" w:hAnsi="Tahoma" w:cs="Tahoma"/>
          <w:sz w:val="20"/>
          <w:szCs w:val="20"/>
        </w:rPr>
      </w:pPr>
      <w:r>
        <w:rPr>
          <w:rFonts w:ascii="Tahoma" w:hAnsi="Tahoma" w:cs="Tahoma"/>
          <w:sz w:val="20"/>
          <w:szCs w:val="20"/>
        </w:rPr>
        <w:t xml:space="preserve">Only companies deemed qualified and responsible are eligible to do business with INDOT. </w:t>
      </w:r>
      <w:r w:rsidR="00215453">
        <w:rPr>
          <w:rFonts w:ascii="Tahoma" w:hAnsi="Tahoma" w:cs="Tahoma"/>
          <w:sz w:val="20"/>
          <w:szCs w:val="20"/>
        </w:rPr>
        <w:t>It is the responsibility of t</w:t>
      </w:r>
      <w:r w:rsidR="00461797">
        <w:rPr>
          <w:rFonts w:ascii="Tahoma" w:hAnsi="Tahoma" w:cs="Tahoma"/>
          <w:sz w:val="20"/>
          <w:szCs w:val="20"/>
        </w:rPr>
        <w:t xml:space="preserve">he </w:t>
      </w:r>
      <w:r w:rsidR="004C7B9E">
        <w:rPr>
          <w:rFonts w:ascii="Tahoma" w:hAnsi="Tahoma" w:cs="Tahoma"/>
          <w:sz w:val="20"/>
          <w:szCs w:val="20"/>
        </w:rPr>
        <w:t>p</w:t>
      </w:r>
      <w:r w:rsidR="00461797" w:rsidRPr="00AB35B2">
        <w:rPr>
          <w:rFonts w:ascii="Tahoma" w:hAnsi="Tahoma" w:cs="Tahoma"/>
          <w:sz w:val="20"/>
          <w:szCs w:val="20"/>
        </w:rPr>
        <w:t xml:space="preserve">requalification </w:t>
      </w:r>
      <w:r w:rsidR="004C7B9E">
        <w:rPr>
          <w:rFonts w:ascii="Tahoma" w:hAnsi="Tahoma" w:cs="Tahoma"/>
          <w:sz w:val="20"/>
          <w:szCs w:val="20"/>
        </w:rPr>
        <w:t>d</w:t>
      </w:r>
      <w:r w:rsidR="00461797" w:rsidRPr="00AB35B2">
        <w:rPr>
          <w:rFonts w:ascii="Tahoma" w:hAnsi="Tahoma" w:cs="Tahoma"/>
          <w:sz w:val="20"/>
          <w:szCs w:val="20"/>
        </w:rPr>
        <w:t>ivision</w:t>
      </w:r>
      <w:r>
        <w:rPr>
          <w:rFonts w:ascii="Tahoma" w:hAnsi="Tahoma" w:cs="Tahoma"/>
          <w:sz w:val="20"/>
          <w:szCs w:val="20"/>
        </w:rPr>
        <w:t xml:space="preserve"> </w:t>
      </w:r>
      <w:r w:rsidR="00215453">
        <w:rPr>
          <w:rFonts w:ascii="Tahoma" w:hAnsi="Tahoma" w:cs="Tahoma"/>
          <w:sz w:val="20"/>
          <w:szCs w:val="20"/>
        </w:rPr>
        <w:t xml:space="preserve">to determine the extent to which a company </w:t>
      </w:r>
      <w:r w:rsidR="00566776">
        <w:rPr>
          <w:rFonts w:ascii="Tahoma" w:hAnsi="Tahoma" w:cs="Tahoma"/>
          <w:sz w:val="20"/>
          <w:szCs w:val="20"/>
        </w:rPr>
        <w:t>should be</w:t>
      </w:r>
      <w:r w:rsidR="00215453">
        <w:rPr>
          <w:rFonts w:ascii="Tahoma" w:hAnsi="Tahoma" w:cs="Tahoma"/>
          <w:sz w:val="20"/>
          <w:szCs w:val="20"/>
        </w:rPr>
        <w:t xml:space="preserve"> eligible</w:t>
      </w:r>
      <w:r w:rsidR="00566776">
        <w:rPr>
          <w:rFonts w:ascii="Tahoma" w:hAnsi="Tahoma" w:cs="Tahoma"/>
          <w:sz w:val="20"/>
          <w:szCs w:val="20"/>
        </w:rPr>
        <w:t xml:space="preserve"> to bid and subcontract for INDOT work.</w:t>
      </w:r>
      <w:r w:rsidR="00215453">
        <w:rPr>
          <w:rFonts w:ascii="Tahoma" w:hAnsi="Tahoma" w:cs="Tahoma"/>
          <w:sz w:val="20"/>
          <w:szCs w:val="20"/>
        </w:rPr>
        <w:t xml:space="preserve"> </w:t>
      </w:r>
      <w:r w:rsidR="00566776">
        <w:rPr>
          <w:rFonts w:ascii="Tahoma" w:hAnsi="Tahoma" w:cs="Tahoma"/>
          <w:sz w:val="20"/>
          <w:szCs w:val="20"/>
        </w:rPr>
        <w:t xml:space="preserve">Eligibility is based on a thorough review of each company’s financial position, technical competency and experience, equipment and personnel, and performance history. Other factors such as business organization, safety record, and </w:t>
      </w:r>
      <w:r w:rsidR="00E13F34">
        <w:rPr>
          <w:rFonts w:ascii="Tahoma" w:hAnsi="Tahoma" w:cs="Tahoma"/>
          <w:sz w:val="20"/>
          <w:szCs w:val="20"/>
        </w:rPr>
        <w:t xml:space="preserve">professional </w:t>
      </w:r>
      <w:r w:rsidR="00E13F34">
        <w:rPr>
          <w:rFonts w:ascii="Tahoma" w:hAnsi="Tahoma" w:cs="Tahoma"/>
          <w:sz w:val="20"/>
          <w:szCs w:val="20"/>
        </w:rPr>
        <w:lastRenderedPageBreak/>
        <w:t xml:space="preserve">certifications are also considered, along with any other circumstance deemed relevant to the company’s qualifications and responsibility. </w:t>
      </w:r>
      <w:r w:rsidR="00566776">
        <w:rPr>
          <w:rFonts w:ascii="Tahoma" w:hAnsi="Tahoma" w:cs="Tahoma"/>
          <w:sz w:val="20"/>
          <w:szCs w:val="20"/>
        </w:rPr>
        <w:t xml:space="preserve"> </w:t>
      </w:r>
    </w:p>
    <w:p w14:paraId="4584ECA7" w14:textId="7C9DE922" w:rsidR="00E13F34" w:rsidRDefault="00E13F34" w:rsidP="00497943">
      <w:pPr>
        <w:rPr>
          <w:rFonts w:ascii="Tahoma" w:hAnsi="Tahoma" w:cs="Tahoma"/>
          <w:sz w:val="20"/>
          <w:szCs w:val="20"/>
        </w:rPr>
      </w:pPr>
      <w:r>
        <w:rPr>
          <w:rFonts w:ascii="Tahoma" w:hAnsi="Tahoma" w:cs="Tahoma"/>
          <w:sz w:val="20"/>
          <w:szCs w:val="20"/>
        </w:rPr>
        <w:t xml:space="preserve">A company’s eligibility is regulated throughout the duration of their certificate of qualification. If performance issues are identified after a certificate is issued, those issues will be addressed by the prequalification division through an escalatory process beginning with informal meetings and site visits and in some instances progressing to adverse action by the Prequalification Committee. The singular goal of the prequalification division’s performance regulation is to facilitate improved project delivery and to enhance the regulated firm’s partnership with INDOT. Punishment is never the objective of such proceedings and is not the framework in which INDOT operates the prequalification program.   </w:t>
      </w:r>
    </w:p>
    <w:p w14:paraId="0F5EAEC4" w14:textId="19E81650" w:rsidR="004C7B9E" w:rsidRDefault="00E13F34" w:rsidP="00497943">
      <w:pPr>
        <w:rPr>
          <w:rFonts w:ascii="Tahoma" w:hAnsi="Tahoma" w:cs="Tahoma"/>
          <w:sz w:val="20"/>
          <w:szCs w:val="20"/>
        </w:rPr>
      </w:pPr>
      <w:r>
        <w:rPr>
          <w:rFonts w:ascii="Tahoma" w:hAnsi="Tahoma" w:cs="Tahoma"/>
          <w:sz w:val="20"/>
          <w:szCs w:val="20"/>
        </w:rPr>
        <w:t xml:space="preserve">In the event a matter is escalated to the Prequalification Committee, the subject contractor will be given </w:t>
      </w:r>
      <w:r w:rsidR="004C7B9E">
        <w:rPr>
          <w:rFonts w:ascii="Tahoma" w:hAnsi="Tahoma" w:cs="Tahoma"/>
          <w:sz w:val="20"/>
          <w:szCs w:val="20"/>
        </w:rPr>
        <w:t xml:space="preserve">no less than thirty (30) </w:t>
      </w:r>
      <w:proofErr w:type="spellStart"/>
      <w:r w:rsidR="004C7B9E">
        <w:rPr>
          <w:rFonts w:ascii="Tahoma" w:hAnsi="Tahoma" w:cs="Tahoma"/>
          <w:sz w:val="20"/>
          <w:szCs w:val="20"/>
        </w:rPr>
        <w:t xml:space="preserve">days </w:t>
      </w:r>
      <w:r>
        <w:rPr>
          <w:rFonts w:ascii="Tahoma" w:hAnsi="Tahoma" w:cs="Tahoma"/>
          <w:sz w:val="20"/>
          <w:szCs w:val="20"/>
        </w:rPr>
        <w:t>notice</w:t>
      </w:r>
      <w:proofErr w:type="spellEnd"/>
      <w:r>
        <w:rPr>
          <w:rFonts w:ascii="Tahoma" w:hAnsi="Tahoma" w:cs="Tahoma"/>
          <w:sz w:val="20"/>
          <w:szCs w:val="20"/>
        </w:rPr>
        <w:t xml:space="preserve"> of the date and time of the proceedings and given the opportunity to be heard </w:t>
      </w:r>
      <w:r w:rsidR="004C7B9E">
        <w:rPr>
          <w:rFonts w:ascii="Tahoma" w:hAnsi="Tahoma" w:cs="Tahoma"/>
          <w:sz w:val="20"/>
          <w:szCs w:val="20"/>
        </w:rPr>
        <w:t>by the Committee at such time</w:t>
      </w:r>
      <w:r>
        <w:rPr>
          <w:rFonts w:ascii="Tahoma" w:hAnsi="Tahoma" w:cs="Tahoma"/>
          <w:sz w:val="20"/>
          <w:szCs w:val="20"/>
        </w:rPr>
        <w:t xml:space="preserve">. </w:t>
      </w:r>
      <w:r w:rsidR="004C7B9E">
        <w:rPr>
          <w:rFonts w:ascii="Tahoma" w:hAnsi="Tahoma" w:cs="Tahoma"/>
          <w:sz w:val="20"/>
          <w:szCs w:val="20"/>
        </w:rPr>
        <w:t>Proceedings before the Prequalification Committee are a last resort measure</w:t>
      </w:r>
      <w:r>
        <w:rPr>
          <w:rFonts w:ascii="Tahoma" w:hAnsi="Tahoma" w:cs="Tahoma"/>
          <w:sz w:val="20"/>
          <w:szCs w:val="20"/>
        </w:rPr>
        <w:t xml:space="preserve"> </w:t>
      </w:r>
      <w:r w:rsidR="004C7B9E">
        <w:rPr>
          <w:rFonts w:ascii="Tahoma" w:hAnsi="Tahoma" w:cs="Tahoma"/>
          <w:sz w:val="20"/>
          <w:szCs w:val="20"/>
        </w:rPr>
        <w:t xml:space="preserve">and, absent some extreme circumstance, will only be pursued after months of informal collaboration targeted at resolving the underlying performance shortcomings. As part of a company’s prequalification, it is expected that firm principals and personnel will work with INDOT to resolve performance shortcomings as they arise and engage fully in the performance matter process. Most contractors who end up before the Prequalification Committee have either failed to adequately engage in the performance matter process or otherwise inadequately rectify identified shortcomings. </w:t>
      </w:r>
    </w:p>
    <w:p w14:paraId="645C4000" w14:textId="414123E9" w:rsidR="00D83A2E" w:rsidRPr="006618A5" w:rsidRDefault="00D83A2E" w:rsidP="00497943">
      <w:pPr>
        <w:rPr>
          <w:rFonts w:ascii="Tahoma" w:hAnsi="Tahoma" w:cs="Tahoma"/>
          <w:b/>
          <w:sz w:val="20"/>
          <w:szCs w:val="20"/>
        </w:rPr>
      </w:pPr>
      <w:r w:rsidRPr="006618A5">
        <w:rPr>
          <w:rFonts w:ascii="Tahoma" w:hAnsi="Tahoma" w:cs="Tahoma"/>
          <w:b/>
          <w:sz w:val="20"/>
          <w:szCs w:val="20"/>
        </w:rPr>
        <w:t>Contractor Prequalification Contacts</w:t>
      </w:r>
    </w:p>
    <w:p w14:paraId="42103809" w14:textId="77777777" w:rsidR="00D83A2E" w:rsidRPr="006618A5" w:rsidRDefault="00D83A2E" w:rsidP="00497943">
      <w:pPr>
        <w:rPr>
          <w:rFonts w:ascii="Tahoma" w:hAnsi="Tahoma" w:cs="Tahoma"/>
          <w:sz w:val="20"/>
          <w:szCs w:val="20"/>
        </w:rPr>
      </w:pPr>
      <w:r w:rsidRPr="006618A5">
        <w:rPr>
          <w:rFonts w:ascii="Tahoma" w:hAnsi="Tahoma" w:cs="Tahoma"/>
          <w:sz w:val="20"/>
          <w:szCs w:val="20"/>
        </w:rPr>
        <w:t>General application and technology related questions should be directed to Aggie Wagoner, Prequalification Specialist (</w:t>
      </w:r>
      <w:hyperlink r:id="rId11" w:history="1">
        <w:r w:rsidRPr="006618A5">
          <w:rPr>
            <w:rStyle w:val="Hyperlink"/>
            <w:rFonts w:ascii="Tahoma" w:hAnsi="Tahoma" w:cs="Tahoma"/>
            <w:sz w:val="20"/>
            <w:szCs w:val="20"/>
            <w:u w:val="none"/>
          </w:rPr>
          <w:t>AWagoner@indot.IN.gov</w:t>
        </w:r>
      </w:hyperlink>
      <w:r w:rsidRPr="006618A5">
        <w:rPr>
          <w:rFonts w:ascii="Tahoma" w:hAnsi="Tahoma" w:cs="Tahoma"/>
          <w:sz w:val="20"/>
          <w:szCs w:val="20"/>
        </w:rPr>
        <w:t xml:space="preserve">). </w:t>
      </w:r>
    </w:p>
    <w:p w14:paraId="03428AAA" w14:textId="77777777" w:rsidR="00D83A2E" w:rsidRPr="006618A5" w:rsidRDefault="00D83A2E" w:rsidP="00497943">
      <w:pPr>
        <w:rPr>
          <w:rFonts w:ascii="Tahoma" w:hAnsi="Tahoma" w:cs="Tahoma"/>
          <w:sz w:val="20"/>
          <w:szCs w:val="20"/>
        </w:rPr>
      </w:pPr>
      <w:r w:rsidRPr="006618A5">
        <w:rPr>
          <w:rFonts w:ascii="Tahoma" w:hAnsi="Tahoma" w:cs="Tahoma"/>
          <w:sz w:val="20"/>
          <w:szCs w:val="20"/>
        </w:rPr>
        <w:t>Questions regarding the financial requirements should be directed to Greg Christoff, Prequalification Auditor (</w:t>
      </w:r>
      <w:hyperlink r:id="rId12" w:history="1">
        <w:r w:rsidRPr="006618A5">
          <w:rPr>
            <w:rStyle w:val="Hyperlink"/>
            <w:rFonts w:ascii="Tahoma" w:hAnsi="Tahoma" w:cs="Tahoma"/>
            <w:sz w:val="20"/>
            <w:szCs w:val="20"/>
            <w:u w:val="none"/>
          </w:rPr>
          <w:t>GChristoff@indot.IN.gov</w:t>
        </w:r>
      </w:hyperlink>
      <w:r w:rsidRPr="006618A5">
        <w:rPr>
          <w:rFonts w:ascii="Tahoma" w:hAnsi="Tahoma" w:cs="Tahoma"/>
          <w:sz w:val="20"/>
          <w:szCs w:val="20"/>
        </w:rPr>
        <w:t>).</w:t>
      </w:r>
    </w:p>
    <w:p w14:paraId="2ACE439F" w14:textId="62FDB3F2" w:rsidR="00D83A2E" w:rsidRDefault="00D83A2E" w:rsidP="00497943">
      <w:pPr>
        <w:rPr>
          <w:rFonts w:ascii="Tahoma" w:hAnsi="Tahoma" w:cs="Tahoma"/>
          <w:sz w:val="20"/>
          <w:szCs w:val="20"/>
        </w:rPr>
      </w:pPr>
      <w:r w:rsidRPr="006618A5">
        <w:rPr>
          <w:rFonts w:ascii="Tahoma" w:hAnsi="Tahoma" w:cs="Tahoma"/>
          <w:sz w:val="20"/>
          <w:szCs w:val="20"/>
        </w:rPr>
        <w:t>Questions about work types and other technical matters should be directed to Jose Murillo, Prequalification Engineer (</w:t>
      </w:r>
      <w:hyperlink r:id="rId13" w:history="1">
        <w:r w:rsidRPr="006618A5">
          <w:rPr>
            <w:rStyle w:val="Hyperlink"/>
            <w:rFonts w:ascii="Tahoma" w:hAnsi="Tahoma" w:cs="Tahoma"/>
            <w:sz w:val="20"/>
            <w:szCs w:val="20"/>
          </w:rPr>
          <w:t>JoMurillo@indot.IN.gov</w:t>
        </w:r>
      </w:hyperlink>
      <w:r w:rsidRPr="006618A5">
        <w:rPr>
          <w:rFonts w:ascii="Tahoma" w:hAnsi="Tahoma" w:cs="Tahoma"/>
          <w:sz w:val="20"/>
          <w:szCs w:val="20"/>
        </w:rPr>
        <w:t xml:space="preserve">). </w:t>
      </w:r>
    </w:p>
    <w:p w14:paraId="39ED396F" w14:textId="3921CE88" w:rsidR="00DE3D7B" w:rsidRPr="006618A5" w:rsidRDefault="002C5144" w:rsidP="00497943">
      <w:pPr>
        <w:rPr>
          <w:rFonts w:ascii="Tahoma" w:hAnsi="Tahoma" w:cs="Tahoma"/>
          <w:sz w:val="20"/>
          <w:szCs w:val="20"/>
        </w:rPr>
      </w:pPr>
      <w:r>
        <w:rPr>
          <w:rFonts w:ascii="Tahoma" w:hAnsi="Tahoma" w:cs="Tahoma"/>
          <w:sz w:val="20"/>
          <w:szCs w:val="20"/>
        </w:rPr>
        <w:t>Questions about technical and performance issues, including equipment and work type requirements, should be directed to Pat Goralski (</w:t>
      </w:r>
      <w:hyperlink r:id="rId14" w:history="1">
        <w:r w:rsidRPr="00B56262">
          <w:rPr>
            <w:rStyle w:val="Hyperlink"/>
            <w:rFonts w:ascii="Tahoma" w:hAnsi="Tahoma" w:cs="Tahoma"/>
            <w:sz w:val="20"/>
            <w:szCs w:val="20"/>
          </w:rPr>
          <w:t>PGoralski@indot.IN.gov</w:t>
        </w:r>
      </w:hyperlink>
      <w:r>
        <w:rPr>
          <w:rFonts w:ascii="Tahoma" w:hAnsi="Tahoma" w:cs="Tahoma"/>
          <w:sz w:val="20"/>
          <w:szCs w:val="20"/>
        </w:rPr>
        <w:t xml:space="preserve">). </w:t>
      </w:r>
    </w:p>
    <w:p w14:paraId="30379242" w14:textId="0165CD9E" w:rsidR="00CF3B3E" w:rsidRPr="006618A5" w:rsidRDefault="00D83A2E" w:rsidP="00497943">
      <w:pPr>
        <w:rPr>
          <w:rFonts w:ascii="Tahoma" w:hAnsi="Tahoma" w:cs="Tahoma"/>
          <w:sz w:val="20"/>
          <w:szCs w:val="20"/>
        </w:rPr>
      </w:pPr>
      <w:r w:rsidRPr="006618A5">
        <w:rPr>
          <w:rFonts w:ascii="Tahoma" w:hAnsi="Tahoma" w:cs="Tahoma"/>
          <w:sz w:val="20"/>
          <w:szCs w:val="20"/>
        </w:rPr>
        <w:t xml:space="preserve">Legal and </w:t>
      </w:r>
      <w:r w:rsidR="002C5144">
        <w:rPr>
          <w:rFonts w:ascii="Tahoma" w:hAnsi="Tahoma" w:cs="Tahoma"/>
          <w:sz w:val="20"/>
          <w:szCs w:val="20"/>
        </w:rPr>
        <w:t>administrative</w:t>
      </w:r>
      <w:r w:rsidRPr="006618A5">
        <w:rPr>
          <w:rFonts w:ascii="Tahoma" w:hAnsi="Tahoma" w:cs="Tahoma"/>
          <w:sz w:val="20"/>
          <w:szCs w:val="20"/>
        </w:rPr>
        <w:t xml:space="preserve"> issues can be directed to Chris Serak, Prequalification Director</w:t>
      </w:r>
      <w:r w:rsidR="002C5144">
        <w:rPr>
          <w:rFonts w:ascii="Tahoma" w:hAnsi="Tahoma" w:cs="Tahoma"/>
          <w:sz w:val="20"/>
          <w:szCs w:val="20"/>
        </w:rPr>
        <w:t xml:space="preserve"> &amp; Ethics Officer</w:t>
      </w:r>
      <w:r w:rsidRPr="006618A5">
        <w:rPr>
          <w:rFonts w:ascii="Tahoma" w:hAnsi="Tahoma" w:cs="Tahoma"/>
          <w:sz w:val="20"/>
          <w:szCs w:val="20"/>
        </w:rPr>
        <w:t xml:space="preserve"> (</w:t>
      </w:r>
      <w:hyperlink r:id="rId15" w:history="1">
        <w:r w:rsidR="002C5144" w:rsidRPr="00B56262">
          <w:rPr>
            <w:rStyle w:val="Hyperlink"/>
            <w:rFonts w:ascii="Tahoma" w:hAnsi="Tahoma" w:cs="Tahoma"/>
            <w:sz w:val="20"/>
            <w:szCs w:val="20"/>
          </w:rPr>
          <w:t>ChSerak@indot.in.gov</w:t>
        </w:r>
      </w:hyperlink>
      <w:r w:rsidR="002C5144">
        <w:rPr>
          <w:rFonts w:ascii="Tahoma" w:hAnsi="Tahoma" w:cs="Tahoma"/>
          <w:sz w:val="20"/>
          <w:szCs w:val="20"/>
        </w:rPr>
        <w:t>)</w:t>
      </w:r>
      <w:r w:rsidRPr="006618A5">
        <w:rPr>
          <w:rFonts w:ascii="Tahoma" w:hAnsi="Tahoma" w:cs="Tahoma"/>
          <w:sz w:val="20"/>
          <w:szCs w:val="20"/>
        </w:rPr>
        <w:t xml:space="preserve">. </w:t>
      </w:r>
    </w:p>
    <w:sectPr w:rsidR="00CF3B3E" w:rsidRPr="006618A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169E" w14:textId="77777777" w:rsidR="00F20A0C" w:rsidRDefault="00F20A0C" w:rsidP="00E26749">
      <w:pPr>
        <w:spacing w:after="0" w:line="240" w:lineRule="auto"/>
      </w:pPr>
      <w:r>
        <w:separator/>
      </w:r>
    </w:p>
  </w:endnote>
  <w:endnote w:type="continuationSeparator" w:id="0">
    <w:p w14:paraId="3DB3DF34" w14:textId="77777777" w:rsidR="00F20A0C" w:rsidRDefault="00F20A0C" w:rsidP="00E2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F88B3" w14:textId="77777777" w:rsidR="00AB35B2" w:rsidRDefault="00AB35B2" w:rsidP="00AB35B2">
    <w:pPr>
      <w:pStyle w:val="Footer"/>
    </w:pPr>
  </w:p>
  <w:p w14:paraId="23DC37DC" w14:textId="77777777" w:rsidR="00AB35B2" w:rsidRPr="00AB35B2" w:rsidRDefault="00AB35B2">
    <w:pPr>
      <w:pStyle w:val="Footer"/>
      <w:jc w:val="right"/>
      <w:rPr>
        <w:rFonts w:ascii="Tahoma" w:hAnsi="Tahoma" w:cs="Tahoma"/>
        <w:sz w:val="18"/>
        <w:szCs w:val="18"/>
      </w:rPr>
    </w:pPr>
    <w:r w:rsidRPr="00AB35B2">
      <w:rPr>
        <w:rFonts w:ascii="Tahoma" w:hAnsi="Tahoma" w:cs="Tahoma"/>
        <w:sz w:val="18"/>
        <w:szCs w:val="18"/>
      </w:rPr>
      <w:t xml:space="preserve">Introduction to Contractor Prequalification </w:t>
    </w:r>
    <w:r w:rsidRPr="00AB35B2">
      <w:rPr>
        <w:rFonts w:ascii="Tahoma" w:hAnsi="Tahoma" w:cs="Tahoma"/>
        <w:sz w:val="18"/>
        <w:szCs w:val="18"/>
      </w:rPr>
      <w:tab/>
    </w:r>
    <w:r w:rsidRPr="00AB35B2">
      <w:rPr>
        <w:rFonts w:ascii="Tahoma" w:hAnsi="Tahoma" w:cs="Tahoma"/>
        <w:sz w:val="18"/>
        <w:szCs w:val="18"/>
      </w:rPr>
      <w:tab/>
      <w:t xml:space="preserve">Page </w:t>
    </w:r>
    <w:sdt>
      <w:sdtPr>
        <w:rPr>
          <w:rFonts w:ascii="Tahoma" w:hAnsi="Tahoma" w:cs="Tahoma"/>
          <w:sz w:val="18"/>
          <w:szCs w:val="18"/>
        </w:rPr>
        <w:id w:val="378754696"/>
        <w:docPartObj>
          <w:docPartGallery w:val="Page Numbers (Bottom of Page)"/>
          <w:docPartUnique/>
        </w:docPartObj>
      </w:sdtPr>
      <w:sdtEndPr>
        <w:rPr>
          <w:noProof/>
        </w:rPr>
      </w:sdtEndPr>
      <w:sdtContent>
        <w:r w:rsidRPr="00AB35B2">
          <w:rPr>
            <w:rFonts w:ascii="Tahoma" w:hAnsi="Tahoma" w:cs="Tahoma"/>
            <w:sz w:val="18"/>
            <w:szCs w:val="18"/>
          </w:rPr>
          <w:fldChar w:fldCharType="begin"/>
        </w:r>
        <w:r w:rsidRPr="00AB35B2">
          <w:rPr>
            <w:rFonts w:ascii="Tahoma" w:hAnsi="Tahoma" w:cs="Tahoma"/>
            <w:sz w:val="18"/>
            <w:szCs w:val="18"/>
          </w:rPr>
          <w:instrText xml:space="preserve"> PAGE   \* MERGEFORMAT </w:instrText>
        </w:r>
        <w:r w:rsidRPr="00AB35B2">
          <w:rPr>
            <w:rFonts w:ascii="Tahoma" w:hAnsi="Tahoma" w:cs="Tahoma"/>
            <w:sz w:val="18"/>
            <w:szCs w:val="18"/>
          </w:rPr>
          <w:fldChar w:fldCharType="separate"/>
        </w:r>
        <w:r w:rsidR="00BD5B67">
          <w:rPr>
            <w:rFonts w:ascii="Tahoma" w:hAnsi="Tahoma" w:cs="Tahoma"/>
            <w:noProof/>
            <w:sz w:val="18"/>
            <w:szCs w:val="18"/>
          </w:rPr>
          <w:t>1</w:t>
        </w:r>
        <w:r w:rsidRPr="00AB35B2">
          <w:rPr>
            <w:rFonts w:ascii="Tahoma" w:hAnsi="Tahoma" w:cs="Tahoma"/>
            <w:noProof/>
            <w:sz w:val="18"/>
            <w:szCs w:val="18"/>
          </w:rPr>
          <w:fldChar w:fldCharType="end"/>
        </w:r>
      </w:sdtContent>
    </w:sdt>
  </w:p>
  <w:p w14:paraId="5257BE13" w14:textId="77777777" w:rsidR="00AB35B2" w:rsidRDefault="00AB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712CA" w14:textId="77777777" w:rsidR="00F20A0C" w:rsidRDefault="00F20A0C" w:rsidP="00E26749">
      <w:pPr>
        <w:spacing w:after="0" w:line="240" w:lineRule="auto"/>
      </w:pPr>
      <w:r>
        <w:separator/>
      </w:r>
    </w:p>
  </w:footnote>
  <w:footnote w:type="continuationSeparator" w:id="0">
    <w:p w14:paraId="765F92B5" w14:textId="77777777" w:rsidR="00F20A0C" w:rsidRDefault="00F20A0C" w:rsidP="00E26749">
      <w:pPr>
        <w:spacing w:after="0" w:line="240" w:lineRule="auto"/>
      </w:pPr>
      <w:r>
        <w:continuationSeparator/>
      </w:r>
    </w:p>
  </w:footnote>
  <w:footnote w:id="1">
    <w:p w14:paraId="76316F07" w14:textId="6228C564" w:rsidR="00FE4F42" w:rsidRDefault="00FE4F42">
      <w:pPr>
        <w:pStyle w:val="FootnoteText"/>
      </w:pPr>
      <w:r>
        <w:rPr>
          <w:rStyle w:val="FootnoteReference"/>
        </w:rPr>
        <w:footnoteRef/>
      </w:r>
      <w:r>
        <w:t xml:space="preserve"> Firms providing services for an INDOT project are referred to as “consultants” and must be prequalified pursuant to the consultant prequalification process outlined in the </w:t>
      </w:r>
      <w:hyperlink r:id="rId1" w:history="1">
        <w:r>
          <w:rPr>
            <w:rStyle w:val="Hyperlink"/>
          </w:rPr>
          <w:t>Consultant Prequalification Manual</w:t>
        </w:r>
        <w:r w:rsidRPr="00FE4F42">
          <w:rPr>
            <w:rStyle w:val="Hyperlink"/>
            <w:color w:val="auto"/>
            <w:u w:val="none"/>
          </w:rPr>
          <w:t>.</w:t>
        </w:r>
        <w:r>
          <w:rPr>
            <w:rStyle w:val="Hyperlink"/>
          </w:rPr>
          <w:t xml:space="preserve">  </w:t>
        </w:r>
      </w:hyperlink>
      <w:r>
        <w:t xml:space="preserve"> </w:t>
      </w:r>
    </w:p>
  </w:footnote>
  <w:footnote w:id="2">
    <w:p w14:paraId="12471C13" w14:textId="4813A827" w:rsidR="00E44C2B" w:rsidRDefault="00E44C2B">
      <w:pPr>
        <w:pStyle w:val="FootnoteText"/>
      </w:pPr>
      <w:r>
        <w:rPr>
          <w:rStyle w:val="FootnoteReference"/>
        </w:rPr>
        <w:footnoteRef/>
      </w:r>
      <w:r>
        <w:t xml:space="preserve"> </w:t>
      </w:r>
      <w:r w:rsidRPr="00E44C2B">
        <w:t xml:space="preserve">For </w:t>
      </w:r>
      <w:r w:rsidR="00566776">
        <w:t>non-</w:t>
      </w:r>
      <w:r w:rsidRPr="00E44C2B">
        <w:t>prequalified subcontractors doing less than $300K in total INDOT work at any time, unearned work refers to INDOT work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4C8"/>
    <w:multiLevelType w:val="hybridMultilevel"/>
    <w:tmpl w:val="C2EC88C0"/>
    <w:lvl w:ilvl="0" w:tplc="BC10419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60197"/>
    <w:multiLevelType w:val="hybridMultilevel"/>
    <w:tmpl w:val="22BCFB44"/>
    <w:lvl w:ilvl="0" w:tplc="1A42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6D77"/>
    <w:multiLevelType w:val="hybridMultilevel"/>
    <w:tmpl w:val="F7C4A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52590"/>
    <w:multiLevelType w:val="hybridMultilevel"/>
    <w:tmpl w:val="5A6C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058E1"/>
    <w:multiLevelType w:val="hybridMultilevel"/>
    <w:tmpl w:val="552CECD0"/>
    <w:lvl w:ilvl="0" w:tplc="82AC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4193B"/>
    <w:multiLevelType w:val="hybridMultilevel"/>
    <w:tmpl w:val="45FA05D4"/>
    <w:lvl w:ilvl="0" w:tplc="C4709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14730"/>
    <w:multiLevelType w:val="hybridMultilevel"/>
    <w:tmpl w:val="92904492"/>
    <w:lvl w:ilvl="0" w:tplc="DE1C7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D2"/>
    <w:rsid w:val="00012154"/>
    <w:rsid w:val="000342A2"/>
    <w:rsid w:val="000C5397"/>
    <w:rsid w:val="0017769F"/>
    <w:rsid w:val="001F3F16"/>
    <w:rsid w:val="00215453"/>
    <w:rsid w:val="002C5144"/>
    <w:rsid w:val="00444DDB"/>
    <w:rsid w:val="00461797"/>
    <w:rsid w:val="00497943"/>
    <w:rsid w:val="004C5584"/>
    <w:rsid w:val="004C7B9E"/>
    <w:rsid w:val="00566776"/>
    <w:rsid w:val="005A5FD2"/>
    <w:rsid w:val="00631EC7"/>
    <w:rsid w:val="006618A5"/>
    <w:rsid w:val="00684914"/>
    <w:rsid w:val="0072375F"/>
    <w:rsid w:val="00751C8C"/>
    <w:rsid w:val="00797549"/>
    <w:rsid w:val="00A44582"/>
    <w:rsid w:val="00AB35B2"/>
    <w:rsid w:val="00AB5421"/>
    <w:rsid w:val="00BA645A"/>
    <w:rsid w:val="00BD5B67"/>
    <w:rsid w:val="00CF3B3E"/>
    <w:rsid w:val="00D83A2E"/>
    <w:rsid w:val="00DC6B9B"/>
    <w:rsid w:val="00DE3D7B"/>
    <w:rsid w:val="00E13F34"/>
    <w:rsid w:val="00E26749"/>
    <w:rsid w:val="00E44C2B"/>
    <w:rsid w:val="00EF759E"/>
    <w:rsid w:val="00F20A0C"/>
    <w:rsid w:val="00FE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0A93"/>
  <w15:chartTrackingRefBased/>
  <w15:docId w15:val="{F583F174-692D-45E0-816E-2ED5E631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D2"/>
    <w:pPr>
      <w:spacing w:line="256" w:lineRule="auto"/>
    </w:pPr>
  </w:style>
  <w:style w:type="paragraph" w:styleId="Heading2">
    <w:name w:val="heading 2"/>
    <w:basedOn w:val="Normal"/>
    <w:next w:val="Normal"/>
    <w:link w:val="Heading2Char"/>
    <w:uiPriority w:val="9"/>
    <w:unhideWhenUsed/>
    <w:qFormat/>
    <w:rsid w:val="005A5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F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A5FD2"/>
    <w:pPr>
      <w:ind w:left="720"/>
      <w:contextualSpacing/>
    </w:pPr>
  </w:style>
  <w:style w:type="character" w:styleId="Hyperlink">
    <w:name w:val="Hyperlink"/>
    <w:basedOn w:val="DefaultParagraphFont"/>
    <w:uiPriority w:val="99"/>
    <w:unhideWhenUsed/>
    <w:rsid w:val="000C5397"/>
    <w:rPr>
      <w:color w:val="0563C1" w:themeColor="hyperlink"/>
      <w:u w:val="single"/>
    </w:rPr>
  </w:style>
  <w:style w:type="paragraph" w:styleId="Header">
    <w:name w:val="header"/>
    <w:basedOn w:val="Normal"/>
    <w:link w:val="HeaderChar"/>
    <w:uiPriority w:val="99"/>
    <w:unhideWhenUsed/>
    <w:rsid w:val="00E2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49"/>
  </w:style>
  <w:style w:type="paragraph" w:styleId="Footer">
    <w:name w:val="footer"/>
    <w:basedOn w:val="Normal"/>
    <w:link w:val="FooterChar"/>
    <w:uiPriority w:val="99"/>
    <w:unhideWhenUsed/>
    <w:rsid w:val="00E2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49"/>
  </w:style>
  <w:style w:type="paragraph" w:styleId="FootnoteText">
    <w:name w:val="footnote text"/>
    <w:basedOn w:val="Normal"/>
    <w:link w:val="FootnoteTextChar"/>
    <w:uiPriority w:val="99"/>
    <w:semiHidden/>
    <w:unhideWhenUsed/>
    <w:rsid w:val="00FE4F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F42"/>
    <w:rPr>
      <w:sz w:val="20"/>
      <w:szCs w:val="20"/>
    </w:rPr>
  </w:style>
  <w:style w:type="character" w:styleId="FootnoteReference">
    <w:name w:val="footnote reference"/>
    <w:basedOn w:val="DefaultParagraphFont"/>
    <w:uiPriority w:val="99"/>
    <w:semiHidden/>
    <w:unhideWhenUsed/>
    <w:rsid w:val="00FE4F42"/>
    <w:rPr>
      <w:vertAlign w:val="superscript"/>
    </w:rPr>
  </w:style>
  <w:style w:type="character" w:styleId="UnresolvedMention">
    <w:name w:val="Unresolved Mention"/>
    <w:basedOn w:val="DefaultParagraphFont"/>
    <w:uiPriority w:val="99"/>
    <w:semiHidden/>
    <w:unhideWhenUsed/>
    <w:rsid w:val="00FE4F42"/>
    <w:rPr>
      <w:color w:val="605E5C"/>
      <w:shd w:val="clear" w:color="auto" w:fill="E1DFDD"/>
    </w:rPr>
  </w:style>
  <w:style w:type="character" w:styleId="FollowedHyperlink">
    <w:name w:val="FollowedHyperlink"/>
    <w:basedOn w:val="DefaultParagraphFont"/>
    <w:uiPriority w:val="99"/>
    <w:semiHidden/>
    <w:unhideWhenUsed/>
    <w:rsid w:val="00797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0834">
      <w:bodyDiv w:val="1"/>
      <w:marLeft w:val="0"/>
      <w:marRight w:val="0"/>
      <w:marTop w:val="0"/>
      <w:marBottom w:val="0"/>
      <w:divBdr>
        <w:top w:val="none" w:sz="0" w:space="0" w:color="auto"/>
        <w:left w:val="none" w:sz="0" w:space="0" w:color="auto"/>
        <w:bottom w:val="none" w:sz="0" w:space="0" w:color="auto"/>
        <w:right w:val="none" w:sz="0" w:space="0" w:color="auto"/>
      </w:divBdr>
    </w:div>
    <w:div w:id="139080287">
      <w:bodyDiv w:val="1"/>
      <w:marLeft w:val="0"/>
      <w:marRight w:val="0"/>
      <w:marTop w:val="0"/>
      <w:marBottom w:val="0"/>
      <w:divBdr>
        <w:top w:val="none" w:sz="0" w:space="0" w:color="auto"/>
        <w:left w:val="none" w:sz="0" w:space="0" w:color="auto"/>
        <w:bottom w:val="none" w:sz="0" w:space="0" w:color="auto"/>
        <w:right w:val="none" w:sz="0" w:space="0" w:color="auto"/>
      </w:divBdr>
    </w:div>
    <w:div w:id="213784591">
      <w:bodyDiv w:val="1"/>
      <w:marLeft w:val="0"/>
      <w:marRight w:val="0"/>
      <w:marTop w:val="0"/>
      <w:marBottom w:val="0"/>
      <w:divBdr>
        <w:top w:val="none" w:sz="0" w:space="0" w:color="auto"/>
        <w:left w:val="none" w:sz="0" w:space="0" w:color="auto"/>
        <w:bottom w:val="none" w:sz="0" w:space="0" w:color="auto"/>
        <w:right w:val="none" w:sz="0" w:space="0" w:color="auto"/>
      </w:divBdr>
    </w:div>
    <w:div w:id="19251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ndot/files/User%20Guide%20for%20CPQ.pdf" TargetMode="External"/><Relationship Id="rId13" Type="http://schemas.openxmlformats.org/officeDocument/2006/relationships/hyperlink" Target="mailto:JoMurillo@indot.IN.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hristoff@indot.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goner@indot.IN.gov" TargetMode="External"/><Relationship Id="rId5" Type="http://schemas.openxmlformats.org/officeDocument/2006/relationships/webSettings" Target="webSettings.xml"/><Relationship Id="rId15" Type="http://schemas.openxmlformats.org/officeDocument/2006/relationships/hyperlink" Target="mailto:ChSerak@indot.in.gov" TargetMode="External"/><Relationship Id="rId10" Type="http://schemas.openxmlformats.org/officeDocument/2006/relationships/hyperlink" Target="https://www.in.gov/indot/files/Alphanumeric%20Work%20Types.pdf" TargetMode="External"/><Relationship Id="rId4" Type="http://schemas.openxmlformats.org/officeDocument/2006/relationships/settings" Target="settings.xml"/><Relationship Id="rId9" Type="http://schemas.openxmlformats.org/officeDocument/2006/relationships/hyperlink" Target="https://youtu.be/54KZ7KsmX6M" TargetMode="External"/><Relationship Id="rId14" Type="http://schemas.openxmlformats.org/officeDocument/2006/relationships/hyperlink" Target="mailto:PGoralski@indot.IN.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gov/indot/files/Consultant%20Prequalification%20Manual%20-%20Phase%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A4D5-831B-445E-BD30-D03622F8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Serak, Chris (INDOT)</dc:creator>
  <cp:keywords/>
  <dc:description/>
  <cp:lastModifiedBy>Serak, Chris (INDOT)</cp:lastModifiedBy>
  <cp:revision>3</cp:revision>
  <dcterms:created xsi:type="dcterms:W3CDTF">2021-02-16T17:29:00Z</dcterms:created>
  <dcterms:modified xsi:type="dcterms:W3CDTF">2021-02-16T18:21:00Z</dcterms:modified>
</cp:coreProperties>
</file>