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160" w:horzAnchor="page" w:tblpX="676" w:tblpY="-885"/>
        <w:tblW w:w="11016" w:type="dxa"/>
        <w:tblLook w:val="04A0" w:firstRow="1" w:lastRow="0" w:firstColumn="1" w:lastColumn="0" w:noHBand="0" w:noVBand="1"/>
      </w:tblPr>
      <w:tblGrid>
        <w:gridCol w:w="11016"/>
      </w:tblGrid>
      <w:tr w:rsidR="00081AA2" w:rsidRPr="00081AA2" w14:paraId="364234DD" w14:textId="77777777" w:rsidTr="00D44326">
        <w:trPr>
          <w:trHeight w:val="1128"/>
        </w:trPr>
        <w:tc>
          <w:tcPr>
            <w:tcW w:w="11016" w:type="dxa"/>
            <w:vMerge w:val="restart"/>
            <w:hideMark/>
          </w:tcPr>
          <w:p w14:paraId="0905956D" w14:textId="77777777" w:rsidR="00081AA2" w:rsidRPr="00081AA2" w:rsidRDefault="00081AA2" w:rsidP="00081AA2">
            <w:pPr>
              <w:rPr>
                <w:b/>
              </w:rPr>
            </w:pPr>
            <w:r w:rsidRPr="00081AA2">
              <w:rPr>
                <w:b/>
                <w:noProof/>
              </w:rPr>
              <mc:AlternateContent>
                <mc:Choice Requires="wps">
                  <w:drawing>
                    <wp:anchor distT="0" distB="0" distL="114300" distR="114300" simplePos="0" relativeHeight="251661312" behindDoc="0" locked="0" layoutInCell="1" allowOverlap="1" wp14:anchorId="02ED032C" wp14:editId="599F7258">
                      <wp:simplePos x="0" y="0"/>
                      <wp:positionH relativeFrom="column">
                        <wp:posOffset>1196423</wp:posOffset>
                      </wp:positionH>
                      <wp:positionV relativeFrom="paragraph">
                        <wp:posOffset>562609</wp:posOffset>
                      </wp:positionV>
                      <wp:extent cx="4715123" cy="532737"/>
                      <wp:effectExtent l="0" t="0" r="9525"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123" cy="532737"/>
                              </a:xfrm>
                              <a:prstGeom prst="rect">
                                <a:avLst/>
                              </a:prstGeom>
                              <a:solidFill>
                                <a:srgbClr val="FFFFFF"/>
                              </a:solidFill>
                              <a:ln>
                                <a:noFill/>
                              </a:ln>
                            </wps:spPr>
                            <wps:txbx>
                              <w:txbxContent>
                                <w:tbl>
                                  <w:tblPr>
                                    <w:tblW w:w="0" w:type="auto"/>
                                    <w:tblLook w:val="04A0" w:firstRow="1" w:lastRow="0" w:firstColumn="1" w:lastColumn="0" w:noHBand="0" w:noVBand="1"/>
                                  </w:tblPr>
                                  <w:tblGrid>
                                    <w:gridCol w:w="2390"/>
                                    <w:gridCol w:w="1837"/>
                                    <w:gridCol w:w="2925"/>
                                  </w:tblGrid>
                                  <w:tr w:rsidR="00081AA2" w14:paraId="010CC79B" w14:textId="77777777">
                                    <w:trPr>
                                      <w:trHeight w:hRule="exact" w:val="646"/>
                                    </w:trPr>
                                    <w:tc>
                                      <w:tcPr>
                                        <w:tcW w:w="2526" w:type="dxa"/>
                                        <w:hideMark/>
                                      </w:tcPr>
                                      <w:p w14:paraId="79F1734F"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100 North Senate Avenue</w:t>
                                        </w:r>
                                      </w:p>
                                      <w:p w14:paraId="3EE18C72"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Room N725</w:t>
                                        </w:r>
                                      </w:p>
                                      <w:p w14:paraId="6DD5B6DF"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Indianapolis, Indiana 46204</w:t>
                                        </w:r>
                                      </w:p>
                                    </w:tc>
                                    <w:tc>
                                      <w:tcPr>
                                        <w:tcW w:w="1943" w:type="dxa"/>
                                      </w:tcPr>
                                      <w:p w14:paraId="3AD57176"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 xml:space="preserve">PHONE: (317) 232-5094  </w:t>
                                        </w:r>
                                      </w:p>
                                      <w:p w14:paraId="296E9DCD"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FAX: (317) 233-8862</w:t>
                                        </w:r>
                                      </w:p>
                                      <w:p w14:paraId="13A88476" w14:textId="77777777" w:rsidR="00081AA2" w:rsidRDefault="00081AA2" w:rsidP="00315AD5">
                                        <w:pPr>
                                          <w:spacing w:after="0" w:line="240" w:lineRule="auto"/>
                                          <w:rPr>
                                            <w:rFonts w:ascii="Arial Narrow" w:hAnsi="Arial Narrow" w:cs="Arial"/>
                                            <w:color w:val="333399"/>
                                            <w:sz w:val="16"/>
                                            <w:szCs w:val="16"/>
                                          </w:rPr>
                                        </w:pPr>
                                      </w:p>
                                      <w:p w14:paraId="42EE652E" w14:textId="77777777" w:rsidR="00081AA2" w:rsidRDefault="00081AA2" w:rsidP="00315AD5">
                                        <w:pPr>
                                          <w:spacing w:after="0" w:line="240" w:lineRule="auto"/>
                                          <w:rPr>
                                            <w:rFonts w:ascii="Impact" w:hAnsi="Impact"/>
                                            <w:color w:val="333399"/>
                                            <w:sz w:val="16"/>
                                            <w:szCs w:val="16"/>
                                          </w:rPr>
                                        </w:pPr>
                                      </w:p>
                                    </w:tc>
                                    <w:tc>
                                      <w:tcPr>
                                        <w:tcW w:w="3076" w:type="dxa"/>
                                      </w:tcPr>
                                      <w:p w14:paraId="4EAC6609" w14:textId="77777777" w:rsidR="00081AA2" w:rsidRDefault="00081AA2" w:rsidP="00315AD5">
                                        <w:pPr>
                                          <w:spacing w:after="0" w:line="240" w:lineRule="auto"/>
                                          <w:rPr>
                                            <w:rFonts w:ascii="Arial" w:hAnsi="Arial" w:cs="Arial"/>
                                            <w:b/>
                                            <w:color w:val="333399"/>
                                            <w:sz w:val="16"/>
                                            <w:szCs w:val="16"/>
                                          </w:rPr>
                                        </w:pPr>
                                        <w:r>
                                          <w:rPr>
                                            <w:rFonts w:ascii="Arial" w:hAnsi="Arial" w:cs="Arial"/>
                                            <w:b/>
                                            <w:color w:val="333399"/>
                                            <w:sz w:val="16"/>
                                            <w:szCs w:val="16"/>
                                          </w:rPr>
                                          <w:t>Eric Holcomb, Governor</w:t>
                                        </w:r>
                                      </w:p>
                                      <w:p w14:paraId="46D33652" w14:textId="3A7B7E40" w:rsidR="00081AA2" w:rsidRDefault="00081AA2" w:rsidP="00315AD5">
                                        <w:pPr>
                                          <w:spacing w:after="0" w:line="240" w:lineRule="auto"/>
                                          <w:rPr>
                                            <w:rFonts w:ascii="Arial" w:hAnsi="Arial" w:cs="Arial"/>
                                            <w:b/>
                                            <w:color w:val="333399"/>
                                            <w:sz w:val="16"/>
                                            <w:szCs w:val="16"/>
                                          </w:rPr>
                                        </w:pPr>
                                        <w:r>
                                          <w:rPr>
                                            <w:rFonts w:ascii="Arial" w:hAnsi="Arial" w:cs="Arial"/>
                                            <w:b/>
                                            <w:color w:val="333399"/>
                                            <w:sz w:val="16"/>
                                            <w:szCs w:val="16"/>
                                          </w:rPr>
                                          <w:t xml:space="preserve">Joe </w:t>
                                        </w:r>
                                        <w:r w:rsidR="00155331">
                                          <w:rPr>
                                            <w:rFonts w:ascii="Arial" w:hAnsi="Arial" w:cs="Arial"/>
                                            <w:b/>
                                            <w:color w:val="333399"/>
                                            <w:sz w:val="16"/>
                                            <w:szCs w:val="16"/>
                                          </w:rPr>
                                          <w:t>McGuinness, Commissioner</w:t>
                                        </w:r>
                                      </w:p>
                                      <w:p w14:paraId="2FD7B378" w14:textId="77777777" w:rsidR="00081AA2" w:rsidRDefault="00081AA2" w:rsidP="00315AD5">
                                        <w:pPr>
                                          <w:spacing w:after="0" w:line="240" w:lineRule="auto"/>
                                          <w:rPr>
                                            <w:rFonts w:ascii="Impact" w:hAnsi="Impact"/>
                                            <w:color w:val="333399"/>
                                            <w:sz w:val="16"/>
                                            <w:szCs w:val="16"/>
                                          </w:rPr>
                                        </w:pPr>
                                      </w:p>
                                    </w:tc>
                                  </w:tr>
                                </w:tbl>
                                <w:p w14:paraId="625243F2" w14:textId="77777777" w:rsidR="00081AA2" w:rsidRDefault="00081AA2" w:rsidP="00081AA2">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032C" id="_x0000_t202" coordsize="21600,21600" o:spt="202" path="m,l,21600r21600,l21600,xe">
                      <v:stroke joinstyle="miter"/>
                      <v:path gradientshapeok="t" o:connecttype="rect"/>
                    </v:shapetype>
                    <v:shape id="Text Box 24" o:spid="_x0000_s1026" type="#_x0000_t202" style="position:absolute;margin-left:94.2pt;margin-top:44.3pt;width:371.2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" stroked="f">
                      <v:textbox>
                        <w:txbxContent>
                          <w:tbl>
                            <w:tblPr>
                              <w:tblW w:w="0" w:type="auto"/>
                              <w:tblLook w:val="04A0" w:firstRow="1" w:lastRow="0" w:firstColumn="1" w:lastColumn="0" w:noHBand="0" w:noVBand="1"/>
                            </w:tblPr>
                            <w:tblGrid>
                              <w:gridCol w:w="2390"/>
                              <w:gridCol w:w="1837"/>
                              <w:gridCol w:w="2925"/>
                            </w:tblGrid>
                            <w:tr w:rsidR="00081AA2" w14:paraId="010CC79B" w14:textId="77777777">
                              <w:trPr>
                                <w:trHeight w:hRule="exact" w:val="646"/>
                              </w:trPr>
                              <w:tc>
                                <w:tcPr>
                                  <w:tcW w:w="2526" w:type="dxa"/>
                                  <w:hideMark/>
                                </w:tcPr>
                                <w:p w14:paraId="79F1734F"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100 North Senate Avenue</w:t>
                                  </w:r>
                                </w:p>
                                <w:p w14:paraId="3EE18C72"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Room N725</w:t>
                                  </w:r>
                                </w:p>
                                <w:p w14:paraId="6DD5B6DF"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Indianapolis, Indiana 46204</w:t>
                                  </w:r>
                                </w:p>
                              </w:tc>
                              <w:tc>
                                <w:tcPr>
                                  <w:tcW w:w="1943" w:type="dxa"/>
                                </w:tcPr>
                                <w:p w14:paraId="3AD57176"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 xml:space="preserve">PHONE: (317) 232-5094  </w:t>
                                  </w:r>
                                </w:p>
                                <w:p w14:paraId="296E9DCD" w14:textId="77777777" w:rsidR="00081AA2" w:rsidRDefault="00081AA2" w:rsidP="00315AD5">
                                  <w:pPr>
                                    <w:spacing w:after="0" w:line="240" w:lineRule="auto"/>
                                    <w:rPr>
                                      <w:rFonts w:ascii="Arial Narrow" w:hAnsi="Arial Narrow" w:cs="Arial"/>
                                      <w:color w:val="333399"/>
                                      <w:sz w:val="16"/>
                                      <w:szCs w:val="16"/>
                                    </w:rPr>
                                  </w:pPr>
                                  <w:r>
                                    <w:rPr>
                                      <w:rFonts w:ascii="Arial Narrow" w:hAnsi="Arial Narrow" w:cs="Arial"/>
                                      <w:color w:val="333399"/>
                                      <w:sz w:val="16"/>
                                      <w:szCs w:val="16"/>
                                    </w:rPr>
                                    <w:t>FAX: (317) 233-8862</w:t>
                                  </w:r>
                                </w:p>
                                <w:p w14:paraId="13A88476" w14:textId="77777777" w:rsidR="00081AA2" w:rsidRDefault="00081AA2" w:rsidP="00315AD5">
                                  <w:pPr>
                                    <w:spacing w:after="0" w:line="240" w:lineRule="auto"/>
                                    <w:rPr>
                                      <w:rFonts w:ascii="Arial Narrow" w:hAnsi="Arial Narrow" w:cs="Arial"/>
                                      <w:color w:val="333399"/>
                                      <w:sz w:val="16"/>
                                      <w:szCs w:val="16"/>
                                    </w:rPr>
                                  </w:pPr>
                                </w:p>
                                <w:p w14:paraId="42EE652E" w14:textId="77777777" w:rsidR="00081AA2" w:rsidRDefault="00081AA2" w:rsidP="00315AD5">
                                  <w:pPr>
                                    <w:spacing w:after="0" w:line="240" w:lineRule="auto"/>
                                    <w:rPr>
                                      <w:rFonts w:ascii="Impact" w:hAnsi="Impact"/>
                                      <w:color w:val="333399"/>
                                      <w:sz w:val="16"/>
                                      <w:szCs w:val="16"/>
                                    </w:rPr>
                                  </w:pPr>
                                </w:p>
                              </w:tc>
                              <w:tc>
                                <w:tcPr>
                                  <w:tcW w:w="3076" w:type="dxa"/>
                                </w:tcPr>
                                <w:p w14:paraId="4EAC6609" w14:textId="77777777" w:rsidR="00081AA2" w:rsidRDefault="00081AA2" w:rsidP="00315AD5">
                                  <w:pPr>
                                    <w:spacing w:after="0" w:line="240" w:lineRule="auto"/>
                                    <w:rPr>
                                      <w:rFonts w:ascii="Arial" w:hAnsi="Arial" w:cs="Arial"/>
                                      <w:b/>
                                      <w:color w:val="333399"/>
                                      <w:sz w:val="16"/>
                                      <w:szCs w:val="16"/>
                                    </w:rPr>
                                  </w:pPr>
                                  <w:r>
                                    <w:rPr>
                                      <w:rFonts w:ascii="Arial" w:hAnsi="Arial" w:cs="Arial"/>
                                      <w:b/>
                                      <w:color w:val="333399"/>
                                      <w:sz w:val="16"/>
                                      <w:szCs w:val="16"/>
                                    </w:rPr>
                                    <w:t>Eric Holcomb, Governor</w:t>
                                  </w:r>
                                </w:p>
                                <w:p w14:paraId="46D33652" w14:textId="3A7B7E40" w:rsidR="00081AA2" w:rsidRDefault="00081AA2" w:rsidP="00315AD5">
                                  <w:pPr>
                                    <w:spacing w:after="0" w:line="240" w:lineRule="auto"/>
                                    <w:rPr>
                                      <w:rFonts w:ascii="Arial" w:hAnsi="Arial" w:cs="Arial"/>
                                      <w:b/>
                                      <w:color w:val="333399"/>
                                      <w:sz w:val="16"/>
                                      <w:szCs w:val="16"/>
                                    </w:rPr>
                                  </w:pPr>
                                  <w:r>
                                    <w:rPr>
                                      <w:rFonts w:ascii="Arial" w:hAnsi="Arial" w:cs="Arial"/>
                                      <w:b/>
                                      <w:color w:val="333399"/>
                                      <w:sz w:val="16"/>
                                      <w:szCs w:val="16"/>
                                    </w:rPr>
                                    <w:t xml:space="preserve">Joe </w:t>
                                  </w:r>
                                  <w:r w:rsidR="00155331">
                                    <w:rPr>
                                      <w:rFonts w:ascii="Arial" w:hAnsi="Arial" w:cs="Arial"/>
                                      <w:b/>
                                      <w:color w:val="333399"/>
                                      <w:sz w:val="16"/>
                                      <w:szCs w:val="16"/>
                                    </w:rPr>
                                    <w:t>McGuinness, Commissioner</w:t>
                                  </w:r>
                                </w:p>
                                <w:p w14:paraId="2FD7B378" w14:textId="77777777" w:rsidR="00081AA2" w:rsidRDefault="00081AA2" w:rsidP="00315AD5">
                                  <w:pPr>
                                    <w:spacing w:after="0" w:line="240" w:lineRule="auto"/>
                                    <w:rPr>
                                      <w:rFonts w:ascii="Impact" w:hAnsi="Impact"/>
                                      <w:color w:val="333399"/>
                                      <w:sz w:val="16"/>
                                      <w:szCs w:val="16"/>
                                    </w:rPr>
                                  </w:pPr>
                                </w:p>
                              </w:tc>
                            </w:tr>
                          </w:tbl>
                          <w:p w14:paraId="625243F2" w14:textId="77777777" w:rsidR="00081AA2" w:rsidRDefault="00081AA2" w:rsidP="00081AA2">
                            <w:pPr>
                              <w:rPr>
                                <w:color w:val="333399"/>
                              </w:rPr>
                            </w:pPr>
                          </w:p>
                        </w:txbxContent>
                      </v:textbox>
                    </v:shape>
                  </w:pict>
                </mc:Fallback>
              </mc:AlternateContent>
            </w:r>
            <w:r w:rsidRPr="00081AA2">
              <w:rPr>
                <w:b/>
                <w:noProof/>
              </w:rPr>
              <w:drawing>
                <wp:inline distT="0" distB="0" distL="0" distR="0" wp14:anchorId="54F27F20" wp14:editId="7603C158">
                  <wp:extent cx="6082748" cy="916940"/>
                  <wp:effectExtent l="0" t="0" r="0" b="0"/>
                  <wp:docPr id="17" name="Picture 17"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anne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2264" cy="918375"/>
                          </a:xfrm>
                          <a:prstGeom prst="rect">
                            <a:avLst/>
                          </a:prstGeom>
                          <a:noFill/>
                          <a:ln>
                            <a:noFill/>
                          </a:ln>
                        </pic:spPr>
                      </pic:pic>
                    </a:graphicData>
                  </a:graphic>
                </wp:inline>
              </w:drawing>
            </w:r>
          </w:p>
        </w:tc>
      </w:tr>
      <w:tr w:rsidR="00081AA2" w:rsidRPr="00081AA2" w14:paraId="13A02D0D" w14:textId="77777777" w:rsidTr="00D44326">
        <w:trPr>
          <w:trHeight w:val="762"/>
        </w:trPr>
        <w:tc>
          <w:tcPr>
            <w:tcW w:w="0" w:type="auto"/>
            <w:vMerge/>
            <w:vAlign w:val="center"/>
            <w:hideMark/>
          </w:tcPr>
          <w:p w14:paraId="24F2D9F4" w14:textId="77777777" w:rsidR="00081AA2" w:rsidRPr="00081AA2" w:rsidRDefault="00081AA2" w:rsidP="00081AA2">
            <w:pPr>
              <w:rPr>
                <w:b/>
              </w:rPr>
            </w:pPr>
          </w:p>
        </w:tc>
      </w:tr>
    </w:tbl>
    <w:p w14:paraId="4E18E539" w14:textId="017DDC96" w:rsidR="004F4C83" w:rsidRPr="00081AA2" w:rsidRDefault="00081AA2" w:rsidP="00081AA2">
      <w:pPr>
        <w:spacing w:after="0" w:line="240" w:lineRule="auto"/>
        <w:rPr>
          <w:b/>
          <w:bCs/>
        </w:rPr>
      </w:pPr>
      <w:r w:rsidRPr="00081AA2">
        <w:rPr>
          <w:b/>
          <w:bCs/>
        </w:rPr>
        <w:t xml:space="preserve">TO: </w:t>
      </w:r>
      <w:r w:rsidRPr="00081AA2">
        <w:rPr>
          <w:b/>
          <w:bCs/>
        </w:rPr>
        <w:tab/>
      </w:r>
      <w:r w:rsidR="004F4C83" w:rsidRPr="00081AA2">
        <w:rPr>
          <w:b/>
          <w:bCs/>
        </w:rPr>
        <w:t>Prequalified Contractors</w:t>
      </w:r>
    </w:p>
    <w:p w14:paraId="5AA90229" w14:textId="54842714" w:rsidR="00081AA2" w:rsidRPr="00081AA2" w:rsidRDefault="00081AA2" w:rsidP="00081AA2">
      <w:pPr>
        <w:spacing w:after="0" w:line="240" w:lineRule="auto"/>
        <w:rPr>
          <w:b/>
          <w:bCs/>
        </w:rPr>
      </w:pPr>
      <w:r w:rsidRPr="00081AA2">
        <w:rPr>
          <w:b/>
          <w:bCs/>
        </w:rPr>
        <w:t xml:space="preserve">FROM: </w:t>
      </w:r>
      <w:r w:rsidRPr="00081AA2">
        <w:rPr>
          <w:b/>
          <w:bCs/>
        </w:rPr>
        <w:tab/>
        <w:t>Prequalification Division</w:t>
      </w:r>
    </w:p>
    <w:p w14:paraId="581E192D" w14:textId="5D1E9AF4" w:rsidR="00081AA2" w:rsidRPr="00081AA2" w:rsidRDefault="00081AA2" w:rsidP="008D62B4">
      <w:pPr>
        <w:pBdr>
          <w:bottom w:val="single" w:sz="12" w:space="1" w:color="auto"/>
        </w:pBdr>
        <w:rPr>
          <w:b/>
          <w:bCs/>
        </w:rPr>
      </w:pPr>
      <w:r w:rsidRPr="00081AA2">
        <w:rPr>
          <w:b/>
          <w:bCs/>
        </w:rPr>
        <w:t xml:space="preserve">DATE: </w:t>
      </w:r>
      <w:r w:rsidRPr="00081AA2">
        <w:rPr>
          <w:b/>
          <w:bCs/>
        </w:rPr>
        <w:tab/>
      </w:r>
      <w:r w:rsidR="00C65F99">
        <w:rPr>
          <w:b/>
          <w:bCs/>
        </w:rPr>
        <w:t>April</w:t>
      </w:r>
      <w:r w:rsidRPr="00081AA2">
        <w:rPr>
          <w:b/>
          <w:bCs/>
        </w:rPr>
        <w:t xml:space="preserve"> </w:t>
      </w:r>
      <w:r w:rsidR="00C65F99">
        <w:rPr>
          <w:b/>
          <w:bCs/>
        </w:rPr>
        <w:t>6</w:t>
      </w:r>
      <w:r w:rsidRPr="00081AA2">
        <w:rPr>
          <w:b/>
          <w:bCs/>
        </w:rPr>
        <w:t>, 2021</w:t>
      </w:r>
    </w:p>
    <w:p w14:paraId="182C1721" w14:textId="4986C291" w:rsidR="00081AA2" w:rsidRDefault="00081AA2" w:rsidP="008D62B4">
      <w:pPr>
        <w:pBdr>
          <w:bottom w:val="single" w:sz="12" w:space="1" w:color="auto"/>
        </w:pBdr>
        <w:rPr>
          <w:b/>
          <w:bCs/>
        </w:rPr>
      </w:pPr>
      <w:r w:rsidRPr="00081AA2">
        <w:rPr>
          <w:b/>
          <w:bCs/>
        </w:rPr>
        <w:t>RE:</w:t>
      </w:r>
      <w:r w:rsidRPr="00081AA2">
        <w:rPr>
          <w:b/>
          <w:bCs/>
        </w:rPr>
        <w:tab/>
        <w:t>Frequently Asked Questions- Using the New Contractor Prequalification Application in ITAP</w:t>
      </w:r>
    </w:p>
    <w:p w14:paraId="51E322E5" w14:textId="77777777" w:rsidR="00081AA2" w:rsidRPr="00081AA2" w:rsidRDefault="00081AA2" w:rsidP="008D62B4">
      <w:pPr>
        <w:pBdr>
          <w:bottom w:val="single" w:sz="12" w:space="1" w:color="auto"/>
        </w:pBdr>
      </w:pPr>
    </w:p>
    <w:p w14:paraId="4ECEDCA8" w14:textId="0838F65A" w:rsidR="00081AA2" w:rsidRDefault="00081AA2" w:rsidP="008D62B4">
      <w:r>
        <w:t>Construction Partners,</w:t>
      </w:r>
    </w:p>
    <w:p w14:paraId="4AC90A5B" w14:textId="01E83E48" w:rsidR="004F4C83" w:rsidRDefault="004F4C83" w:rsidP="008D62B4">
      <w:r>
        <w:t xml:space="preserve">First, thank you all for your partnership in rolling out the new CPQ system. We recognize that the new application will require you to spend some extra time this year learning the platform and converting your information to INDOT’s templates. </w:t>
      </w:r>
      <w:r w:rsidR="0069072A">
        <w:t xml:space="preserve">The information that you provide this year will auto populate when you apply for your next certificate of qualification. </w:t>
      </w:r>
      <w:r>
        <w:t>We would encourage you to adopt the CPQ templates for storing your company’s prequal information and update the experience and equipment lists</w:t>
      </w:r>
      <w:r w:rsidR="00081AA2">
        <w:t xml:space="preserve"> </w:t>
      </w:r>
      <w:r w:rsidR="00774608">
        <w:t>in CPQ</w:t>
      </w:r>
      <w:r>
        <w:t xml:space="preserve"> periodically throughout the year.</w:t>
      </w:r>
      <w:r w:rsidR="00774608">
        <w:t xml:space="preserve"> Instructions for updating data tables are provided on page six (6) of the </w:t>
      </w:r>
      <w:hyperlink r:id="rId7" w:history="1">
        <w:r w:rsidR="00774608">
          <w:rPr>
            <w:rStyle w:val="Hyperlink"/>
          </w:rPr>
          <w:t>CPQ User Guide</w:t>
        </w:r>
      </w:hyperlink>
      <w:r w:rsidR="00774608">
        <w:t xml:space="preserve"> (</w:t>
      </w:r>
      <w:r w:rsidR="00774608" w:rsidRPr="00081AA2">
        <w:rPr>
          <w:i/>
          <w:iCs/>
        </w:rPr>
        <w:t>see</w:t>
      </w:r>
      <w:r w:rsidR="00774608">
        <w:t xml:space="preserve"> item number 11). A demonstration of the process is also provided in the </w:t>
      </w:r>
      <w:hyperlink r:id="rId8" w:history="1">
        <w:r w:rsidR="00774608">
          <w:rPr>
            <w:rStyle w:val="Hyperlink"/>
          </w:rPr>
          <w:t>CPQ training video</w:t>
        </w:r>
      </w:hyperlink>
      <w:r w:rsidR="00774608">
        <w:t>.</w:t>
      </w:r>
    </w:p>
    <w:p w14:paraId="703681EF" w14:textId="7F42CFC1" w:rsidR="00C65F99" w:rsidRDefault="00774608" w:rsidP="008D62B4">
      <w:r>
        <w:t xml:space="preserve">Based on our experience with CPQ thus far, we have identified the following Frequent Asked Questions and other insights </w:t>
      </w:r>
      <w:r w:rsidR="00081AA2">
        <w:t>regarding</w:t>
      </w:r>
      <w:r>
        <w:t xml:space="preserve"> CPQ and the new application process. </w:t>
      </w:r>
      <w:r w:rsidR="00D552BE">
        <w:t>*</w:t>
      </w:r>
      <w:r w:rsidR="00C65F99">
        <w:t xml:space="preserve">* </w:t>
      </w:r>
    </w:p>
    <w:p w14:paraId="785DB465" w14:textId="412921CA" w:rsidR="00C65F99" w:rsidRPr="00C65F99" w:rsidRDefault="00D552BE" w:rsidP="008D62B4">
      <w:pPr>
        <w:rPr>
          <w:i/>
          <w:iCs/>
        </w:rPr>
      </w:pPr>
      <w:r>
        <w:t>*</w:t>
      </w:r>
      <w:r w:rsidR="00C65F99">
        <w:t>*</w:t>
      </w:r>
      <w:r w:rsidR="00C65F99" w:rsidRPr="00D552BE">
        <w:rPr>
          <w:b/>
          <w:bCs/>
        </w:rPr>
        <w:t>April 6, 2021 Update</w:t>
      </w:r>
      <w:r w:rsidR="00C65F99" w:rsidRPr="00C65F99">
        <w:rPr>
          <w:b/>
          <w:bCs/>
          <w:i/>
          <w:iCs/>
        </w:rPr>
        <w:t>:</w:t>
      </w:r>
      <w:r w:rsidR="00C65F99" w:rsidRPr="00C65F99">
        <w:rPr>
          <w:i/>
          <w:iCs/>
        </w:rPr>
        <w:t xml:space="preserve"> </w:t>
      </w:r>
      <w:r w:rsidR="00C65F99" w:rsidRPr="00D552BE">
        <w:t xml:space="preserve">Prequalified contractors that have an expiring certificate of qualification should continue working in CPQ and submitting applications for prequalification in the lead up to INDOT’s launch of the new ITAP system (now through April 23, 2021). The launch of the new system will not impact the information you have already entered in CPQ. However, it will require ITAP to go offline starting at 5:00 PM on Friday April 23, 2021, and to remain offline until the morning of April 26, 2021. Applicants will be unable to access CPQ during this time. Otherwise, the launch of the new ITAP system will not have any impact on the contractor prequalification application process.    </w:t>
      </w:r>
    </w:p>
    <w:p w14:paraId="6A6C3715" w14:textId="3E4CE355" w:rsidR="00F326B6" w:rsidRPr="00081AA2" w:rsidRDefault="00F326B6" w:rsidP="00F326B6">
      <w:pPr>
        <w:pStyle w:val="ListParagraph"/>
        <w:numPr>
          <w:ilvl w:val="0"/>
          <w:numId w:val="3"/>
        </w:numPr>
        <w:rPr>
          <w:b/>
          <w:bCs/>
        </w:rPr>
      </w:pPr>
      <w:r w:rsidRPr="00081AA2">
        <w:rPr>
          <w:b/>
          <w:bCs/>
          <w:noProof/>
          <w:sz w:val="24"/>
          <w:szCs w:val="24"/>
        </w:rPr>
        <w:drawing>
          <wp:anchor distT="0" distB="0" distL="114300" distR="114300" simplePos="0" relativeHeight="251658240" behindDoc="1" locked="0" layoutInCell="1" allowOverlap="1" wp14:anchorId="5734DC3D" wp14:editId="1FEE0A95">
            <wp:simplePos x="0" y="0"/>
            <wp:positionH relativeFrom="column">
              <wp:posOffset>-676275</wp:posOffset>
            </wp:positionH>
            <wp:positionV relativeFrom="paragraph">
              <wp:posOffset>292735</wp:posOffset>
            </wp:positionV>
            <wp:extent cx="4124325" cy="1924685"/>
            <wp:effectExtent l="0" t="0" r="9525" b="0"/>
            <wp:wrapTight wrapText="bothSides">
              <wp:wrapPolygon edited="0">
                <wp:start x="0" y="0"/>
                <wp:lineTo x="0" y="21379"/>
                <wp:lineTo x="21550" y="21379"/>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AA2">
        <w:rPr>
          <w:b/>
          <w:bCs/>
          <w:sz w:val="24"/>
          <w:szCs w:val="24"/>
        </w:rPr>
        <w:t>What type of application should I complete (see CPQ User Guide page 7)?</w:t>
      </w:r>
    </w:p>
    <w:p w14:paraId="4B2E77B2" w14:textId="77777777" w:rsidR="00F326B6" w:rsidRDefault="00F326B6" w:rsidP="00F326B6">
      <w:r>
        <w:t xml:space="preserve">There are four (4) application options in CPQ: (1) Over-Height Vehicle Escorts; (2) Non-Prequalified Subcontractors; (3) Haulers; and (4) All Others.  </w:t>
      </w:r>
    </w:p>
    <w:p w14:paraId="111EDB7D" w14:textId="26BA1117" w:rsidR="00F326B6" w:rsidRDefault="00F326B6" w:rsidP="00F326B6">
      <w:r>
        <w:t xml:space="preserve">Most firms fall under option four (4)- All Others. This category covers </w:t>
      </w:r>
      <w:r w:rsidRPr="00F326B6">
        <w:rPr>
          <w:b/>
          <w:bCs/>
          <w:i/>
          <w:iCs/>
        </w:rPr>
        <w:t>all prequalified primes and subcontractors</w:t>
      </w:r>
      <w:r>
        <w:t xml:space="preserve">, regardless of the amount of INDOT work the company plans to complete. </w:t>
      </w:r>
    </w:p>
    <w:p w14:paraId="69D54C74" w14:textId="5D73CB58" w:rsidR="00F326B6" w:rsidRDefault="00F326B6" w:rsidP="00F326B6">
      <w:pPr>
        <w:keepNext/>
      </w:pPr>
    </w:p>
    <w:p w14:paraId="7E2DCC5F" w14:textId="42215CDC" w:rsidR="00F326B6" w:rsidRPr="00081AA2" w:rsidRDefault="00F326B6" w:rsidP="00F326B6">
      <w:pPr>
        <w:pStyle w:val="ListParagraph"/>
        <w:numPr>
          <w:ilvl w:val="0"/>
          <w:numId w:val="3"/>
        </w:numPr>
        <w:rPr>
          <w:b/>
          <w:bCs/>
          <w:sz w:val="24"/>
          <w:szCs w:val="24"/>
        </w:rPr>
      </w:pPr>
      <w:r w:rsidRPr="00081AA2">
        <w:rPr>
          <w:b/>
          <w:bCs/>
          <w:sz w:val="24"/>
          <w:szCs w:val="24"/>
        </w:rPr>
        <w:t xml:space="preserve">What do I do if I select the wrong option and </w:t>
      </w:r>
      <w:proofErr w:type="gramStart"/>
      <w:r w:rsidRPr="00081AA2">
        <w:rPr>
          <w:b/>
          <w:bCs/>
          <w:sz w:val="24"/>
          <w:szCs w:val="24"/>
        </w:rPr>
        <w:t>submit an application</w:t>
      </w:r>
      <w:proofErr w:type="gramEnd"/>
      <w:r w:rsidRPr="00081AA2">
        <w:rPr>
          <w:b/>
          <w:bCs/>
          <w:sz w:val="24"/>
          <w:szCs w:val="24"/>
        </w:rPr>
        <w:t xml:space="preserve"> as a hauler, escort, or non-prequalified sub</w:t>
      </w:r>
      <w:r w:rsidR="00BA2C1F" w:rsidRPr="00081AA2">
        <w:rPr>
          <w:b/>
          <w:bCs/>
          <w:sz w:val="24"/>
          <w:szCs w:val="24"/>
        </w:rPr>
        <w:t xml:space="preserve"> (see CPQ User Guide page 6)</w:t>
      </w:r>
      <w:r w:rsidRPr="00081AA2">
        <w:rPr>
          <w:b/>
          <w:bCs/>
          <w:sz w:val="24"/>
          <w:szCs w:val="24"/>
        </w:rPr>
        <w:t xml:space="preserve">? </w:t>
      </w:r>
    </w:p>
    <w:p w14:paraId="2E61EB17" w14:textId="63241E44" w:rsidR="00BA2C1F" w:rsidRDefault="00BA2C1F" w:rsidP="00F326B6">
      <w:r>
        <w:t>Click “Past Applications” on your CPQ Dashboard to p</w:t>
      </w:r>
      <w:r w:rsidR="00F326B6">
        <w:t xml:space="preserve">ull the erroneous application back to draft status and delete it. This action can be completed by all </w:t>
      </w:r>
      <w:r>
        <w:t xml:space="preserve">CPQ roles except Certified Public Accounts. </w:t>
      </w:r>
      <w:r w:rsidR="00F326B6">
        <w:t xml:space="preserve"> </w:t>
      </w:r>
      <w:r>
        <w:t xml:space="preserve">If you accidently submit the wrong application type, </w:t>
      </w:r>
      <w:r w:rsidR="0069072A">
        <w:t xml:space="preserve">you will need to pull the erroneous application back to draft status before the system will allow you to start a new application. </w:t>
      </w:r>
    </w:p>
    <w:p w14:paraId="7F6119D8" w14:textId="77777777" w:rsidR="00BA2C1F" w:rsidRPr="00081AA2" w:rsidRDefault="00BA2C1F" w:rsidP="00BA2C1F">
      <w:pPr>
        <w:pStyle w:val="ListParagraph"/>
        <w:numPr>
          <w:ilvl w:val="0"/>
          <w:numId w:val="3"/>
        </w:numPr>
        <w:rPr>
          <w:b/>
          <w:bCs/>
          <w:sz w:val="24"/>
          <w:szCs w:val="24"/>
        </w:rPr>
      </w:pPr>
      <w:r w:rsidRPr="00081AA2">
        <w:rPr>
          <w:b/>
          <w:bCs/>
          <w:sz w:val="24"/>
          <w:szCs w:val="24"/>
        </w:rPr>
        <w:t>How old can my financial statement be?</w:t>
      </w:r>
    </w:p>
    <w:p w14:paraId="3B98B340" w14:textId="6BDD1E96" w:rsidR="00BA2C1F" w:rsidRDefault="000D40BB" w:rsidP="00BA2C1F">
      <w:r>
        <w:t>INDOT does not accept f</w:t>
      </w:r>
      <w:r w:rsidR="00BA2C1F">
        <w:t>inancial statement</w:t>
      </w:r>
      <w:r>
        <w:t xml:space="preserve">s </w:t>
      </w:r>
      <w:r w:rsidR="00BA2C1F">
        <w:t xml:space="preserve">that are </w:t>
      </w:r>
      <w:r>
        <w:t xml:space="preserve">more than </w:t>
      </w:r>
      <w:r w:rsidR="00BA2C1F">
        <w:t>sixteen (16) months old</w:t>
      </w:r>
      <w:r>
        <w:t>. This is because t</w:t>
      </w:r>
      <w:r w:rsidR="00BA2C1F">
        <w:t xml:space="preserve">he expiration date assigned to </w:t>
      </w:r>
      <w:r>
        <w:t>a</w:t>
      </w:r>
      <w:r w:rsidR="00BA2C1F">
        <w:t xml:space="preserve"> certificate of qualification can be no more than sixteen (16) months from the date of the financial statement on which </w:t>
      </w:r>
      <w:r>
        <w:t>the applicant</w:t>
      </w:r>
      <w:r w:rsidR="00BA2C1F">
        <w:t xml:space="preserve"> rel</w:t>
      </w:r>
      <w:r>
        <w:t>ied</w:t>
      </w:r>
      <w:r w:rsidR="00BA2C1F">
        <w:t xml:space="preserve">. As such, if </w:t>
      </w:r>
      <w:r>
        <w:t>a contractor</w:t>
      </w:r>
      <w:r w:rsidR="00BA2C1F">
        <w:t xml:space="preserve"> </w:t>
      </w:r>
      <w:proofErr w:type="gramStart"/>
      <w:r w:rsidR="00BA2C1F">
        <w:t>submit</w:t>
      </w:r>
      <w:r>
        <w:t>s</w:t>
      </w:r>
      <w:r w:rsidR="00BA2C1F">
        <w:t xml:space="preserve"> an application</w:t>
      </w:r>
      <w:proofErr w:type="gramEnd"/>
      <w:r w:rsidR="00BA2C1F">
        <w:t xml:space="preserve"> using a fifteen (15) month old financial statement, </w:t>
      </w:r>
      <w:r>
        <w:t>the</w:t>
      </w:r>
      <w:r w:rsidR="00BA2C1F">
        <w:t xml:space="preserve"> certificate will have a duration of no longer than one (1) month.</w:t>
      </w:r>
    </w:p>
    <w:p w14:paraId="4740FA86" w14:textId="575B79F3" w:rsidR="00BA2C1F" w:rsidRDefault="00BA2C1F" w:rsidP="00BA2C1F">
      <w:r>
        <w:t xml:space="preserve">**Please note: </w:t>
      </w:r>
      <w:r w:rsidR="000D40BB">
        <w:t xml:space="preserve">INDOT will not accept </w:t>
      </w:r>
      <w:r>
        <w:t>applications based on December 31, 2019 financial statements</w:t>
      </w:r>
      <w:r w:rsidR="000D40BB">
        <w:t xml:space="preserve"> after</w:t>
      </w:r>
      <w:r>
        <w:t xml:space="preserve"> </w:t>
      </w:r>
      <w:r w:rsidR="000D40BB">
        <w:t>April 30</w:t>
      </w:r>
      <w:r>
        <w:t>, 2021.</w:t>
      </w:r>
    </w:p>
    <w:p w14:paraId="739EDDE5" w14:textId="1820D73E" w:rsidR="00BA2C1F" w:rsidRPr="00081AA2" w:rsidRDefault="00544CD8" w:rsidP="00544CD8">
      <w:pPr>
        <w:pStyle w:val="ListParagraph"/>
        <w:numPr>
          <w:ilvl w:val="0"/>
          <w:numId w:val="3"/>
        </w:numPr>
        <w:rPr>
          <w:b/>
          <w:bCs/>
          <w:sz w:val="24"/>
          <w:szCs w:val="24"/>
        </w:rPr>
      </w:pPr>
      <w:r w:rsidRPr="00081AA2">
        <w:rPr>
          <w:b/>
          <w:bCs/>
          <w:sz w:val="24"/>
          <w:szCs w:val="24"/>
        </w:rPr>
        <w:t>What do I do if I have a question or issue using a CPQ template?</w:t>
      </w:r>
    </w:p>
    <w:p w14:paraId="64588743" w14:textId="59BEAE9B" w:rsidR="00544CD8" w:rsidRDefault="00544CD8" w:rsidP="00544CD8">
      <w:r>
        <w:t>All template related questions should be directed Jose Murillo (</w:t>
      </w:r>
      <w:hyperlink r:id="rId10" w:history="1">
        <w:r w:rsidRPr="008E6676">
          <w:rPr>
            <w:rStyle w:val="Hyperlink"/>
          </w:rPr>
          <w:t>JoMurillo@indot.IN.gov</w:t>
        </w:r>
      </w:hyperlink>
      <w:r>
        <w:t>)</w:t>
      </w:r>
      <w:r w:rsidR="00B936DA">
        <w:t xml:space="preserve"> and Pat Goralski (</w:t>
      </w:r>
      <w:hyperlink r:id="rId11" w:history="1">
        <w:r w:rsidR="00155331" w:rsidRPr="006C5B85">
          <w:rPr>
            <w:rStyle w:val="Hyperlink"/>
          </w:rPr>
          <w:t>PGoralski@indot.IN.gov</w:t>
        </w:r>
      </w:hyperlink>
      <w:r w:rsidR="00155331">
        <w:t>)</w:t>
      </w:r>
      <w:r>
        <w:t xml:space="preserve">. </w:t>
      </w:r>
      <w:r w:rsidR="00155331">
        <w:tab/>
      </w:r>
    </w:p>
    <w:p w14:paraId="746DBF6D" w14:textId="76024BA8" w:rsidR="00A4142E" w:rsidRPr="00081AA2" w:rsidRDefault="00A4142E" w:rsidP="00A4142E">
      <w:pPr>
        <w:pStyle w:val="ListParagraph"/>
        <w:numPr>
          <w:ilvl w:val="0"/>
          <w:numId w:val="3"/>
        </w:numPr>
        <w:rPr>
          <w:b/>
          <w:bCs/>
          <w:sz w:val="24"/>
          <w:szCs w:val="24"/>
        </w:rPr>
      </w:pPr>
      <w:r w:rsidRPr="00081AA2">
        <w:rPr>
          <w:b/>
          <w:bCs/>
          <w:sz w:val="24"/>
          <w:szCs w:val="24"/>
        </w:rPr>
        <w:t>Is there is a distinction between new applications and renewals in CPQ?</w:t>
      </w:r>
    </w:p>
    <w:p w14:paraId="3C6DDDBE" w14:textId="6703AD0A" w:rsidR="000D40BB" w:rsidRDefault="00A4142E" w:rsidP="000D40BB">
      <w:pPr>
        <w:rPr>
          <w:b/>
          <w:bCs/>
          <w:sz w:val="24"/>
          <w:szCs w:val="24"/>
        </w:rPr>
      </w:pPr>
      <w:r>
        <w:t>N</w:t>
      </w:r>
      <w:r w:rsidR="000D40BB">
        <w:t>o,</w:t>
      </w:r>
      <w:r>
        <w:t xml:space="preserve"> all applications are </w:t>
      </w:r>
      <w:r w:rsidR="000D40BB">
        <w:t xml:space="preserve">considered </w:t>
      </w:r>
      <w:r>
        <w:t>“new” applications</w:t>
      </w:r>
      <w:r w:rsidR="000D40BB">
        <w:t xml:space="preserve"> for the purposes of contractor prequalification</w:t>
      </w:r>
      <w:r>
        <w:t xml:space="preserve">. Companies with an expiring certificate of qualification will complete the exact same process and application as companies that are entirely new to INDOT. Please note that information </w:t>
      </w:r>
      <w:r w:rsidR="000D40BB">
        <w:t xml:space="preserve">entered </w:t>
      </w:r>
      <w:r>
        <w:t>in CPQ</w:t>
      </w:r>
      <w:r w:rsidR="000D40BB">
        <w:t xml:space="preserve"> this year will</w:t>
      </w:r>
      <w:r>
        <w:t xml:space="preserve"> auto populate </w:t>
      </w:r>
      <w:r w:rsidR="000D40BB">
        <w:t xml:space="preserve">in the company’s next application.  </w:t>
      </w:r>
    </w:p>
    <w:p w14:paraId="53F2132F" w14:textId="0A66DA61" w:rsidR="00544CD8" w:rsidRPr="00081AA2" w:rsidRDefault="000D40BB" w:rsidP="000D40BB">
      <w:pPr>
        <w:rPr>
          <w:b/>
          <w:bCs/>
          <w:sz w:val="24"/>
          <w:szCs w:val="24"/>
        </w:rPr>
      </w:pPr>
      <w:r>
        <w:rPr>
          <w:b/>
          <w:bCs/>
          <w:sz w:val="24"/>
          <w:szCs w:val="24"/>
        </w:rPr>
        <w:t>H</w:t>
      </w:r>
      <w:r w:rsidR="00544CD8" w:rsidRPr="00081AA2">
        <w:rPr>
          <w:b/>
          <w:bCs/>
          <w:sz w:val="24"/>
          <w:szCs w:val="24"/>
        </w:rPr>
        <w:t>ow do I change my company’s address</w:t>
      </w:r>
      <w:r w:rsidR="00A4142E" w:rsidRPr="00081AA2">
        <w:rPr>
          <w:b/>
          <w:bCs/>
          <w:sz w:val="24"/>
          <w:szCs w:val="24"/>
        </w:rPr>
        <w:t xml:space="preserve"> and other contact information</w:t>
      </w:r>
      <w:r w:rsidR="00544CD8" w:rsidRPr="00081AA2">
        <w:rPr>
          <w:b/>
          <w:bCs/>
          <w:sz w:val="24"/>
          <w:szCs w:val="24"/>
        </w:rPr>
        <w:t xml:space="preserve"> in ITAP?</w:t>
      </w:r>
    </w:p>
    <w:p w14:paraId="56AC6176" w14:textId="05CEDD56" w:rsidR="00544CD8" w:rsidRDefault="00544CD8" w:rsidP="00544CD8">
      <w:r>
        <w:t>Users can change their own address in ITAP</w:t>
      </w:r>
      <w:r w:rsidR="00D724AD">
        <w:t xml:space="preserve"> by</w:t>
      </w:r>
      <w:r>
        <w:t xml:space="preserve"> follow</w:t>
      </w:r>
      <w:r w:rsidR="00D724AD">
        <w:t>ing</w:t>
      </w:r>
      <w:r>
        <w:t xml:space="preserve"> these steps: </w:t>
      </w:r>
    </w:p>
    <w:p w14:paraId="29CFDC49" w14:textId="414F3084" w:rsidR="00544CD8" w:rsidRPr="00544CD8" w:rsidRDefault="00544CD8" w:rsidP="00A4142E">
      <w:pPr>
        <w:pStyle w:val="ListParagraph"/>
        <w:numPr>
          <w:ilvl w:val="0"/>
          <w:numId w:val="7"/>
        </w:numPr>
      </w:pPr>
      <w:r w:rsidRPr="00544CD8">
        <w:rPr>
          <w:rFonts w:eastAsia="Times New Roman"/>
        </w:rPr>
        <w:t xml:space="preserve">Login to ITAP </w:t>
      </w:r>
    </w:p>
    <w:p w14:paraId="3689A011" w14:textId="5FC86139" w:rsidR="00544CD8" w:rsidRPr="00544CD8" w:rsidRDefault="00544CD8" w:rsidP="00A4142E">
      <w:pPr>
        <w:pStyle w:val="ListParagraph"/>
        <w:numPr>
          <w:ilvl w:val="0"/>
          <w:numId w:val="7"/>
        </w:numPr>
      </w:pPr>
      <w:r w:rsidRPr="00544CD8">
        <w:rPr>
          <w:rFonts w:eastAsia="Times New Roman"/>
        </w:rPr>
        <w:t xml:space="preserve">On the home screen, select USER and click MAINTENANCE in corresponding </w:t>
      </w:r>
      <w:r w:rsidR="00155331" w:rsidRPr="00544CD8">
        <w:rPr>
          <w:rFonts w:eastAsia="Times New Roman"/>
        </w:rPr>
        <w:t>drop-down</w:t>
      </w:r>
      <w:r w:rsidRPr="00544CD8">
        <w:rPr>
          <w:rFonts w:eastAsia="Times New Roman"/>
        </w:rPr>
        <w:t xml:space="preserve"> </w:t>
      </w:r>
      <w:r w:rsidR="00155331" w:rsidRPr="00544CD8">
        <w:rPr>
          <w:rFonts w:eastAsia="Times New Roman"/>
        </w:rPr>
        <w:t>menu.</w:t>
      </w:r>
    </w:p>
    <w:p w14:paraId="052083AB" w14:textId="032FF9E3" w:rsidR="00544CD8" w:rsidRPr="00544CD8" w:rsidRDefault="00544CD8" w:rsidP="00A4142E">
      <w:pPr>
        <w:pStyle w:val="ListParagraph"/>
        <w:numPr>
          <w:ilvl w:val="0"/>
          <w:numId w:val="7"/>
        </w:numPr>
      </w:pPr>
      <w:r>
        <w:rPr>
          <w:rFonts w:eastAsia="Times New Roman"/>
        </w:rPr>
        <w:t xml:space="preserve">The </w:t>
      </w:r>
      <w:r w:rsidRPr="00544CD8">
        <w:rPr>
          <w:rFonts w:eastAsia="Times New Roman"/>
        </w:rPr>
        <w:t>MAINTENANCE</w:t>
      </w:r>
      <w:r>
        <w:rPr>
          <w:rFonts w:eastAsia="Times New Roman"/>
        </w:rPr>
        <w:t xml:space="preserve"> menu will show all users and their contact </w:t>
      </w:r>
      <w:r w:rsidR="00155331">
        <w:rPr>
          <w:rFonts w:eastAsia="Times New Roman"/>
        </w:rPr>
        <w:t>information.</w:t>
      </w:r>
    </w:p>
    <w:p w14:paraId="6E4E524F" w14:textId="265EF39B" w:rsidR="00544CD8" w:rsidRPr="00A4142E" w:rsidRDefault="00544CD8" w:rsidP="00A4142E">
      <w:pPr>
        <w:pStyle w:val="ListParagraph"/>
        <w:numPr>
          <w:ilvl w:val="0"/>
          <w:numId w:val="7"/>
        </w:numPr>
      </w:pPr>
      <w:r>
        <w:rPr>
          <w:rFonts w:eastAsia="Times New Roman"/>
        </w:rPr>
        <w:t>To change the address for</w:t>
      </w:r>
      <w:r w:rsidR="00A4142E">
        <w:rPr>
          <w:rFonts w:eastAsia="Times New Roman"/>
        </w:rPr>
        <w:t xml:space="preserve"> each user, click the pencil icon in the </w:t>
      </w:r>
      <w:r w:rsidR="00155331">
        <w:rPr>
          <w:rFonts w:eastAsia="Times New Roman"/>
        </w:rPr>
        <w:t>far-right</w:t>
      </w:r>
      <w:r w:rsidR="00A4142E">
        <w:rPr>
          <w:rFonts w:eastAsia="Times New Roman"/>
        </w:rPr>
        <w:t xml:space="preserve"> </w:t>
      </w:r>
      <w:r w:rsidR="00155331">
        <w:rPr>
          <w:rFonts w:eastAsia="Times New Roman"/>
        </w:rPr>
        <w:t>box.</w:t>
      </w:r>
    </w:p>
    <w:p w14:paraId="527A6291" w14:textId="57D84343" w:rsidR="00A4142E" w:rsidRPr="00A4142E" w:rsidRDefault="00A4142E" w:rsidP="00A4142E">
      <w:pPr>
        <w:pStyle w:val="ListParagraph"/>
        <w:numPr>
          <w:ilvl w:val="0"/>
          <w:numId w:val="7"/>
        </w:numPr>
      </w:pPr>
      <w:r>
        <w:rPr>
          <w:rFonts w:eastAsia="Times New Roman"/>
        </w:rPr>
        <w:t xml:space="preserve">When you click the pencil icon, a box will open containing the users contact </w:t>
      </w:r>
      <w:r w:rsidR="00155331">
        <w:rPr>
          <w:rFonts w:eastAsia="Times New Roman"/>
        </w:rPr>
        <w:t>information.</w:t>
      </w:r>
      <w:r>
        <w:rPr>
          <w:rFonts w:eastAsia="Times New Roman"/>
        </w:rPr>
        <w:t xml:space="preserve"> </w:t>
      </w:r>
    </w:p>
    <w:p w14:paraId="02E13ACA" w14:textId="4AED304C" w:rsidR="0013486C" w:rsidRPr="002D0AE7" w:rsidRDefault="00A4142E" w:rsidP="002D0AE7">
      <w:pPr>
        <w:pStyle w:val="ListParagraph"/>
        <w:numPr>
          <w:ilvl w:val="0"/>
          <w:numId w:val="7"/>
        </w:numPr>
      </w:pPr>
      <w:r>
        <w:rPr>
          <w:rFonts w:eastAsia="Times New Roman"/>
        </w:rPr>
        <w:t xml:space="preserve">Edit the information you would like to edit in this box and click SAVE on the bottom of the </w:t>
      </w:r>
      <w:r w:rsidR="00155331">
        <w:rPr>
          <w:rFonts w:eastAsia="Times New Roman"/>
        </w:rPr>
        <w:t>box.</w:t>
      </w:r>
    </w:p>
    <w:p w14:paraId="46829B87" w14:textId="77777777" w:rsidR="002D0AE7" w:rsidRPr="00A4142E" w:rsidRDefault="002D0AE7" w:rsidP="002D0AE7">
      <w:pPr>
        <w:pStyle w:val="ListParagraph"/>
      </w:pPr>
    </w:p>
    <w:p w14:paraId="61605307" w14:textId="77777777" w:rsidR="00B936DA" w:rsidRPr="00081AA2" w:rsidRDefault="00CF4302" w:rsidP="00DA0035">
      <w:pPr>
        <w:pStyle w:val="ListParagraph"/>
        <w:numPr>
          <w:ilvl w:val="0"/>
          <w:numId w:val="3"/>
        </w:numPr>
        <w:rPr>
          <w:b/>
          <w:bCs/>
          <w:sz w:val="24"/>
          <w:szCs w:val="24"/>
        </w:rPr>
      </w:pPr>
      <w:r w:rsidRPr="00081AA2">
        <w:rPr>
          <w:b/>
          <w:bCs/>
          <w:sz w:val="24"/>
          <w:szCs w:val="24"/>
        </w:rPr>
        <w:t>What should I do if my company’s ITAP account is registered to a previous employe</w:t>
      </w:r>
      <w:r w:rsidR="00537919" w:rsidRPr="00081AA2">
        <w:rPr>
          <w:b/>
          <w:bCs/>
          <w:sz w:val="24"/>
          <w:szCs w:val="24"/>
        </w:rPr>
        <w:t>e and I cannot access that person’s email inbox?</w:t>
      </w:r>
    </w:p>
    <w:p w14:paraId="48F6EA77" w14:textId="142D0C56" w:rsidR="00B936DA" w:rsidRDefault="00B936DA" w:rsidP="00B936DA">
      <w:pPr>
        <w:ind w:left="360"/>
      </w:pPr>
      <w:r>
        <w:lastRenderedPageBreak/>
        <w:t>In most instances companies can change and re-assign roles, including admin roles, themselves by following these steps- Log into ITAP&gt; Select Business &gt; Select Busines Maintenance&gt; Click User Icon&gt; Select Current Admin&gt; Click Edit Icon&gt; Uncheck Is Business Admin Box</w:t>
      </w:r>
    </w:p>
    <w:p w14:paraId="68D62A4B" w14:textId="6C75B527" w:rsidR="00B936DA" w:rsidRDefault="00B936DA" w:rsidP="00B936DA">
      <w:pPr>
        <w:ind w:left="360"/>
      </w:pPr>
      <w:r>
        <w:rPr>
          <w:noProof/>
        </w:rPr>
        <w:drawing>
          <wp:anchor distT="0" distB="0" distL="114300" distR="114300" simplePos="0" relativeHeight="251659264" behindDoc="1" locked="0" layoutInCell="1" allowOverlap="1" wp14:anchorId="7180E8EB" wp14:editId="2AD02B4C">
            <wp:simplePos x="0" y="0"/>
            <wp:positionH relativeFrom="column">
              <wp:posOffset>352425</wp:posOffset>
            </wp:positionH>
            <wp:positionV relativeFrom="paragraph">
              <wp:posOffset>5080</wp:posOffset>
            </wp:positionV>
            <wp:extent cx="3215669" cy="2600325"/>
            <wp:effectExtent l="0" t="0" r="3810" b="0"/>
            <wp:wrapTight wrapText="bothSides">
              <wp:wrapPolygon edited="0">
                <wp:start x="0" y="0"/>
                <wp:lineTo x="0" y="21363"/>
                <wp:lineTo x="21498" y="21363"/>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15669" cy="2600325"/>
                    </a:xfrm>
                    <a:prstGeom prst="rect">
                      <a:avLst/>
                    </a:prstGeom>
                    <a:noFill/>
                    <a:ln>
                      <a:noFill/>
                    </a:ln>
                  </pic:spPr>
                </pic:pic>
              </a:graphicData>
            </a:graphic>
          </wp:anchor>
        </w:drawing>
      </w:r>
      <w:r>
        <w:t xml:space="preserve">If </w:t>
      </w:r>
      <w:r w:rsidR="00D724AD">
        <w:t>a company is</w:t>
      </w:r>
      <w:r>
        <w:t xml:space="preserve"> unable to change </w:t>
      </w:r>
      <w:r w:rsidR="00D724AD">
        <w:t xml:space="preserve">its </w:t>
      </w:r>
      <w:r>
        <w:t xml:space="preserve">admin user following the above steps, please send an email to </w:t>
      </w:r>
      <w:hyperlink r:id="rId14" w:history="1">
        <w:r>
          <w:rPr>
            <w:rStyle w:val="Hyperlink"/>
          </w:rPr>
          <w:t>sctcrequest@indot.in.gov</w:t>
        </w:r>
      </w:hyperlink>
      <w:r>
        <w:t xml:space="preserve"> containing the following information: (1) Business Name; (2) Name of Current Admin User; (3) Name and email address of the new admin user. </w:t>
      </w:r>
    </w:p>
    <w:p w14:paraId="50538796" w14:textId="35313EFA" w:rsidR="00B936DA" w:rsidRPr="00B936DA" w:rsidRDefault="00B936DA" w:rsidP="00B936DA">
      <w:pPr>
        <w:ind w:left="360"/>
      </w:pPr>
      <w:r>
        <w:rPr>
          <w:u w:val="single"/>
        </w:rPr>
        <w:t xml:space="preserve">NOTE: </w:t>
      </w:r>
      <w:r w:rsidR="00D724AD">
        <w:rPr>
          <w:u w:val="single"/>
        </w:rPr>
        <w:t>Contractors should o</w:t>
      </w:r>
      <w:r w:rsidRPr="00DA0035">
        <w:rPr>
          <w:u w:val="single"/>
        </w:rPr>
        <w:t xml:space="preserve">nly use this method for changing user </w:t>
      </w:r>
      <w:r>
        <w:rPr>
          <w:u w:val="single"/>
        </w:rPr>
        <w:t xml:space="preserve">admin </w:t>
      </w:r>
      <w:r w:rsidRPr="00DA0035">
        <w:rPr>
          <w:u w:val="single"/>
        </w:rPr>
        <w:t xml:space="preserve">roles when it is not possible </w:t>
      </w:r>
      <w:r>
        <w:rPr>
          <w:u w:val="single"/>
        </w:rPr>
        <w:t>for</w:t>
      </w:r>
      <w:r w:rsidR="00D724AD">
        <w:rPr>
          <w:u w:val="single"/>
        </w:rPr>
        <w:t xml:space="preserve"> the company</w:t>
      </w:r>
      <w:r>
        <w:rPr>
          <w:u w:val="single"/>
        </w:rPr>
        <w:t xml:space="preserve"> </w:t>
      </w:r>
      <w:r w:rsidRPr="00DA0035">
        <w:rPr>
          <w:u w:val="single"/>
        </w:rPr>
        <w:t xml:space="preserve">to </w:t>
      </w:r>
      <w:r>
        <w:rPr>
          <w:u w:val="single"/>
        </w:rPr>
        <w:t>complete the change in ITAP.</w:t>
      </w:r>
      <w:r>
        <w:t xml:space="preserve"> </w:t>
      </w:r>
    </w:p>
    <w:p w14:paraId="0AF473A9" w14:textId="76A82B10" w:rsidR="00B936DA" w:rsidRPr="00B936DA" w:rsidRDefault="00B936DA" w:rsidP="00B936DA"/>
    <w:p w14:paraId="633D7633" w14:textId="77777777" w:rsidR="00774608" w:rsidRDefault="00774608" w:rsidP="00774608">
      <w:pPr>
        <w:pStyle w:val="ListParagraph"/>
        <w:rPr>
          <w:color w:val="FF0000"/>
        </w:rPr>
      </w:pPr>
    </w:p>
    <w:p w14:paraId="0678E745" w14:textId="6140C470" w:rsidR="0013486C" w:rsidRPr="00081AA2" w:rsidRDefault="00C2344D" w:rsidP="0013486C">
      <w:pPr>
        <w:pStyle w:val="ListParagraph"/>
        <w:numPr>
          <w:ilvl w:val="0"/>
          <w:numId w:val="3"/>
        </w:numPr>
        <w:rPr>
          <w:b/>
          <w:bCs/>
          <w:sz w:val="24"/>
          <w:szCs w:val="24"/>
        </w:rPr>
      </w:pPr>
      <w:r w:rsidRPr="00081AA2">
        <w:rPr>
          <w:b/>
          <w:bCs/>
          <w:sz w:val="24"/>
          <w:szCs w:val="24"/>
        </w:rPr>
        <w:t>What do I do if I get the following error message while attempting to begin an application or complete another action within CPQ?</w:t>
      </w:r>
    </w:p>
    <w:p w14:paraId="505CE748" w14:textId="4E375458" w:rsidR="00C2344D" w:rsidRDefault="00C2344D" w:rsidP="00C2344D">
      <w:pPr>
        <w:spacing w:before="100" w:beforeAutospacing="1" w:after="100" w:afterAutospacing="1"/>
        <w:jc w:val="center"/>
        <w:rPr>
          <w:rFonts w:ascii="Arial" w:hAnsi="Arial" w:cs="Arial"/>
          <w:color w:val="FF0000"/>
          <w:sz w:val="28"/>
          <w:szCs w:val="28"/>
        </w:rPr>
      </w:pPr>
      <w:r w:rsidRPr="00C2344D">
        <w:rPr>
          <w:rFonts w:ascii="Arial" w:hAnsi="Arial" w:cs="Arial"/>
          <w:color w:val="FF0000"/>
          <w:sz w:val="28"/>
          <w:szCs w:val="28"/>
        </w:rPr>
        <w:t xml:space="preserve">Access Denied, </w:t>
      </w:r>
      <w:r w:rsidR="00155331" w:rsidRPr="00C2344D">
        <w:rPr>
          <w:rFonts w:ascii="Arial" w:hAnsi="Arial" w:cs="Arial"/>
          <w:color w:val="FF0000"/>
          <w:sz w:val="28"/>
          <w:szCs w:val="28"/>
        </w:rPr>
        <w:t>please</w:t>
      </w:r>
      <w:r w:rsidRPr="00C2344D">
        <w:rPr>
          <w:rFonts w:ascii="Arial" w:hAnsi="Arial" w:cs="Arial"/>
          <w:color w:val="FF0000"/>
          <w:sz w:val="28"/>
          <w:szCs w:val="28"/>
        </w:rPr>
        <w:t xml:space="preserve"> contact application administrator.</w:t>
      </w:r>
    </w:p>
    <w:p w14:paraId="6D5382B7" w14:textId="7C82F63E" w:rsidR="00C2344D" w:rsidRDefault="00C2344D" w:rsidP="00C2344D">
      <w:pPr>
        <w:spacing w:before="100" w:beforeAutospacing="1" w:after="100" w:afterAutospacing="1"/>
      </w:pPr>
      <w:r w:rsidRPr="00C2344D">
        <w:t xml:space="preserve">If </w:t>
      </w:r>
      <w:r w:rsidR="00D724AD">
        <w:t>an applicant</w:t>
      </w:r>
      <w:r w:rsidRPr="00C2344D">
        <w:t xml:space="preserve"> get</w:t>
      </w:r>
      <w:r w:rsidR="00D724AD">
        <w:t>s</w:t>
      </w:r>
      <w:r w:rsidRPr="00C2344D">
        <w:t xml:space="preserve"> the above error </w:t>
      </w:r>
      <w:r>
        <w:t xml:space="preserve">message </w:t>
      </w:r>
      <w:r w:rsidRPr="00C2344D">
        <w:t>it means th</w:t>
      </w:r>
      <w:r w:rsidR="00D724AD">
        <w:t>e user</w:t>
      </w:r>
      <w:r w:rsidRPr="00C2344D">
        <w:t xml:space="preserve"> do</w:t>
      </w:r>
      <w:r w:rsidR="00D724AD">
        <w:t>es</w:t>
      </w:r>
      <w:r w:rsidRPr="00C2344D">
        <w:t xml:space="preserve"> not have the necessary admin permissions assigned in CPQ. To </w:t>
      </w:r>
      <w:r w:rsidR="00D724AD">
        <w:t>assign admin</w:t>
      </w:r>
      <w:r w:rsidRPr="00C2344D">
        <w:t xml:space="preserve"> </w:t>
      </w:r>
      <w:r w:rsidR="00D724AD">
        <w:t xml:space="preserve">authority to an existing </w:t>
      </w:r>
      <w:r>
        <w:t>user</w:t>
      </w:r>
      <w:r w:rsidRPr="00C2344D">
        <w:t xml:space="preserve"> click on Business &gt; Business Maintenance &gt; User Icon&gt; Select your user profile&gt;Click Edit Icon&gt;Check the Box at bottom of new window that </w:t>
      </w:r>
      <w:r w:rsidR="00155331" w:rsidRPr="00C2344D">
        <w:t>says,</w:t>
      </w:r>
      <w:r w:rsidRPr="00C2344D">
        <w:t xml:space="preserve"> “Is Business Admin”.</w:t>
      </w:r>
      <w:r>
        <w:t xml:space="preserve"> If </w:t>
      </w:r>
      <w:r w:rsidR="00D724AD">
        <w:t>a user</w:t>
      </w:r>
      <w:r>
        <w:t xml:space="preserve"> continue</w:t>
      </w:r>
      <w:r w:rsidR="00D724AD">
        <w:t>s</w:t>
      </w:r>
      <w:r>
        <w:t xml:space="preserve"> to get the </w:t>
      </w:r>
      <w:r w:rsidR="00D724AD">
        <w:t xml:space="preserve">above </w:t>
      </w:r>
      <w:r>
        <w:t xml:space="preserve">error or cannot change the roles in CPQ, please email </w:t>
      </w:r>
      <w:hyperlink r:id="rId15" w:history="1">
        <w:r>
          <w:rPr>
            <w:rStyle w:val="Hyperlink"/>
          </w:rPr>
          <w:t>sctcrequest@indot.in.gov</w:t>
        </w:r>
      </w:hyperlink>
      <w:r>
        <w:t xml:space="preserve"> for assistance.</w:t>
      </w:r>
    </w:p>
    <w:p w14:paraId="58BFE164" w14:textId="2E0C9BD4" w:rsidR="00C2344D" w:rsidRPr="00081AA2" w:rsidRDefault="00C2344D" w:rsidP="00C2344D">
      <w:pPr>
        <w:pStyle w:val="ListParagraph"/>
        <w:numPr>
          <w:ilvl w:val="0"/>
          <w:numId w:val="3"/>
        </w:numPr>
        <w:rPr>
          <w:b/>
          <w:bCs/>
          <w:sz w:val="24"/>
          <w:szCs w:val="24"/>
        </w:rPr>
      </w:pPr>
      <w:r w:rsidRPr="00081AA2">
        <w:rPr>
          <w:b/>
          <w:bCs/>
          <w:sz w:val="24"/>
          <w:szCs w:val="24"/>
        </w:rPr>
        <w:t>What do I need to know about the upcoming ITAP upgrade and system update?</w:t>
      </w:r>
    </w:p>
    <w:p w14:paraId="695FE8C0" w14:textId="5564B6AB" w:rsidR="00C2344D" w:rsidRDefault="00C2344D" w:rsidP="00C2344D">
      <w:r w:rsidRPr="00C2344D">
        <w:t>T</w:t>
      </w:r>
      <w:r w:rsidR="002D0AE7">
        <w:t xml:space="preserve">he new upgraded ITAP platform goes live on April 26, 2021. All new and existing </w:t>
      </w:r>
      <w:r w:rsidR="00D724AD">
        <w:t xml:space="preserve">ITAP </w:t>
      </w:r>
      <w:r w:rsidR="002D0AE7">
        <w:t xml:space="preserve">users must create an Access Indiana account and link their company’s ITAP business registration(s) to their new Access Indiana account. Training materials will be sent to </w:t>
      </w:r>
      <w:r>
        <w:t xml:space="preserve">all ITAP </w:t>
      </w:r>
      <w:r w:rsidR="002D0AE7">
        <w:t xml:space="preserve">users in the coming weeks. Please note that as a result of the new system launch, </w:t>
      </w:r>
      <w:r w:rsidR="002D0AE7" w:rsidRPr="00C2344D">
        <w:rPr>
          <w:b/>
          <w:bCs/>
          <w:color w:val="FF0000"/>
          <w:u w:val="single"/>
        </w:rPr>
        <w:t>ITAP will be offline from 5:00 PM EST on Friday, April 23</w:t>
      </w:r>
      <w:r w:rsidR="002D0AE7" w:rsidRPr="00C2344D">
        <w:rPr>
          <w:b/>
          <w:bCs/>
          <w:color w:val="FF0000"/>
          <w:u w:val="single"/>
          <w:vertAlign w:val="superscript"/>
        </w:rPr>
        <w:t>rd</w:t>
      </w:r>
      <w:r w:rsidR="002D0AE7" w:rsidRPr="00C2344D">
        <w:rPr>
          <w:b/>
          <w:bCs/>
          <w:color w:val="FF0000"/>
          <w:u w:val="single"/>
        </w:rPr>
        <w:t xml:space="preserve"> until the morning of Monday, April 26</w:t>
      </w:r>
      <w:r w:rsidR="002D0AE7" w:rsidRPr="00C2344D">
        <w:rPr>
          <w:b/>
          <w:bCs/>
          <w:color w:val="FF0000"/>
          <w:u w:val="single"/>
          <w:vertAlign w:val="superscript"/>
        </w:rPr>
        <w:t>th</w:t>
      </w:r>
      <w:r w:rsidR="002D0AE7">
        <w:t xml:space="preserve">. During this time, firms will be unable to edit or create applications for prequalification in CPQ. </w:t>
      </w:r>
    </w:p>
    <w:p w14:paraId="0F1E3E05" w14:textId="112ABAD2" w:rsidR="00DA3EF9" w:rsidRDefault="002D0AE7" w:rsidP="00081AA2">
      <w:r>
        <w:t xml:space="preserve">Please direct questions regarding ITAP and Access Indiana to </w:t>
      </w:r>
      <w:r w:rsidR="00081AA2">
        <w:t>Karie Riley (</w:t>
      </w:r>
      <w:r w:rsidR="00081AA2" w:rsidRPr="00081AA2">
        <w:t>KRiley2@indot.IN.gov</w:t>
      </w:r>
      <w:r w:rsidR="00081AA2">
        <w:t xml:space="preserve">) and </w:t>
      </w:r>
      <w:r w:rsidR="00C2344D">
        <w:t xml:space="preserve">Vijaya </w:t>
      </w:r>
      <w:r w:rsidR="00C2344D" w:rsidRPr="00C2344D">
        <w:t>Marakani</w:t>
      </w:r>
      <w:r w:rsidR="00C2344D">
        <w:t xml:space="preserve"> (</w:t>
      </w:r>
      <w:r w:rsidR="00C2344D" w:rsidRPr="00C2344D">
        <w:t>VMARAKANI@indot.IN.gov</w:t>
      </w:r>
      <w:r w:rsidR="00C2344D">
        <w:t>)</w:t>
      </w:r>
      <w:r>
        <w:t xml:space="preserve">. </w:t>
      </w:r>
    </w:p>
    <w:p w14:paraId="2F4DCC27" w14:textId="4535BBF2" w:rsidR="00DA3EF9" w:rsidRPr="00DA3EF9" w:rsidRDefault="00DA3EF9" w:rsidP="00DA3EF9">
      <w:pPr>
        <w:pStyle w:val="ListParagraph"/>
        <w:numPr>
          <w:ilvl w:val="0"/>
          <w:numId w:val="3"/>
        </w:numPr>
        <w:rPr>
          <w:b/>
          <w:bCs/>
        </w:rPr>
      </w:pPr>
      <w:r w:rsidRPr="00DA3EF9">
        <w:rPr>
          <w:b/>
          <w:bCs/>
          <w:sz w:val="24"/>
          <w:szCs w:val="24"/>
        </w:rPr>
        <w:t>What if I have questions about CPQ as I complete my application?</w:t>
      </w:r>
    </w:p>
    <w:p w14:paraId="60F3EE9F" w14:textId="26F1A0E7" w:rsidR="00D724AD" w:rsidRDefault="00D724AD" w:rsidP="00DA3EF9">
      <w:pPr>
        <w:rPr>
          <w:rFonts w:eastAsia="Calibri" w:cstheme="minorHAnsi"/>
        </w:rPr>
      </w:pPr>
      <w:r>
        <w:rPr>
          <w:rFonts w:cstheme="minorHAnsi"/>
        </w:rPr>
        <w:lastRenderedPageBreak/>
        <w:t xml:space="preserve">Please reference the </w:t>
      </w:r>
      <w:hyperlink r:id="rId16" w:history="1">
        <w:r>
          <w:rPr>
            <w:rStyle w:val="Hyperlink"/>
          </w:rPr>
          <w:t>CPQ User Guide</w:t>
        </w:r>
      </w:hyperlink>
      <w:r>
        <w:rPr>
          <w:rStyle w:val="Hyperlink"/>
          <w:color w:val="auto"/>
          <w:u w:val="none"/>
        </w:rPr>
        <w:t xml:space="preserve"> and </w:t>
      </w:r>
      <w:hyperlink r:id="rId17" w:history="1">
        <w:r>
          <w:rPr>
            <w:rStyle w:val="Hyperlink"/>
          </w:rPr>
          <w:t>CPQ training video</w:t>
        </w:r>
      </w:hyperlink>
      <w:r w:rsidR="00B10D96">
        <w:rPr>
          <w:rStyle w:val="Hyperlink"/>
          <w:color w:val="auto"/>
          <w:u w:val="none"/>
        </w:rPr>
        <w:t xml:space="preserve"> for an overview and step by step guide to completing the new application process. </w:t>
      </w:r>
      <w:r w:rsidRPr="00D724AD">
        <w:rPr>
          <w:rStyle w:val="Hyperlink"/>
          <w:color w:val="auto"/>
          <w:u w:val="none"/>
        </w:rPr>
        <w:t>.</w:t>
      </w:r>
      <w:r>
        <w:rPr>
          <w:rStyle w:val="Hyperlink"/>
          <w:color w:val="auto"/>
          <w:u w:val="none"/>
        </w:rPr>
        <w:t xml:space="preserve"> If </w:t>
      </w:r>
      <w:r w:rsidR="00B10D96">
        <w:rPr>
          <w:rStyle w:val="Hyperlink"/>
          <w:color w:val="auto"/>
          <w:u w:val="none"/>
        </w:rPr>
        <w:t xml:space="preserve">the user guide and video do not answer the question, please </w:t>
      </w:r>
      <w:r>
        <w:rPr>
          <w:rStyle w:val="Hyperlink"/>
          <w:color w:val="auto"/>
          <w:u w:val="none"/>
        </w:rPr>
        <w:t>send an email to the contractor prequalification team</w:t>
      </w:r>
      <w:r w:rsidRPr="00DA3EF9">
        <w:rPr>
          <w:rFonts w:cstheme="minorHAnsi"/>
        </w:rPr>
        <w:t>: Chris Serak</w:t>
      </w:r>
      <w:r>
        <w:rPr>
          <w:rFonts w:cstheme="minorHAnsi"/>
        </w:rPr>
        <w:t>, Prequal Director</w:t>
      </w:r>
      <w:r w:rsidRPr="00DA3EF9">
        <w:rPr>
          <w:rFonts w:cstheme="minorHAnsi"/>
        </w:rPr>
        <w:t xml:space="preserve"> (</w:t>
      </w:r>
      <w:hyperlink r:id="rId18" w:history="1">
        <w:r w:rsidRPr="00DA3EF9">
          <w:rPr>
            <w:rStyle w:val="Hyperlink"/>
            <w:rFonts w:eastAsia="Calibri" w:cstheme="minorHAnsi"/>
            <w:shd w:val="clear" w:color="auto" w:fill="FEFEFE"/>
          </w:rPr>
          <w:t>chserak@indot.in.gov</w:t>
        </w:r>
      </w:hyperlink>
      <w:r w:rsidRPr="00DA3EF9">
        <w:rPr>
          <w:rFonts w:eastAsia="Calibri" w:cstheme="minorHAnsi"/>
          <w:color w:val="0C2440"/>
          <w:u w:val="single"/>
          <w:shd w:val="clear" w:color="auto" w:fill="FEFEFE"/>
        </w:rPr>
        <w:t>)</w:t>
      </w:r>
      <w:r w:rsidRPr="00DA3EF9">
        <w:rPr>
          <w:rFonts w:eastAsia="Calibri" w:cstheme="minorHAnsi"/>
          <w:color w:val="333333"/>
          <w:shd w:val="clear" w:color="auto" w:fill="FEFEFE"/>
        </w:rPr>
        <w:t xml:space="preserve">; </w:t>
      </w:r>
      <w:r>
        <w:rPr>
          <w:rFonts w:eastAsia="Calibri" w:cstheme="minorHAnsi"/>
          <w:color w:val="333333"/>
          <w:shd w:val="clear" w:color="auto" w:fill="FEFEFE"/>
        </w:rPr>
        <w:t>Jose Murillo, Prequal Engineer (</w:t>
      </w:r>
      <w:hyperlink r:id="rId19" w:history="1">
        <w:r w:rsidRPr="00DA3EF9">
          <w:rPr>
            <w:rStyle w:val="Hyperlink"/>
            <w:rFonts w:eastAsia="Calibri" w:cstheme="minorHAnsi"/>
          </w:rPr>
          <w:t>jomurillo@indot.in.gov</w:t>
        </w:r>
      </w:hyperlink>
      <w:r>
        <w:rPr>
          <w:rFonts w:eastAsia="Calibri" w:cstheme="minorHAnsi"/>
          <w:color w:val="0563C1"/>
          <w:u w:val="single"/>
        </w:rPr>
        <w:t>)</w:t>
      </w:r>
      <w:r w:rsidRPr="00DA3EF9">
        <w:rPr>
          <w:rFonts w:eastAsia="Calibri" w:cstheme="minorHAnsi"/>
        </w:rPr>
        <w:t xml:space="preserve">; </w:t>
      </w:r>
      <w:r>
        <w:rPr>
          <w:rFonts w:eastAsia="Calibri" w:cstheme="minorHAnsi"/>
        </w:rPr>
        <w:t>Greg Christoff, Prequal Auditor (</w:t>
      </w:r>
      <w:hyperlink r:id="rId20" w:history="1">
        <w:r w:rsidRPr="00DA3EF9">
          <w:rPr>
            <w:rStyle w:val="Hyperlink"/>
            <w:rFonts w:eastAsia="Calibri" w:cstheme="minorHAnsi"/>
          </w:rPr>
          <w:t>gchristoff@indot.in.gov</w:t>
        </w:r>
      </w:hyperlink>
      <w:r>
        <w:rPr>
          <w:rFonts w:eastAsia="Calibri" w:cstheme="minorHAnsi"/>
          <w:color w:val="0563C1"/>
          <w:u w:val="single"/>
        </w:rPr>
        <w:t>)</w:t>
      </w:r>
      <w:r w:rsidRPr="00DA3EF9">
        <w:rPr>
          <w:rFonts w:eastAsia="Calibri" w:cstheme="minorHAnsi"/>
        </w:rPr>
        <w:t xml:space="preserve">; </w:t>
      </w:r>
      <w:r>
        <w:rPr>
          <w:rFonts w:eastAsia="Calibri" w:cstheme="minorHAnsi"/>
        </w:rPr>
        <w:t>Aggie Wagoner, Prequal Specialist (</w:t>
      </w:r>
      <w:hyperlink r:id="rId21" w:history="1">
        <w:r w:rsidRPr="00DA3EF9">
          <w:rPr>
            <w:rStyle w:val="Hyperlink"/>
            <w:rFonts w:eastAsia="Calibri" w:cstheme="minorHAnsi"/>
          </w:rPr>
          <w:t>awagoner@indot.in.gov</w:t>
        </w:r>
      </w:hyperlink>
      <w:r>
        <w:rPr>
          <w:rFonts w:eastAsia="Calibri" w:cstheme="minorHAnsi"/>
          <w:color w:val="0563C1"/>
          <w:u w:val="single"/>
        </w:rPr>
        <w:t>)</w:t>
      </w:r>
      <w:r w:rsidRPr="00DA3EF9">
        <w:rPr>
          <w:rFonts w:eastAsia="Calibri" w:cstheme="minorHAnsi"/>
        </w:rPr>
        <w:t>;</w:t>
      </w:r>
      <w:r>
        <w:rPr>
          <w:rFonts w:eastAsia="Calibri" w:cstheme="minorHAnsi"/>
        </w:rPr>
        <w:t xml:space="preserve"> and Pat Goralski, Technical and Performance Manager </w:t>
      </w:r>
      <w:r w:rsidR="00B10D96">
        <w:rPr>
          <w:rFonts w:eastAsia="Calibri" w:cstheme="minorHAnsi"/>
        </w:rPr>
        <w:t>(</w:t>
      </w:r>
      <w:hyperlink r:id="rId22" w:history="1">
        <w:r w:rsidR="00B10D96" w:rsidRPr="00D74ED4">
          <w:rPr>
            <w:rStyle w:val="Hyperlink"/>
            <w:rFonts w:eastAsia="Calibri" w:cstheme="minorHAnsi"/>
          </w:rPr>
          <w:t>pgoralski@indot.in.gov</w:t>
        </w:r>
      </w:hyperlink>
      <w:r w:rsidR="00B10D96">
        <w:rPr>
          <w:rFonts w:eastAsia="Calibri" w:cstheme="minorHAnsi"/>
        </w:rPr>
        <w:t>)</w:t>
      </w:r>
      <w:r>
        <w:rPr>
          <w:rFonts w:eastAsia="Calibri" w:cstheme="minorHAnsi"/>
        </w:rPr>
        <w:t>.</w:t>
      </w:r>
    </w:p>
    <w:p w14:paraId="19199BD2" w14:textId="067B7E24" w:rsidR="00B10D96" w:rsidRDefault="00D724AD" w:rsidP="00B10D96">
      <w:pPr>
        <w:pBdr>
          <w:bottom w:val="single" w:sz="12" w:space="1" w:color="auto"/>
        </w:pBdr>
        <w:rPr>
          <w:rFonts w:cstheme="minorHAnsi"/>
        </w:rPr>
      </w:pPr>
      <w:r>
        <w:rPr>
          <w:rFonts w:cstheme="minorHAnsi"/>
        </w:rPr>
        <w:t>Emails should include a brief explanation of the issue the applicant is encountering, including scree</w:t>
      </w:r>
      <w:r w:rsidR="00B10D96">
        <w:rPr>
          <w:rFonts w:cstheme="minorHAnsi"/>
        </w:rPr>
        <w:t>n</w:t>
      </w:r>
      <w:r>
        <w:rPr>
          <w:rFonts w:cstheme="minorHAnsi"/>
        </w:rPr>
        <w:t xml:space="preserve"> grabs and other files</w:t>
      </w:r>
      <w:r w:rsidR="00B10D96">
        <w:rPr>
          <w:rFonts w:cstheme="minorHAnsi"/>
        </w:rPr>
        <w:t xml:space="preserve"> as needed</w:t>
      </w:r>
      <w:r>
        <w:rPr>
          <w:rFonts w:cstheme="minorHAnsi"/>
        </w:rPr>
        <w:t xml:space="preserve">. </w:t>
      </w:r>
      <w:r w:rsidR="00B10D96">
        <w:rPr>
          <w:rFonts w:cstheme="minorHAnsi"/>
        </w:rPr>
        <w:t xml:space="preserve">Email is the best means of resolving CPQ questions as it allows the team to send links and review files that are giving an applicant trouble. Sending an email to the whole team ensures the person with the right expertise receives each inquiry. </w:t>
      </w:r>
    </w:p>
    <w:p w14:paraId="20FBCCCE" w14:textId="5E287484" w:rsidR="00B10D96" w:rsidRDefault="00B10D96" w:rsidP="00B10D96">
      <w:r>
        <w:rPr>
          <w:rFonts w:cstheme="minorHAnsi"/>
        </w:rPr>
        <w:t xml:space="preserve">The contractor prequalification team will update this FAQ from time to time as necessary to equip applicants to navigate the CPQ system. The above FAQs are based on the questions we are currently receiving and ask that contractors continue communicating their experience using the new process. The information and feedback we have received from construction partners has been critical to the functionality of the CPQ system. </w:t>
      </w:r>
    </w:p>
    <w:p w14:paraId="39780CFB" w14:textId="510AC784" w:rsidR="00DA3EF9" w:rsidRDefault="00DA3EF9" w:rsidP="00DA3EF9">
      <w:r>
        <w:tab/>
      </w:r>
      <w:r>
        <w:tab/>
      </w:r>
      <w:r>
        <w:tab/>
      </w:r>
      <w:r>
        <w:tab/>
      </w:r>
      <w:r>
        <w:tab/>
      </w:r>
      <w:r>
        <w:tab/>
      </w:r>
      <w:r w:rsidR="00B10D96">
        <w:tab/>
      </w:r>
      <w:r>
        <w:t xml:space="preserve">Respectfully Yours, </w:t>
      </w:r>
    </w:p>
    <w:p w14:paraId="56204F98" w14:textId="77777777" w:rsidR="00DA3EF9" w:rsidRDefault="00DA3EF9" w:rsidP="00DA3EF9">
      <w:pPr>
        <w:spacing w:after="0" w:line="240" w:lineRule="auto"/>
      </w:pPr>
      <w:r>
        <w:tab/>
      </w:r>
      <w:r>
        <w:tab/>
      </w:r>
      <w:r>
        <w:tab/>
      </w:r>
      <w:r>
        <w:tab/>
      </w:r>
      <w:r>
        <w:tab/>
      </w:r>
      <w:r>
        <w:tab/>
      </w:r>
      <w:r>
        <w:tab/>
      </w:r>
    </w:p>
    <w:p w14:paraId="15D4BFCC" w14:textId="60D25C12" w:rsidR="00DA3EF9" w:rsidRDefault="00DA3EF9" w:rsidP="00DA3EF9">
      <w:pPr>
        <w:spacing w:after="0" w:line="240" w:lineRule="auto"/>
        <w:ind w:left="4320" w:firstLine="720"/>
      </w:pPr>
      <w:r w:rsidRPr="00DA3EF9">
        <w:rPr>
          <w:i/>
          <w:iCs/>
          <w:u w:val="single"/>
        </w:rPr>
        <w:t>/s/: Chris Serak</w:t>
      </w:r>
      <w:r>
        <w:t>___________</w:t>
      </w:r>
      <w:r>
        <w:tab/>
      </w:r>
    </w:p>
    <w:p w14:paraId="6DD0A276" w14:textId="2FA8264E" w:rsidR="00DA3EF9" w:rsidRDefault="00DA3EF9" w:rsidP="00DA3EF9">
      <w:pPr>
        <w:spacing w:after="0" w:line="240" w:lineRule="auto"/>
      </w:pPr>
      <w:r>
        <w:tab/>
      </w:r>
      <w:r>
        <w:tab/>
      </w:r>
      <w:r>
        <w:tab/>
      </w:r>
      <w:r>
        <w:tab/>
      </w:r>
      <w:r>
        <w:tab/>
      </w:r>
      <w:r>
        <w:tab/>
      </w:r>
      <w:r>
        <w:tab/>
        <w:t xml:space="preserve">Christopher B. Serak, </w:t>
      </w:r>
    </w:p>
    <w:p w14:paraId="7241703F" w14:textId="36F58385" w:rsidR="00DA3EF9" w:rsidRDefault="00DA3EF9" w:rsidP="00DA3EF9">
      <w:pPr>
        <w:spacing w:after="0" w:line="240" w:lineRule="auto"/>
        <w:ind w:left="4320" w:firstLine="720"/>
      </w:pPr>
      <w:r>
        <w:t>Prequalification Director</w:t>
      </w:r>
    </w:p>
    <w:p w14:paraId="10010F63" w14:textId="12F7DCC3" w:rsidR="00DA3EF9" w:rsidRDefault="00DA3EF9" w:rsidP="00DA3EF9">
      <w:pPr>
        <w:spacing w:after="0" w:line="240" w:lineRule="auto"/>
        <w:ind w:left="4320" w:firstLine="720"/>
      </w:pPr>
      <w:r>
        <w:t>Ethics Officer</w:t>
      </w:r>
    </w:p>
    <w:p w14:paraId="19D7E24B" w14:textId="537C121A" w:rsidR="00DA3EF9" w:rsidRPr="00081AA2" w:rsidRDefault="00DA3EF9" w:rsidP="00DA3EF9">
      <w:pPr>
        <w:spacing w:after="0" w:line="240" w:lineRule="auto"/>
      </w:pPr>
      <w:r>
        <w:tab/>
      </w:r>
      <w:r>
        <w:tab/>
      </w:r>
    </w:p>
    <w:sectPr w:rsidR="00DA3EF9" w:rsidRPr="0008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AC8"/>
    <w:multiLevelType w:val="hybridMultilevel"/>
    <w:tmpl w:val="D90AED1C"/>
    <w:lvl w:ilvl="0" w:tplc="079C46DC">
      <w:start w:val="1"/>
      <w:numFmt w:val="decimal"/>
      <w:lvlText w:val="(%1)"/>
      <w:lvlJc w:val="left"/>
      <w:pPr>
        <w:ind w:left="72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C32"/>
    <w:multiLevelType w:val="hybridMultilevel"/>
    <w:tmpl w:val="EF369388"/>
    <w:lvl w:ilvl="0" w:tplc="2E3C1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63558"/>
    <w:multiLevelType w:val="hybridMultilevel"/>
    <w:tmpl w:val="B1BE7220"/>
    <w:lvl w:ilvl="0" w:tplc="3EAE16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66366"/>
    <w:multiLevelType w:val="hybridMultilevel"/>
    <w:tmpl w:val="9476E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C96511"/>
    <w:multiLevelType w:val="hybridMultilevel"/>
    <w:tmpl w:val="0FD48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3283E"/>
    <w:multiLevelType w:val="hybridMultilevel"/>
    <w:tmpl w:val="294CC804"/>
    <w:lvl w:ilvl="0" w:tplc="B394E5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5A3E"/>
    <w:multiLevelType w:val="hybridMultilevel"/>
    <w:tmpl w:val="62A619F4"/>
    <w:lvl w:ilvl="0" w:tplc="15BAD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363E4"/>
    <w:multiLevelType w:val="hybridMultilevel"/>
    <w:tmpl w:val="DC04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4D0820"/>
    <w:multiLevelType w:val="hybridMultilevel"/>
    <w:tmpl w:val="D10AE71A"/>
    <w:lvl w:ilvl="0" w:tplc="5F8AA1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24E2D"/>
    <w:multiLevelType w:val="hybridMultilevel"/>
    <w:tmpl w:val="84C299BC"/>
    <w:lvl w:ilvl="0" w:tplc="3EAE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3C"/>
    <w:rsid w:val="00081AA2"/>
    <w:rsid w:val="000D40BB"/>
    <w:rsid w:val="0012736F"/>
    <w:rsid w:val="0013486C"/>
    <w:rsid w:val="00155331"/>
    <w:rsid w:val="0017769F"/>
    <w:rsid w:val="002D0AE7"/>
    <w:rsid w:val="00374C3D"/>
    <w:rsid w:val="00433B8D"/>
    <w:rsid w:val="004F4C83"/>
    <w:rsid w:val="00537919"/>
    <w:rsid w:val="00544CD8"/>
    <w:rsid w:val="005B4EA7"/>
    <w:rsid w:val="0069072A"/>
    <w:rsid w:val="00774608"/>
    <w:rsid w:val="007E78AE"/>
    <w:rsid w:val="008C40A6"/>
    <w:rsid w:val="008D62B4"/>
    <w:rsid w:val="00A4142E"/>
    <w:rsid w:val="00A5563C"/>
    <w:rsid w:val="00B10D96"/>
    <w:rsid w:val="00B936DA"/>
    <w:rsid w:val="00BA2C1F"/>
    <w:rsid w:val="00BA645A"/>
    <w:rsid w:val="00C2344D"/>
    <w:rsid w:val="00C65F99"/>
    <w:rsid w:val="00CF4302"/>
    <w:rsid w:val="00D30D4B"/>
    <w:rsid w:val="00D552BE"/>
    <w:rsid w:val="00D724AD"/>
    <w:rsid w:val="00DA0035"/>
    <w:rsid w:val="00DA3EF9"/>
    <w:rsid w:val="00E41761"/>
    <w:rsid w:val="00F326B6"/>
    <w:rsid w:val="00FD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29B7"/>
  <w15:chartTrackingRefBased/>
  <w15:docId w15:val="{E1B1811E-C8EF-4948-BF3E-16B61C0D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3C"/>
    <w:pPr>
      <w:ind w:left="720"/>
      <w:contextualSpacing/>
    </w:pPr>
  </w:style>
  <w:style w:type="paragraph" w:styleId="Caption">
    <w:name w:val="caption"/>
    <w:basedOn w:val="Normal"/>
    <w:next w:val="Normal"/>
    <w:uiPriority w:val="35"/>
    <w:unhideWhenUsed/>
    <w:qFormat/>
    <w:rsid w:val="00F326B6"/>
    <w:pPr>
      <w:spacing w:after="200" w:line="240" w:lineRule="auto"/>
    </w:pPr>
    <w:rPr>
      <w:i/>
      <w:iCs/>
      <w:color w:val="44546A" w:themeColor="text2"/>
      <w:sz w:val="18"/>
      <w:szCs w:val="18"/>
    </w:rPr>
  </w:style>
  <w:style w:type="character" w:styleId="Hyperlink">
    <w:name w:val="Hyperlink"/>
    <w:basedOn w:val="DefaultParagraphFont"/>
    <w:uiPriority w:val="99"/>
    <w:unhideWhenUsed/>
    <w:rsid w:val="00544CD8"/>
    <w:rPr>
      <w:color w:val="0563C1" w:themeColor="hyperlink"/>
      <w:u w:val="single"/>
    </w:rPr>
  </w:style>
  <w:style w:type="character" w:styleId="UnresolvedMention">
    <w:name w:val="Unresolved Mention"/>
    <w:basedOn w:val="DefaultParagraphFont"/>
    <w:uiPriority w:val="99"/>
    <w:semiHidden/>
    <w:unhideWhenUsed/>
    <w:rsid w:val="00544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2929">
      <w:bodyDiv w:val="1"/>
      <w:marLeft w:val="0"/>
      <w:marRight w:val="0"/>
      <w:marTop w:val="0"/>
      <w:marBottom w:val="0"/>
      <w:divBdr>
        <w:top w:val="none" w:sz="0" w:space="0" w:color="auto"/>
        <w:left w:val="none" w:sz="0" w:space="0" w:color="auto"/>
        <w:bottom w:val="none" w:sz="0" w:space="0" w:color="auto"/>
        <w:right w:val="none" w:sz="0" w:space="0" w:color="auto"/>
      </w:divBdr>
    </w:div>
    <w:div w:id="143621281">
      <w:bodyDiv w:val="1"/>
      <w:marLeft w:val="0"/>
      <w:marRight w:val="0"/>
      <w:marTop w:val="0"/>
      <w:marBottom w:val="0"/>
      <w:divBdr>
        <w:top w:val="none" w:sz="0" w:space="0" w:color="auto"/>
        <w:left w:val="none" w:sz="0" w:space="0" w:color="auto"/>
        <w:bottom w:val="none" w:sz="0" w:space="0" w:color="auto"/>
        <w:right w:val="none" w:sz="0" w:space="0" w:color="auto"/>
      </w:divBdr>
    </w:div>
    <w:div w:id="616450602">
      <w:bodyDiv w:val="1"/>
      <w:marLeft w:val="0"/>
      <w:marRight w:val="0"/>
      <w:marTop w:val="0"/>
      <w:marBottom w:val="0"/>
      <w:divBdr>
        <w:top w:val="none" w:sz="0" w:space="0" w:color="auto"/>
        <w:left w:val="none" w:sz="0" w:space="0" w:color="auto"/>
        <w:bottom w:val="none" w:sz="0" w:space="0" w:color="auto"/>
        <w:right w:val="none" w:sz="0" w:space="0" w:color="auto"/>
      </w:divBdr>
    </w:div>
    <w:div w:id="703946958">
      <w:bodyDiv w:val="1"/>
      <w:marLeft w:val="0"/>
      <w:marRight w:val="0"/>
      <w:marTop w:val="0"/>
      <w:marBottom w:val="0"/>
      <w:divBdr>
        <w:top w:val="none" w:sz="0" w:space="0" w:color="auto"/>
        <w:left w:val="none" w:sz="0" w:space="0" w:color="auto"/>
        <w:bottom w:val="none" w:sz="0" w:space="0" w:color="auto"/>
        <w:right w:val="none" w:sz="0" w:space="0" w:color="auto"/>
      </w:divBdr>
    </w:div>
    <w:div w:id="1714040492">
      <w:bodyDiv w:val="1"/>
      <w:marLeft w:val="0"/>
      <w:marRight w:val="0"/>
      <w:marTop w:val="0"/>
      <w:marBottom w:val="0"/>
      <w:divBdr>
        <w:top w:val="none" w:sz="0" w:space="0" w:color="auto"/>
        <w:left w:val="none" w:sz="0" w:space="0" w:color="auto"/>
        <w:bottom w:val="none" w:sz="0" w:space="0" w:color="auto"/>
        <w:right w:val="none" w:sz="0" w:space="0" w:color="auto"/>
      </w:divBdr>
    </w:div>
    <w:div w:id="20185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4KZ7KsmX6M" TargetMode="External"/><Relationship Id="rId13" Type="http://schemas.openxmlformats.org/officeDocument/2006/relationships/image" Target="cid:image002.png@01D7209C.975DE8A0" TargetMode="External"/><Relationship Id="rId18" Type="http://schemas.openxmlformats.org/officeDocument/2006/relationships/hyperlink" Target="mailto:chserak@indot.in.gov" TargetMode="External"/><Relationship Id="rId3" Type="http://schemas.openxmlformats.org/officeDocument/2006/relationships/styles" Target="styles.xml"/><Relationship Id="rId21" Type="http://schemas.openxmlformats.org/officeDocument/2006/relationships/hyperlink" Target="mailto:awagoner@indot.in.gov" TargetMode="External"/><Relationship Id="rId7" Type="http://schemas.openxmlformats.org/officeDocument/2006/relationships/hyperlink" Target="https://www.in.gov/indot/files/User%20Guide%20for%20CPQ.pdf" TargetMode="External"/><Relationship Id="rId12" Type="http://schemas.openxmlformats.org/officeDocument/2006/relationships/image" Target="media/image3.png"/><Relationship Id="rId17" Type="http://schemas.openxmlformats.org/officeDocument/2006/relationships/hyperlink" Target="https://youtu.be/54KZ7KsmX6M" TargetMode="External"/><Relationship Id="rId2" Type="http://schemas.openxmlformats.org/officeDocument/2006/relationships/numbering" Target="numbering.xml"/><Relationship Id="rId16" Type="http://schemas.openxmlformats.org/officeDocument/2006/relationships/hyperlink" Target="https://www.in.gov/indot/files/User%20Guide%20for%20CPQ.pdf" TargetMode="External"/><Relationship Id="rId20" Type="http://schemas.openxmlformats.org/officeDocument/2006/relationships/hyperlink" Target="mailto:gchristoff@indot.in.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Goralski@indot.I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tcrequest@indot.in.gov" TargetMode="External"/><Relationship Id="rId23" Type="http://schemas.openxmlformats.org/officeDocument/2006/relationships/fontTable" Target="fontTable.xml"/><Relationship Id="rId10" Type="http://schemas.openxmlformats.org/officeDocument/2006/relationships/hyperlink" Target="mailto:JoMurillo@indot.IN.gov" TargetMode="External"/><Relationship Id="rId19" Type="http://schemas.openxmlformats.org/officeDocument/2006/relationships/hyperlink" Target="mailto:jomurillo@indot.in.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ctcrequest@indot.in.gov" TargetMode="External"/><Relationship Id="rId22" Type="http://schemas.openxmlformats.org/officeDocument/2006/relationships/hyperlink" Target="mailto:pgoralski@indot.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D635-E036-4697-94F6-096F1BAE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Serak, Chris (INDOT)</dc:creator>
  <cp:keywords/>
  <dc:description/>
  <cp:lastModifiedBy>Serak, Chris (INDOT)</cp:lastModifiedBy>
  <cp:revision>2</cp:revision>
  <dcterms:created xsi:type="dcterms:W3CDTF">2021-04-06T18:03:00Z</dcterms:created>
  <dcterms:modified xsi:type="dcterms:W3CDTF">2021-04-06T18:03:00Z</dcterms:modified>
</cp:coreProperties>
</file>