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AD06" w14:textId="21A03D6D" w:rsidR="00AD1648" w:rsidRDefault="008020BD">
      <w:r>
        <w:t>BABA / Buy America Guidance</w:t>
      </w:r>
    </w:p>
    <w:tbl>
      <w:tblPr>
        <w:tblStyle w:val="TableGrid"/>
        <w:tblW w:w="0" w:type="auto"/>
        <w:tblLayout w:type="fixed"/>
        <w:tblLook w:val="04A0" w:firstRow="1" w:lastRow="0" w:firstColumn="1" w:lastColumn="0" w:noHBand="0" w:noVBand="1"/>
      </w:tblPr>
      <w:tblGrid>
        <w:gridCol w:w="1615"/>
        <w:gridCol w:w="3690"/>
        <w:gridCol w:w="3510"/>
        <w:gridCol w:w="5490"/>
      </w:tblGrid>
      <w:tr w:rsidR="00B63111" w14:paraId="6CF0DBC9" w14:textId="77777777" w:rsidTr="00043842">
        <w:tc>
          <w:tcPr>
            <w:tcW w:w="1615" w:type="dxa"/>
          </w:tcPr>
          <w:p w14:paraId="7E700785" w14:textId="052FD289" w:rsidR="00B63111" w:rsidRDefault="00B63111">
            <w:r>
              <w:t>Item Category</w:t>
            </w:r>
          </w:p>
        </w:tc>
        <w:tc>
          <w:tcPr>
            <w:tcW w:w="3690" w:type="dxa"/>
          </w:tcPr>
          <w:p w14:paraId="2ADD6EE1" w14:textId="79329DD0" w:rsidR="00B63111" w:rsidRDefault="00B63111">
            <w:r>
              <w:t>Item Definition</w:t>
            </w:r>
          </w:p>
        </w:tc>
        <w:tc>
          <w:tcPr>
            <w:tcW w:w="3510" w:type="dxa"/>
          </w:tcPr>
          <w:p w14:paraId="0BF3876E" w14:textId="3A439DA3" w:rsidR="00B63111" w:rsidRDefault="00B63111">
            <w:r>
              <w:t>Policies</w:t>
            </w:r>
          </w:p>
        </w:tc>
        <w:tc>
          <w:tcPr>
            <w:tcW w:w="5490" w:type="dxa"/>
          </w:tcPr>
          <w:p w14:paraId="189F4AB3" w14:textId="5F220B6A" w:rsidR="00B63111" w:rsidRDefault="00B63111">
            <w:r>
              <w:t>Waivers</w:t>
            </w:r>
          </w:p>
        </w:tc>
      </w:tr>
      <w:tr w:rsidR="00B63111" w14:paraId="618CDF89" w14:textId="77777777" w:rsidTr="00043842">
        <w:tc>
          <w:tcPr>
            <w:tcW w:w="1615" w:type="dxa"/>
          </w:tcPr>
          <w:p w14:paraId="6F2CA348" w14:textId="76A46589" w:rsidR="00B63111" w:rsidRDefault="00B63111">
            <w:r>
              <w:t>Steel/Iron</w:t>
            </w:r>
          </w:p>
        </w:tc>
        <w:tc>
          <w:tcPr>
            <w:tcW w:w="3690" w:type="dxa"/>
          </w:tcPr>
          <w:p w14:paraId="0E322980" w14:textId="77777777" w:rsidR="00B63111" w:rsidRDefault="00B63111">
            <w:r w:rsidRPr="00C61D45">
              <w:t>articles, materials, or supplies that consist wholly or predominantly of iron or steel or a combination of both.</w:t>
            </w:r>
          </w:p>
          <w:p w14:paraId="77F37E0C" w14:textId="77777777" w:rsidR="00A748E8" w:rsidRDefault="00A748E8"/>
          <w:p w14:paraId="5337867F" w14:textId="77777777" w:rsidR="00A748E8" w:rsidRDefault="00A748E8" w:rsidP="00A748E8">
            <w:r w:rsidRPr="00A748E8">
              <w:rPr>
                <w:i/>
                <w:iCs/>
              </w:rPr>
              <w:t>Predominantly of iron or steel or a combination of both</w:t>
            </w:r>
            <w:r w:rsidRPr="005945B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p>
          <w:p w14:paraId="1E80E556" w14:textId="2E0B812F" w:rsidR="00A748E8" w:rsidRDefault="00A748E8"/>
        </w:tc>
        <w:tc>
          <w:tcPr>
            <w:tcW w:w="3510" w:type="dxa"/>
          </w:tcPr>
          <w:p w14:paraId="11ACAA88" w14:textId="77777777" w:rsidR="00B40332" w:rsidRDefault="00B40332" w:rsidP="00F531A3">
            <w:pPr>
              <w:pStyle w:val="indent-3"/>
              <w:numPr>
                <w:ilvl w:val="0"/>
                <w:numId w:val="1"/>
              </w:numPr>
              <w:ind w:left="336"/>
            </w:pPr>
            <w:r>
              <w:t xml:space="preserve">49 </w:t>
            </w:r>
            <w:proofErr w:type="spellStart"/>
            <w:r>
              <w:t>cfr</w:t>
            </w:r>
            <w:proofErr w:type="spellEnd"/>
            <w:r>
              <w:t xml:space="preserve"> 661</w:t>
            </w:r>
          </w:p>
          <w:p w14:paraId="1367D90E" w14:textId="77777777" w:rsidR="00706391" w:rsidRDefault="00706391" w:rsidP="00706391">
            <w:pPr>
              <w:pStyle w:val="indent-3"/>
              <w:numPr>
                <w:ilvl w:val="1"/>
                <w:numId w:val="1"/>
              </w:numPr>
              <w:ind w:left="696"/>
            </w:pPr>
            <w:r>
              <w:t>5/30/2018</w:t>
            </w:r>
          </w:p>
          <w:p w14:paraId="2816E0ED" w14:textId="77777777" w:rsidR="00B40332" w:rsidRDefault="00B40332" w:rsidP="00F531A3">
            <w:pPr>
              <w:pStyle w:val="indent-3"/>
              <w:numPr>
                <w:ilvl w:val="1"/>
                <w:numId w:val="1"/>
              </w:numPr>
              <w:ind w:left="696"/>
            </w:pPr>
            <w:hyperlink r:id="rId5" w:history="1">
              <w:r w:rsidRPr="00841BB5">
                <w:rPr>
                  <w:rStyle w:val="Hyperlink"/>
                </w:rPr>
                <w:t>https://www.ecfr.gov/current/title-49/subtitle-B/chapter-VI/part-661</w:t>
              </w:r>
            </w:hyperlink>
          </w:p>
          <w:p w14:paraId="4984B213" w14:textId="77777777" w:rsidR="000D691F" w:rsidRDefault="000D691F" w:rsidP="00F531A3">
            <w:pPr>
              <w:pStyle w:val="indent-3"/>
              <w:numPr>
                <w:ilvl w:val="0"/>
                <w:numId w:val="1"/>
              </w:numPr>
              <w:ind w:left="336"/>
            </w:pPr>
            <w:r>
              <w:t>23 CFR 635.410</w:t>
            </w:r>
          </w:p>
          <w:p w14:paraId="02B04D89" w14:textId="77777777" w:rsidR="000D691F" w:rsidRDefault="000D691F" w:rsidP="00F531A3">
            <w:pPr>
              <w:pStyle w:val="indent-3"/>
              <w:numPr>
                <w:ilvl w:val="1"/>
                <w:numId w:val="1"/>
              </w:numPr>
              <w:ind w:left="696"/>
            </w:pPr>
            <w:r>
              <w:t>12/10/02</w:t>
            </w:r>
          </w:p>
          <w:p w14:paraId="51EAE889" w14:textId="4931350B" w:rsidR="00B63111" w:rsidRDefault="000D691F" w:rsidP="00F531A3">
            <w:pPr>
              <w:pStyle w:val="indent-3"/>
              <w:numPr>
                <w:ilvl w:val="1"/>
                <w:numId w:val="1"/>
              </w:numPr>
              <w:ind w:left="696"/>
            </w:pPr>
            <w:hyperlink r:id="rId6" w:history="1">
              <w:r w:rsidRPr="00841BB5">
                <w:rPr>
                  <w:rStyle w:val="Hyperlink"/>
                </w:rPr>
                <w:t>https://www.ecfr.gov/current/title-23/chapter-I/subchapter-G/part-635/subpart-D/section-635.410</w:t>
              </w:r>
            </w:hyperlink>
          </w:p>
        </w:tc>
        <w:tc>
          <w:tcPr>
            <w:tcW w:w="5490" w:type="dxa"/>
          </w:tcPr>
          <w:p w14:paraId="59D47A64" w14:textId="77777777" w:rsidR="00D8247D" w:rsidRDefault="00D8247D" w:rsidP="00341A70">
            <w:pPr>
              <w:pStyle w:val="indent-3"/>
            </w:pPr>
            <w:r w:rsidRPr="00CC4A99">
              <w:t>When steel and iron materials are used in a project, the requirements of this section do not prevent a minimal use of foreign steel and iron materials, if the cost of such materials used does not exceed one-tenth of one percent (0.1 percent) of the total contract cost or $2,500, whichever is greater. For purposes of this paragraph, the cost is that shown to be the value of the steel and iron products as they are delivered to the project</w:t>
            </w:r>
          </w:p>
          <w:p w14:paraId="3BE7B6DF" w14:textId="77777777" w:rsidR="00B63111" w:rsidRDefault="00B63111"/>
        </w:tc>
      </w:tr>
      <w:tr w:rsidR="00B63111" w14:paraId="7BD3E374" w14:textId="77777777" w:rsidTr="00043842">
        <w:tc>
          <w:tcPr>
            <w:tcW w:w="1615" w:type="dxa"/>
          </w:tcPr>
          <w:p w14:paraId="6E1D0567" w14:textId="2E7A0970" w:rsidR="00B63111" w:rsidRDefault="00B63111">
            <w:r>
              <w:t>Manufacture</w:t>
            </w:r>
            <w:r w:rsidR="00C01417">
              <w:t xml:space="preserve">d </w:t>
            </w:r>
            <w:r>
              <w:t>Products</w:t>
            </w:r>
          </w:p>
        </w:tc>
        <w:tc>
          <w:tcPr>
            <w:tcW w:w="3690" w:type="dxa"/>
          </w:tcPr>
          <w:p w14:paraId="2CC8662D" w14:textId="77777777" w:rsidR="004F2409" w:rsidRDefault="004F2409" w:rsidP="004F2409">
            <w:pPr>
              <w:pStyle w:val="indent-2"/>
            </w:pPr>
            <w:r>
              <w:rPr>
                <w:rStyle w:val="paren"/>
                <w:rFonts w:eastAsiaTheme="majorEastAsia"/>
              </w:rPr>
              <w:t>(</w:t>
            </w:r>
            <w:r>
              <w:rPr>
                <w:rStyle w:val="paragraph-hierarchy"/>
                <w:rFonts w:eastAsiaTheme="majorEastAsia"/>
              </w:rPr>
              <w:t>1</w:t>
            </w:r>
            <w:r>
              <w:rPr>
                <w:rStyle w:val="paren"/>
                <w:rFonts w:eastAsiaTheme="majorEastAsia"/>
              </w:rPr>
              <w:t>)</w:t>
            </w:r>
            <w:r>
              <w:t xml:space="preserve"> Articles, materials, or supplies that have been:</w:t>
            </w:r>
          </w:p>
          <w:p w14:paraId="1F049435" w14:textId="77777777" w:rsidR="004F2409" w:rsidRDefault="004F2409" w:rsidP="004F2409">
            <w:pPr>
              <w:pStyle w:val="indent-3"/>
            </w:pPr>
            <w:r>
              <w:rPr>
                <w:rStyle w:val="paren"/>
                <w:rFonts w:eastAsiaTheme="majorEastAsia"/>
              </w:rPr>
              <w:t>(</w:t>
            </w:r>
            <w:r>
              <w:rPr>
                <w:rStyle w:val="paragraph-hierarchy"/>
                <w:rFonts w:eastAsiaTheme="majorEastAsia"/>
              </w:rPr>
              <w:t>i</w:t>
            </w:r>
            <w:r>
              <w:rPr>
                <w:rStyle w:val="paren"/>
                <w:rFonts w:eastAsiaTheme="majorEastAsia"/>
              </w:rPr>
              <w:t>)</w:t>
            </w:r>
            <w:r>
              <w:t xml:space="preserve"> Processed into a specific form and shape; or</w:t>
            </w:r>
          </w:p>
          <w:p w14:paraId="0DB67027" w14:textId="77777777" w:rsidR="004F2409" w:rsidRDefault="004F2409" w:rsidP="004F2409">
            <w:pPr>
              <w:pStyle w:val="indent-3"/>
            </w:pPr>
            <w:r>
              <w:rPr>
                <w:rStyle w:val="paren"/>
                <w:rFonts w:eastAsiaTheme="majorEastAsia"/>
              </w:rPr>
              <w:t>(</w:t>
            </w:r>
            <w:r>
              <w:rPr>
                <w:rStyle w:val="paragraph-hierarchy"/>
                <w:rFonts w:eastAsiaTheme="majorEastAsia"/>
              </w:rPr>
              <w:t>ii</w:t>
            </w:r>
            <w:r>
              <w:rPr>
                <w:rStyle w:val="paren"/>
                <w:rFonts w:eastAsiaTheme="majorEastAsia"/>
              </w:rPr>
              <w:t>)</w:t>
            </w:r>
            <w:r>
              <w:t xml:space="preserve"> Combined with other articles, materials, or supplies to create a product with different properties than the individual articles, materials, or supplies.</w:t>
            </w:r>
          </w:p>
          <w:p w14:paraId="6A6543EA" w14:textId="77777777" w:rsidR="00B63111" w:rsidRDefault="00B63111"/>
        </w:tc>
        <w:tc>
          <w:tcPr>
            <w:tcW w:w="3510" w:type="dxa"/>
          </w:tcPr>
          <w:p w14:paraId="0799402B" w14:textId="77777777" w:rsidR="00D8247D" w:rsidRDefault="00D8247D" w:rsidP="00C01417">
            <w:pPr>
              <w:pStyle w:val="indent-3"/>
              <w:numPr>
                <w:ilvl w:val="0"/>
                <w:numId w:val="2"/>
              </w:numPr>
              <w:ind w:left="342"/>
            </w:pPr>
            <w:r>
              <w:t>Manufactured Products Waiver</w:t>
            </w:r>
          </w:p>
          <w:p w14:paraId="79E8C266" w14:textId="77777777" w:rsidR="00C01417" w:rsidRDefault="00C01417" w:rsidP="00C01417">
            <w:pPr>
              <w:pStyle w:val="indent-3"/>
              <w:numPr>
                <w:ilvl w:val="1"/>
                <w:numId w:val="2"/>
              </w:numPr>
              <w:ind w:left="702"/>
            </w:pPr>
            <w:r>
              <w:t>1983</w:t>
            </w:r>
          </w:p>
          <w:p w14:paraId="49EB5FD1" w14:textId="4FF622C9" w:rsidR="00B63111" w:rsidRDefault="00D8247D" w:rsidP="00C01417">
            <w:pPr>
              <w:pStyle w:val="indent-3"/>
              <w:numPr>
                <w:ilvl w:val="1"/>
                <w:numId w:val="2"/>
              </w:numPr>
              <w:ind w:left="702"/>
            </w:pPr>
            <w:hyperlink r:id="rId7" w:history="1">
              <w:r w:rsidRPr="00D90431">
                <w:rPr>
                  <w:rStyle w:val="Hyperlink"/>
                </w:rPr>
                <w:t>https://www.fhwa.dot.gov/construction/contracts/831125.cfm</w:t>
              </w:r>
            </w:hyperlink>
          </w:p>
        </w:tc>
        <w:tc>
          <w:tcPr>
            <w:tcW w:w="5490" w:type="dxa"/>
          </w:tcPr>
          <w:p w14:paraId="24D8F9BD" w14:textId="77777777" w:rsidR="00B63111" w:rsidRDefault="00D8247D">
            <w:r>
              <w:t>All waived</w:t>
            </w:r>
            <w:r w:rsidR="00E31C9D">
              <w:t>.</w:t>
            </w:r>
          </w:p>
          <w:p w14:paraId="75D13697" w14:textId="77777777" w:rsidR="00E31C9D" w:rsidRDefault="00E31C9D"/>
          <w:p w14:paraId="65C7BFC6" w14:textId="762832EB" w:rsidR="00E31C9D" w:rsidRDefault="00E31C9D">
            <w:r w:rsidRPr="00C75EE8">
              <w:t>However, Buy America requirements apply to any steel or iron component of a manufactured product regardless of the overall composition of the manufactured product (e.g., Buy America applies to the steel wire mesh or steel reinforcing components of a precast reinforced concrete pipe).</w:t>
            </w:r>
          </w:p>
        </w:tc>
      </w:tr>
      <w:tr w:rsidR="00B63111" w14:paraId="2F32769C" w14:textId="77777777" w:rsidTr="00043842">
        <w:tc>
          <w:tcPr>
            <w:tcW w:w="1615" w:type="dxa"/>
          </w:tcPr>
          <w:p w14:paraId="04DEC01B" w14:textId="3AB1678D" w:rsidR="00B63111" w:rsidRDefault="00B63111">
            <w:r>
              <w:t>Construction Materials</w:t>
            </w:r>
          </w:p>
        </w:tc>
        <w:tc>
          <w:tcPr>
            <w:tcW w:w="3690" w:type="dxa"/>
          </w:tcPr>
          <w:p w14:paraId="1F167B12" w14:textId="77777777" w:rsidR="00B63111" w:rsidRDefault="00B63111" w:rsidP="00B63111">
            <w:r>
              <w:t xml:space="preserve">articles, materials, or supplies that consist of only one of the items listed in paragraph (1) of this definition, except as provided in paragraph (2) of this definition. To </w:t>
            </w:r>
            <w:r>
              <w:lastRenderedPageBreak/>
              <w:t>the extent one of the items listed in paragraph (1) contains as inputs other items listed in paragraph (1), it is nonetheless a construction material.</w:t>
            </w:r>
          </w:p>
          <w:p w14:paraId="3C7C12D8" w14:textId="77777777" w:rsidR="00B63111" w:rsidRDefault="00B63111" w:rsidP="00B63111">
            <w:pPr>
              <w:pStyle w:val="indent-2"/>
            </w:pPr>
            <w:r>
              <w:rPr>
                <w:rStyle w:val="paren"/>
                <w:rFonts w:eastAsiaTheme="majorEastAsia"/>
              </w:rPr>
              <w:t>(</w:t>
            </w:r>
            <w:r>
              <w:rPr>
                <w:rStyle w:val="paragraph-hierarchy"/>
                <w:rFonts w:eastAsiaTheme="majorEastAsia"/>
              </w:rPr>
              <w:t>1</w:t>
            </w:r>
            <w:r>
              <w:rPr>
                <w:rStyle w:val="paren"/>
                <w:rFonts w:eastAsiaTheme="majorEastAsia"/>
              </w:rPr>
              <w:t>)</w:t>
            </w:r>
            <w:r>
              <w:t xml:space="preserve"> The listed items are:</w:t>
            </w:r>
          </w:p>
          <w:p w14:paraId="7EEBAFDF" w14:textId="77777777" w:rsidR="00B63111" w:rsidRDefault="00B63111" w:rsidP="00B63111">
            <w:pPr>
              <w:pStyle w:val="indent-3"/>
            </w:pPr>
            <w:r>
              <w:rPr>
                <w:rStyle w:val="paren"/>
                <w:rFonts w:eastAsiaTheme="majorEastAsia"/>
              </w:rPr>
              <w:t>(</w:t>
            </w:r>
            <w:r>
              <w:rPr>
                <w:rStyle w:val="paragraph-hierarchy"/>
                <w:rFonts w:eastAsiaTheme="majorEastAsia"/>
              </w:rPr>
              <w:t>i</w:t>
            </w:r>
            <w:r>
              <w:rPr>
                <w:rStyle w:val="paren"/>
                <w:rFonts w:eastAsiaTheme="majorEastAsia"/>
              </w:rPr>
              <w:t>)</w:t>
            </w:r>
            <w:r>
              <w:t xml:space="preserve"> Non-ferrous </w:t>
            </w:r>
            <w:proofErr w:type="gramStart"/>
            <w:r>
              <w:t>metals;</w:t>
            </w:r>
            <w:proofErr w:type="gramEnd"/>
          </w:p>
          <w:p w14:paraId="32C70230" w14:textId="77777777" w:rsidR="00B63111" w:rsidRDefault="00B63111" w:rsidP="00B63111">
            <w:pPr>
              <w:pStyle w:val="indent-3"/>
            </w:pPr>
            <w:r>
              <w:rPr>
                <w:rStyle w:val="paren"/>
                <w:rFonts w:eastAsiaTheme="majorEastAsia"/>
              </w:rPr>
              <w:t>(</w:t>
            </w:r>
            <w:r>
              <w:rPr>
                <w:rStyle w:val="paragraph-hierarchy"/>
                <w:rFonts w:eastAsiaTheme="majorEastAsia"/>
              </w:rPr>
              <w:t>ii</w:t>
            </w:r>
            <w:r>
              <w:rPr>
                <w:rStyle w:val="paren"/>
                <w:rFonts w:eastAsiaTheme="majorEastAsia"/>
              </w:rPr>
              <w:t>)</w:t>
            </w:r>
            <w:r>
              <w:t xml:space="preserve"> Plastic and polymer-based products (including polyvinylchloride, composite building materials, and polymers used in fiber optic cables</w:t>
            </w:r>
            <w:proofErr w:type="gramStart"/>
            <w:r>
              <w:t>);</w:t>
            </w:r>
            <w:proofErr w:type="gramEnd"/>
          </w:p>
          <w:p w14:paraId="17ABAECD" w14:textId="77777777" w:rsidR="00B63111" w:rsidRDefault="00B63111" w:rsidP="00B63111">
            <w:pPr>
              <w:pStyle w:val="indent-3"/>
            </w:pPr>
            <w:r>
              <w:rPr>
                <w:rStyle w:val="paren"/>
                <w:rFonts w:eastAsiaTheme="majorEastAsia"/>
              </w:rPr>
              <w:t>(</w:t>
            </w:r>
            <w:r>
              <w:rPr>
                <w:rStyle w:val="paragraph-hierarchy"/>
                <w:rFonts w:eastAsiaTheme="majorEastAsia"/>
              </w:rPr>
              <w:t>iii</w:t>
            </w:r>
            <w:r>
              <w:rPr>
                <w:rStyle w:val="paren"/>
                <w:rFonts w:eastAsiaTheme="majorEastAsia"/>
              </w:rPr>
              <w:t>)</w:t>
            </w:r>
            <w:r>
              <w:t xml:space="preserve"> Glass (including optic glass</w:t>
            </w:r>
            <w:proofErr w:type="gramStart"/>
            <w:r>
              <w:t>);</w:t>
            </w:r>
            <w:proofErr w:type="gramEnd"/>
          </w:p>
          <w:p w14:paraId="305DAD44" w14:textId="77777777" w:rsidR="00B63111" w:rsidRDefault="00B63111" w:rsidP="00B63111">
            <w:pPr>
              <w:pStyle w:val="indent-3"/>
            </w:pPr>
            <w:r>
              <w:rPr>
                <w:rStyle w:val="paren"/>
                <w:rFonts w:eastAsiaTheme="majorEastAsia"/>
              </w:rPr>
              <w:t>(</w:t>
            </w:r>
            <w:r>
              <w:rPr>
                <w:rStyle w:val="paragraph-hierarchy"/>
                <w:rFonts w:eastAsiaTheme="majorEastAsia"/>
              </w:rPr>
              <w:t>iv</w:t>
            </w:r>
            <w:r>
              <w:rPr>
                <w:rStyle w:val="paren"/>
                <w:rFonts w:eastAsiaTheme="majorEastAsia"/>
              </w:rPr>
              <w:t>)</w:t>
            </w:r>
            <w:r>
              <w:t xml:space="preserve"> Fiber optic cable (including drop cable</w:t>
            </w:r>
            <w:proofErr w:type="gramStart"/>
            <w:r>
              <w:t>);</w:t>
            </w:r>
            <w:proofErr w:type="gramEnd"/>
          </w:p>
          <w:p w14:paraId="14CCC56D" w14:textId="77777777" w:rsidR="00B63111" w:rsidRDefault="00B63111" w:rsidP="00B63111">
            <w:pPr>
              <w:pStyle w:val="indent-3"/>
            </w:pPr>
            <w:r>
              <w:rPr>
                <w:rStyle w:val="paren"/>
                <w:rFonts w:eastAsiaTheme="majorEastAsia"/>
              </w:rPr>
              <w:t>(</w:t>
            </w:r>
            <w:r>
              <w:rPr>
                <w:rStyle w:val="paragraph-hierarchy"/>
                <w:rFonts w:eastAsiaTheme="majorEastAsia"/>
              </w:rPr>
              <w:t>v</w:t>
            </w:r>
            <w:r>
              <w:rPr>
                <w:rStyle w:val="paren"/>
                <w:rFonts w:eastAsiaTheme="majorEastAsia"/>
              </w:rPr>
              <w:t>)</w:t>
            </w:r>
            <w:r>
              <w:t xml:space="preserve"> Optical </w:t>
            </w:r>
            <w:proofErr w:type="gramStart"/>
            <w:r>
              <w:t>fiber;</w:t>
            </w:r>
            <w:proofErr w:type="gramEnd"/>
          </w:p>
          <w:p w14:paraId="0EBE9129" w14:textId="77777777" w:rsidR="00B63111" w:rsidRDefault="00B63111" w:rsidP="00B63111">
            <w:pPr>
              <w:pStyle w:val="indent-3"/>
            </w:pPr>
            <w:r>
              <w:rPr>
                <w:rStyle w:val="paren"/>
                <w:rFonts w:eastAsiaTheme="majorEastAsia"/>
              </w:rPr>
              <w:t>(</w:t>
            </w:r>
            <w:r>
              <w:rPr>
                <w:rStyle w:val="paragraph-hierarchy"/>
                <w:rFonts w:eastAsiaTheme="majorEastAsia"/>
              </w:rPr>
              <w:t>vi</w:t>
            </w:r>
            <w:r>
              <w:rPr>
                <w:rStyle w:val="paren"/>
                <w:rFonts w:eastAsiaTheme="majorEastAsia"/>
              </w:rPr>
              <w:t>)</w:t>
            </w:r>
            <w:r>
              <w:t xml:space="preserve"> </w:t>
            </w:r>
            <w:proofErr w:type="gramStart"/>
            <w:r>
              <w:t>Lumber;</w:t>
            </w:r>
            <w:proofErr w:type="gramEnd"/>
          </w:p>
          <w:p w14:paraId="3FD38BF7" w14:textId="77777777" w:rsidR="00B63111" w:rsidRDefault="00B63111" w:rsidP="00B63111">
            <w:pPr>
              <w:pStyle w:val="indent-3"/>
            </w:pPr>
            <w:r>
              <w:rPr>
                <w:rStyle w:val="paren"/>
                <w:rFonts w:eastAsiaTheme="majorEastAsia"/>
              </w:rPr>
              <w:t>(</w:t>
            </w:r>
            <w:r>
              <w:rPr>
                <w:rStyle w:val="paragraph-hierarchy"/>
                <w:rFonts w:eastAsiaTheme="majorEastAsia"/>
              </w:rPr>
              <w:t>vii</w:t>
            </w:r>
            <w:r>
              <w:rPr>
                <w:rStyle w:val="paren"/>
                <w:rFonts w:eastAsiaTheme="majorEastAsia"/>
              </w:rPr>
              <w:t>)</w:t>
            </w:r>
            <w:r>
              <w:t xml:space="preserve"> Engineered wood; and</w:t>
            </w:r>
          </w:p>
          <w:p w14:paraId="31AD53CE" w14:textId="77777777" w:rsidR="00B63111" w:rsidRDefault="00B63111" w:rsidP="00B63111">
            <w:pPr>
              <w:pStyle w:val="indent-3"/>
            </w:pPr>
            <w:r>
              <w:rPr>
                <w:rStyle w:val="paren"/>
                <w:rFonts w:eastAsiaTheme="majorEastAsia"/>
              </w:rPr>
              <w:t>(</w:t>
            </w:r>
            <w:r>
              <w:rPr>
                <w:rStyle w:val="paragraph-hierarchy"/>
                <w:rFonts w:eastAsiaTheme="majorEastAsia"/>
              </w:rPr>
              <w:t>viii</w:t>
            </w:r>
            <w:r>
              <w:rPr>
                <w:rStyle w:val="paren"/>
                <w:rFonts w:eastAsiaTheme="majorEastAsia"/>
              </w:rPr>
              <w:t>)</w:t>
            </w:r>
            <w:r>
              <w:t xml:space="preserve"> Drywall.</w:t>
            </w:r>
          </w:p>
          <w:p w14:paraId="6174CDD7" w14:textId="77777777" w:rsidR="00B63111" w:rsidRDefault="00B63111" w:rsidP="00B63111">
            <w:pPr>
              <w:pStyle w:val="indent-2"/>
            </w:pPr>
            <w:r>
              <w:rPr>
                <w:rStyle w:val="paren"/>
                <w:rFonts w:eastAsiaTheme="majorEastAsia"/>
              </w:rPr>
              <w:t>(</w:t>
            </w:r>
            <w:r>
              <w:rPr>
                <w:rStyle w:val="paragraph-hierarchy"/>
                <w:rFonts w:eastAsiaTheme="majorEastAsia"/>
              </w:rPr>
              <w:t>2</w:t>
            </w:r>
            <w:r>
              <w:rPr>
                <w:rStyle w:val="paren"/>
                <w:rFonts w:eastAsiaTheme="majorEastAsia"/>
              </w:rPr>
              <w:t>)</w:t>
            </w:r>
            <w:r>
              <w:t xml:space="preserve"> Minor additions of articles, materials, supplies, or binding agents to a construction material do not change the categorization of the construction material.</w:t>
            </w:r>
          </w:p>
          <w:p w14:paraId="707C6F52" w14:textId="77777777" w:rsidR="00B63111" w:rsidRDefault="00B63111"/>
        </w:tc>
        <w:tc>
          <w:tcPr>
            <w:tcW w:w="3510" w:type="dxa"/>
          </w:tcPr>
          <w:p w14:paraId="3E80A4B5" w14:textId="77777777" w:rsidR="000D691F" w:rsidRDefault="000D691F" w:rsidP="00754080">
            <w:pPr>
              <w:pStyle w:val="ListParagraph"/>
              <w:numPr>
                <w:ilvl w:val="0"/>
                <w:numId w:val="1"/>
              </w:numPr>
              <w:ind w:left="342"/>
            </w:pPr>
            <w:r>
              <w:lastRenderedPageBreak/>
              <w:t>Bipartisan Infrastructure Law (BIL) / Infrastructure Investment and Jobs Act (IIJA) / BABA</w:t>
            </w:r>
          </w:p>
          <w:p w14:paraId="356650EF" w14:textId="77777777" w:rsidR="00754080" w:rsidRDefault="00754080" w:rsidP="00754080">
            <w:pPr>
              <w:pStyle w:val="ListParagraph"/>
              <w:numPr>
                <w:ilvl w:val="1"/>
                <w:numId w:val="1"/>
              </w:numPr>
              <w:ind w:left="702"/>
            </w:pPr>
            <w:r>
              <w:lastRenderedPageBreak/>
              <w:t>Enacted 11/15/21. Effective 5/14/</w:t>
            </w:r>
            <w:proofErr w:type="gramStart"/>
            <w:r>
              <w:t>22 ,</w:t>
            </w:r>
            <w:proofErr w:type="gramEnd"/>
            <w:r>
              <w:t xml:space="preserve"> additional waiver carried through 11/10/22</w:t>
            </w:r>
          </w:p>
          <w:p w14:paraId="683B9C5A" w14:textId="77777777" w:rsidR="000D691F" w:rsidRDefault="000D691F" w:rsidP="00754080">
            <w:pPr>
              <w:pStyle w:val="ListParagraph"/>
              <w:numPr>
                <w:ilvl w:val="1"/>
                <w:numId w:val="1"/>
              </w:numPr>
              <w:ind w:left="702"/>
            </w:pPr>
            <w:hyperlink r:id="rId8" w:history="1">
              <w:r w:rsidRPr="00447B4A">
                <w:rPr>
                  <w:rStyle w:val="Hyperlink"/>
                </w:rPr>
                <w:t>https://www.govinfo.gov/content/pkg/PLAW-117publ58/pdf/PLAW-117publ58.pdf</w:t>
              </w:r>
            </w:hyperlink>
          </w:p>
          <w:p w14:paraId="1CB76DAE" w14:textId="77777777" w:rsidR="000D691F" w:rsidRDefault="000D691F" w:rsidP="00754080">
            <w:pPr>
              <w:pStyle w:val="ListParagraph"/>
              <w:numPr>
                <w:ilvl w:val="0"/>
                <w:numId w:val="1"/>
              </w:numPr>
              <w:ind w:left="342"/>
            </w:pPr>
            <w:r w:rsidRPr="00247A73">
              <w:rPr>
                <w:u w:val="single"/>
              </w:rPr>
              <w:t>Post October 23, 2023</w:t>
            </w:r>
            <w:r w:rsidRPr="00247A73">
              <w:t>: Q&amp;As for Bipartisan Infrastructure Law - Build America, Buy America Act and the Implementation of OMB Final Guidance in 2 CFR Parts 184 and 200 for Federal Financial Assistance Programs</w:t>
            </w:r>
          </w:p>
          <w:p w14:paraId="7FB5D0C5" w14:textId="77777777" w:rsidR="00754080" w:rsidRDefault="00754080" w:rsidP="00754080">
            <w:pPr>
              <w:pStyle w:val="ListParagraph"/>
              <w:numPr>
                <w:ilvl w:val="1"/>
                <w:numId w:val="1"/>
              </w:numPr>
              <w:ind w:left="702"/>
            </w:pPr>
            <w:r>
              <w:t>Applicable projects after 10/23/23</w:t>
            </w:r>
          </w:p>
          <w:p w14:paraId="43F77784" w14:textId="77777777" w:rsidR="000D691F" w:rsidRDefault="000D691F" w:rsidP="00754080">
            <w:pPr>
              <w:pStyle w:val="ListParagraph"/>
              <w:numPr>
                <w:ilvl w:val="1"/>
                <w:numId w:val="1"/>
              </w:numPr>
              <w:ind w:left="702"/>
            </w:pPr>
            <w:hyperlink r:id="rId9" w:history="1">
              <w:r w:rsidRPr="00BC73F2">
                <w:rPr>
                  <w:rStyle w:val="Hyperlink"/>
                </w:rPr>
                <w:t>https://www.fhwa.dot.gov/construction/contracts/buyam_qa_baba_post10232023.cfm</w:t>
              </w:r>
            </w:hyperlink>
          </w:p>
          <w:p w14:paraId="247B274B" w14:textId="77777777" w:rsidR="000D691F" w:rsidRDefault="000D691F" w:rsidP="00754080">
            <w:pPr>
              <w:pStyle w:val="ListParagraph"/>
              <w:numPr>
                <w:ilvl w:val="0"/>
                <w:numId w:val="1"/>
              </w:numPr>
              <w:ind w:left="342"/>
            </w:pPr>
            <w:r>
              <w:t>2 CFR 184</w:t>
            </w:r>
          </w:p>
          <w:p w14:paraId="239F3A85" w14:textId="77777777" w:rsidR="000D691F" w:rsidRDefault="000D691F" w:rsidP="00754080">
            <w:pPr>
              <w:pStyle w:val="ListParagraph"/>
              <w:numPr>
                <w:ilvl w:val="1"/>
                <w:numId w:val="1"/>
              </w:numPr>
              <w:ind w:left="702"/>
            </w:pPr>
            <w:r>
              <w:t>Enacted 8/23/23, effective 10/23/23</w:t>
            </w:r>
          </w:p>
          <w:p w14:paraId="2E94C4BA" w14:textId="77777777" w:rsidR="000D691F" w:rsidRDefault="000D691F" w:rsidP="00754080">
            <w:pPr>
              <w:pStyle w:val="ListParagraph"/>
              <w:numPr>
                <w:ilvl w:val="1"/>
                <w:numId w:val="1"/>
              </w:numPr>
              <w:ind w:left="702"/>
            </w:pPr>
            <w:hyperlink r:id="rId10" w:history="1">
              <w:r w:rsidRPr="00841BB5">
                <w:rPr>
                  <w:rStyle w:val="Hyperlink"/>
                </w:rPr>
                <w:t>https://www.ecfr.gov/current/title-2/subtitle-A/chapter-I/part-184</w:t>
              </w:r>
            </w:hyperlink>
          </w:p>
          <w:p w14:paraId="439F1E84" w14:textId="77777777" w:rsidR="000D691F" w:rsidRDefault="000D691F" w:rsidP="005B6442">
            <w:pPr>
              <w:pStyle w:val="indent-3"/>
              <w:numPr>
                <w:ilvl w:val="0"/>
                <w:numId w:val="1"/>
              </w:numPr>
              <w:ind w:left="342"/>
            </w:pPr>
            <w:r w:rsidRPr="00DF6608">
              <w:t>Waiver of Buy America Requirements for De Minimis Costs and Small Grants</w:t>
            </w:r>
          </w:p>
          <w:p w14:paraId="4A627955" w14:textId="77777777" w:rsidR="000D691F" w:rsidRPr="00DF6608" w:rsidRDefault="000D691F" w:rsidP="005B6442">
            <w:pPr>
              <w:pStyle w:val="indent-3"/>
              <w:numPr>
                <w:ilvl w:val="1"/>
                <w:numId w:val="1"/>
              </w:numPr>
              <w:ind w:left="702"/>
            </w:pPr>
            <w:r>
              <w:t>8/16/23</w:t>
            </w:r>
          </w:p>
          <w:p w14:paraId="3ED58161" w14:textId="77777777" w:rsidR="000D691F" w:rsidRPr="000D691F" w:rsidRDefault="000D691F" w:rsidP="005B6442">
            <w:pPr>
              <w:pStyle w:val="indent-3"/>
              <w:numPr>
                <w:ilvl w:val="1"/>
                <w:numId w:val="1"/>
              </w:numPr>
              <w:ind w:left="702"/>
              <w:rPr>
                <w:rStyle w:val="Hyperlink"/>
                <w:color w:val="auto"/>
                <w:u w:val="none"/>
              </w:rPr>
            </w:pPr>
            <w:hyperlink r:id="rId11" w:history="1">
              <w:r w:rsidRPr="00841BB5">
                <w:rPr>
                  <w:rStyle w:val="Hyperlink"/>
                </w:rPr>
                <w:t>https://www.federalregister.gov/documents/2023/08/16/2023-17602/waiver-of-buy-america-requirements-for-de-minimis-costs-and-small-grants</w:t>
              </w:r>
            </w:hyperlink>
          </w:p>
          <w:p w14:paraId="15C493EA" w14:textId="77777777" w:rsidR="000D691F" w:rsidRPr="00CB43CD" w:rsidRDefault="000D691F" w:rsidP="005B6442">
            <w:pPr>
              <w:pStyle w:val="ListParagraph"/>
              <w:numPr>
                <w:ilvl w:val="1"/>
                <w:numId w:val="1"/>
              </w:numPr>
              <w:shd w:val="clear" w:color="auto" w:fill="FFFFFF"/>
              <w:ind w:left="702"/>
              <w:outlineLvl w:val="1"/>
              <w:rPr>
                <w:rFonts w:ascii="Times New Roman" w:eastAsia="Times New Roman" w:hAnsi="Times New Roman" w:cs="Times New Roman"/>
                <w:kern w:val="0"/>
                <w:sz w:val="24"/>
                <w:szCs w:val="24"/>
                <w14:ligatures w14:val="none"/>
              </w:rPr>
            </w:pPr>
            <w:r w:rsidRPr="00CB43CD">
              <w:rPr>
                <w:rFonts w:ascii="Times New Roman" w:eastAsia="Times New Roman" w:hAnsi="Times New Roman" w:cs="Times New Roman"/>
                <w:kern w:val="0"/>
                <w:sz w:val="24"/>
                <w:szCs w:val="24"/>
                <w14:ligatures w14:val="none"/>
              </w:rPr>
              <w:lastRenderedPageBreak/>
              <w:t>Q&amp;As for the Waiver of Buy America Requirements for De Minimis Costs and Small Grants</w:t>
            </w:r>
          </w:p>
          <w:p w14:paraId="17627268" w14:textId="77777777" w:rsidR="005B6442" w:rsidRDefault="005B6442" w:rsidP="005B6442">
            <w:pPr>
              <w:pStyle w:val="indent-3"/>
              <w:numPr>
                <w:ilvl w:val="2"/>
                <w:numId w:val="1"/>
              </w:numPr>
              <w:ind w:left="1062"/>
            </w:pPr>
            <w:r>
              <w:t>May 22, 2024</w:t>
            </w:r>
          </w:p>
          <w:p w14:paraId="70C7A0BC" w14:textId="2CDEA64B" w:rsidR="00B63111" w:rsidRDefault="000D691F" w:rsidP="005B6442">
            <w:pPr>
              <w:pStyle w:val="indent-3"/>
              <w:numPr>
                <w:ilvl w:val="2"/>
                <w:numId w:val="1"/>
              </w:numPr>
              <w:ind w:left="1062"/>
            </w:pPr>
            <w:hyperlink r:id="rId12" w:history="1">
              <w:r w:rsidRPr="00841BB5">
                <w:rPr>
                  <w:rStyle w:val="Hyperlink"/>
                </w:rPr>
                <w:t>https://www.fhwa.dot.gov/construction/contracts/buyam_qa_deminimis.cfm</w:t>
              </w:r>
            </w:hyperlink>
          </w:p>
        </w:tc>
        <w:tc>
          <w:tcPr>
            <w:tcW w:w="5490" w:type="dxa"/>
          </w:tcPr>
          <w:p w14:paraId="120D1096" w14:textId="77777777" w:rsidR="00A748E8" w:rsidRDefault="00A748E8" w:rsidP="00AE114E">
            <w:pPr>
              <w:pStyle w:val="indent-3"/>
              <w:numPr>
                <w:ilvl w:val="2"/>
                <w:numId w:val="1"/>
              </w:numPr>
              <w:ind w:left="342"/>
            </w:pPr>
            <w:r>
              <w:lastRenderedPageBreak/>
              <w:t xml:space="preserve">DOT finds that it is in the public interest to issue a waiver of BABA's domestic preferences for iron and steel, manufactured products, and construction materials used in projects funded under DOT-administered financial assistance programs for </w:t>
            </w:r>
            <w:r>
              <w:lastRenderedPageBreak/>
              <w:t>iron, steel, manufactured products, and construction materials under a single financial assistance award for which:</w:t>
            </w:r>
          </w:p>
          <w:p w14:paraId="1A42181F" w14:textId="77777777" w:rsidR="00A748E8" w:rsidRDefault="00A748E8" w:rsidP="00AE114E">
            <w:pPr>
              <w:pStyle w:val="indent-3"/>
              <w:numPr>
                <w:ilvl w:val="2"/>
                <w:numId w:val="1"/>
              </w:numPr>
              <w:ind w:left="342"/>
            </w:pPr>
            <w:r>
              <w:t>The total value of the non-compliant products is no more than the lesser of $1,000,000 or 5% of total applicable costs for the project; or</w:t>
            </w:r>
          </w:p>
          <w:p w14:paraId="61B5EF9D" w14:textId="77777777" w:rsidR="00AE114E" w:rsidRDefault="00A748E8" w:rsidP="00AE114E">
            <w:pPr>
              <w:pStyle w:val="indent-3"/>
              <w:numPr>
                <w:ilvl w:val="2"/>
                <w:numId w:val="1"/>
              </w:numPr>
              <w:ind w:left="342"/>
            </w:pPr>
            <w:r>
              <w:t>The total amount of Federal financial assistance applied to the project, through awards or subawards, is below $500,000.</w:t>
            </w:r>
          </w:p>
          <w:p w14:paraId="51C2BE18" w14:textId="28D72BBE" w:rsidR="000D691F" w:rsidRDefault="00A748E8" w:rsidP="00AE114E">
            <w:pPr>
              <w:pStyle w:val="indent-3"/>
              <w:numPr>
                <w:ilvl w:val="2"/>
                <w:numId w:val="1"/>
              </w:numPr>
              <w:ind w:left="702"/>
            </w:pPr>
            <w:r w:rsidRPr="000506D1">
              <w:t>In applying the waiver, the “total value of the non-compliant products” does not include the value of those products subject to a separate Buy America waiver.</w:t>
            </w:r>
            <w:r w:rsidR="000D691F" w:rsidRPr="001C79B3">
              <w:t xml:space="preserve"> The total value of non-compliant products is the value of all construction materials that are not BABA-compliant that are permanently incorporated into an FHWA-funded project.</w:t>
            </w:r>
          </w:p>
          <w:p w14:paraId="562B686F" w14:textId="2AC94B36" w:rsidR="00A748E8" w:rsidRPr="000D691F" w:rsidRDefault="00A748E8" w:rsidP="00AE114E">
            <w:pPr>
              <w:pStyle w:val="indent-3"/>
              <w:numPr>
                <w:ilvl w:val="2"/>
                <w:numId w:val="1"/>
              </w:numPr>
              <w:ind w:left="702"/>
            </w:pPr>
            <w:r w:rsidRPr="00AE114E">
              <w:t xml:space="preserve"> “Total applicable project costs” are defined as the cost of materials (including the cost of any manufactured products) used in the project that are subject to a domestic preference requirement, including materials that are within the scope of an existing waiver.</w:t>
            </w:r>
            <w:r w:rsidR="000D691F" w:rsidRPr="00AE114E">
              <w:t xml:space="preserve"> </w:t>
            </w:r>
            <w:r w:rsidR="00A314FD">
              <w:t>T</w:t>
            </w:r>
            <w:r w:rsidR="000D691F" w:rsidRPr="000D691F">
              <w:t>otal applicable project costs include the costs of all steel, iron, manufactured products, and construction materials used in the FHWA-funded project. Cement and cementitious materials; aggregates such as stone, sand, or gravel; and binding agents or additives (known as Section 70917(c) materials in 2 CFR 184.3), standing alone, should not be included in the determination of total applicable project costs. These Section 70917(c) materials, however, may be included as components of manufactured products, in which case the cost of the manufactured product, including the cost of the Section 70917(c) components, should be included in the determination of total applicable project costs.</w:t>
            </w:r>
          </w:p>
          <w:p w14:paraId="356E478E" w14:textId="28730941" w:rsidR="00B63111" w:rsidRDefault="00A748E8" w:rsidP="00A314FD">
            <w:pPr>
              <w:pStyle w:val="indent-3"/>
              <w:numPr>
                <w:ilvl w:val="2"/>
                <w:numId w:val="1"/>
              </w:numPr>
              <w:ind w:left="342"/>
            </w:pPr>
            <w:r w:rsidRPr="00B87715">
              <w:lastRenderedPageBreak/>
              <w:t xml:space="preserve">However, the de minimis cost portion of the waiver ( </w:t>
            </w:r>
            <w:r w:rsidRPr="00AE114E">
              <w:t>i.e.,</w:t>
            </w:r>
            <w:r w:rsidRPr="00B87715">
              <w:t xml:space="preserve"> the first bullet in the finding above) does not apply to iron and steel subject to the requirements of </w:t>
            </w:r>
            <w:hyperlink r:id="rId13" w:tgtFrame="_blank" w:history="1">
              <w:r w:rsidRPr="00AE114E">
                <w:t>23 U.S.C. 313</w:t>
              </w:r>
            </w:hyperlink>
            <w:r w:rsidRPr="00B87715">
              <w:t xml:space="preserve"> on financial assistance administered by FHWA.</w:t>
            </w:r>
            <w:r w:rsidRPr="00AE114E">
              <w:t>[</w:t>
            </w:r>
            <w:hyperlink w:anchor="footnote-6%E2%80%897-p55820" w:history="1">
              <w:r w:rsidRPr="00AE114E">
                <w:t>6 7</w:t>
              </w:r>
            </w:hyperlink>
            <w:r w:rsidRPr="00AE114E">
              <w:t xml:space="preserve">] </w:t>
            </w:r>
            <w:r w:rsidRPr="00B87715">
              <w:t xml:space="preserve">The small grants portion of the waiver ( </w:t>
            </w:r>
            <w:r w:rsidRPr="00AE114E">
              <w:t>i.e.,</w:t>
            </w:r>
            <w:r w:rsidRPr="00B87715">
              <w:t xml:space="preserve"> the second bullet in the finding above) does not apply to iron, steel, and manufactured goods subject to the requirements of </w:t>
            </w:r>
            <w:hyperlink r:id="rId14" w:tgtFrame="_blank" w:history="1">
              <w:r w:rsidRPr="00AE114E">
                <w:t>49 U.S.C. 22905(a)</w:t>
              </w:r>
            </w:hyperlink>
            <w:r w:rsidRPr="00B87715">
              <w:t>.</w:t>
            </w:r>
          </w:p>
        </w:tc>
      </w:tr>
    </w:tbl>
    <w:p w14:paraId="36DF723F" w14:textId="77777777" w:rsidR="004A65D5" w:rsidRPr="0078200E" w:rsidRDefault="004A65D5" w:rsidP="00043842"/>
    <w:sectPr w:rsidR="004A65D5" w:rsidRPr="0078200E" w:rsidSect="0004384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F7905"/>
    <w:multiLevelType w:val="hybridMultilevel"/>
    <w:tmpl w:val="FEBAB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A69B5"/>
    <w:multiLevelType w:val="hybridMultilevel"/>
    <w:tmpl w:val="368CF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190831">
    <w:abstractNumId w:val="0"/>
  </w:num>
  <w:num w:numId="2" w16cid:durableId="1866864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BD"/>
    <w:rsid w:val="00024A06"/>
    <w:rsid w:val="00043842"/>
    <w:rsid w:val="000448E2"/>
    <w:rsid w:val="000506D1"/>
    <w:rsid w:val="00071642"/>
    <w:rsid w:val="00077A60"/>
    <w:rsid w:val="000D691F"/>
    <w:rsid w:val="000E71B3"/>
    <w:rsid w:val="000E74E1"/>
    <w:rsid w:val="00112906"/>
    <w:rsid w:val="00160B6D"/>
    <w:rsid w:val="001B4919"/>
    <w:rsid w:val="001C79B3"/>
    <w:rsid w:val="001D1116"/>
    <w:rsid w:val="001D32CB"/>
    <w:rsid w:val="001D73C4"/>
    <w:rsid w:val="00247A73"/>
    <w:rsid w:val="00252489"/>
    <w:rsid w:val="002832FF"/>
    <w:rsid w:val="002A39CB"/>
    <w:rsid w:val="0033703D"/>
    <w:rsid w:val="00341A70"/>
    <w:rsid w:val="00377803"/>
    <w:rsid w:val="00385ADD"/>
    <w:rsid w:val="003D3152"/>
    <w:rsid w:val="0042017A"/>
    <w:rsid w:val="00425C6D"/>
    <w:rsid w:val="004456FE"/>
    <w:rsid w:val="004A65D5"/>
    <w:rsid w:val="004B07FD"/>
    <w:rsid w:val="004D0811"/>
    <w:rsid w:val="004D7805"/>
    <w:rsid w:val="004E0CAC"/>
    <w:rsid w:val="004F2409"/>
    <w:rsid w:val="004F36C2"/>
    <w:rsid w:val="0054378C"/>
    <w:rsid w:val="00550E53"/>
    <w:rsid w:val="005608B0"/>
    <w:rsid w:val="00575E9C"/>
    <w:rsid w:val="005945B4"/>
    <w:rsid w:val="005B2F31"/>
    <w:rsid w:val="005B6442"/>
    <w:rsid w:val="005C3F5B"/>
    <w:rsid w:val="005E2B30"/>
    <w:rsid w:val="006167ED"/>
    <w:rsid w:val="006213EE"/>
    <w:rsid w:val="006469CA"/>
    <w:rsid w:val="006809C5"/>
    <w:rsid w:val="006B1B3A"/>
    <w:rsid w:val="006C7E04"/>
    <w:rsid w:val="00706391"/>
    <w:rsid w:val="00754080"/>
    <w:rsid w:val="007767E6"/>
    <w:rsid w:val="0078200E"/>
    <w:rsid w:val="00793721"/>
    <w:rsid w:val="0079677C"/>
    <w:rsid w:val="007B432D"/>
    <w:rsid w:val="007D62F2"/>
    <w:rsid w:val="008020BD"/>
    <w:rsid w:val="008A7CF4"/>
    <w:rsid w:val="008E530F"/>
    <w:rsid w:val="008E7C1A"/>
    <w:rsid w:val="009F7861"/>
    <w:rsid w:val="00A314FD"/>
    <w:rsid w:val="00A51B1A"/>
    <w:rsid w:val="00A7280F"/>
    <w:rsid w:val="00A748E8"/>
    <w:rsid w:val="00A8130D"/>
    <w:rsid w:val="00AD1648"/>
    <w:rsid w:val="00AE114E"/>
    <w:rsid w:val="00B032E4"/>
    <w:rsid w:val="00B053B2"/>
    <w:rsid w:val="00B12F6F"/>
    <w:rsid w:val="00B40332"/>
    <w:rsid w:val="00B558C9"/>
    <w:rsid w:val="00B63111"/>
    <w:rsid w:val="00B86478"/>
    <w:rsid w:val="00B87715"/>
    <w:rsid w:val="00B94828"/>
    <w:rsid w:val="00B962E1"/>
    <w:rsid w:val="00BA3EAE"/>
    <w:rsid w:val="00C01417"/>
    <w:rsid w:val="00C018B4"/>
    <w:rsid w:val="00C143F3"/>
    <w:rsid w:val="00C147EC"/>
    <w:rsid w:val="00C27905"/>
    <w:rsid w:val="00C30DD1"/>
    <w:rsid w:val="00C61D45"/>
    <w:rsid w:val="00C75EE8"/>
    <w:rsid w:val="00CB43CD"/>
    <w:rsid w:val="00CC4A99"/>
    <w:rsid w:val="00CC62C9"/>
    <w:rsid w:val="00D0187D"/>
    <w:rsid w:val="00D15B3D"/>
    <w:rsid w:val="00D2457C"/>
    <w:rsid w:val="00D430B0"/>
    <w:rsid w:val="00D8247D"/>
    <w:rsid w:val="00D910B6"/>
    <w:rsid w:val="00DA0881"/>
    <w:rsid w:val="00DA2BEC"/>
    <w:rsid w:val="00DB7E66"/>
    <w:rsid w:val="00DC2E48"/>
    <w:rsid w:val="00DD3711"/>
    <w:rsid w:val="00DF6608"/>
    <w:rsid w:val="00E25F73"/>
    <w:rsid w:val="00E26768"/>
    <w:rsid w:val="00E31C9D"/>
    <w:rsid w:val="00E45A20"/>
    <w:rsid w:val="00E7691F"/>
    <w:rsid w:val="00E97384"/>
    <w:rsid w:val="00EB065E"/>
    <w:rsid w:val="00EB55D7"/>
    <w:rsid w:val="00EF7465"/>
    <w:rsid w:val="00F177AC"/>
    <w:rsid w:val="00F20A01"/>
    <w:rsid w:val="00F531A3"/>
    <w:rsid w:val="00F6486E"/>
    <w:rsid w:val="00F72E7E"/>
    <w:rsid w:val="00FA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8F05"/>
  <w15:chartTrackingRefBased/>
  <w15:docId w15:val="{0CDA302D-5CD4-45AB-99E8-FC29A412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2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0BD"/>
    <w:rPr>
      <w:rFonts w:eastAsiaTheme="majorEastAsia" w:cstheme="majorBidi"/>
      <w:color w:val="272727" w:themeColor="text1" w:themeTint="D8"/>
    </w:rPr>
  </w:style>
  <w:style w:type="paragraph" w:styleId="Title">
    <w:name w:val="Title"/>
    <w:basedOn w:val="Normal"/>
    <w:next w:val="Normal"/>
    <w:link w:val="TitleChar"/>
    <w:uiPriority w:val="10"/>
    <w:qFormat/>
    <w:rsid w:val="0080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0BD"/>
    <w:pPr>
      <w:spacing w:before="160"/>
      <w:jc w:val="center"/>
    </w:pPr>
    <w:rPr>
      <w:i/>
      <w:iCs/>
      <w:color w:val="404040" w:themeColor="text1" w:themeTint="BF"/>
    </w:rPr>
  </w:style>
  <w:style w:type="character" w:customStyle="1" w:styleId="QuoteChar">
    <w:name w:val="Quote Char"/>
    <w:basedOn w:val="DefaultParagraphFont"/>
    <w:link w:val="Quote"/>
    <w:uiPriority w:val="29"/>
    <w:rsid w:val="008020BD"/>
    <w:rPr>
      <w:i/>
      <w:iCs/>
      <w:color w:val="404040" w:themeColor="text1" w:themeTint="BF"/>
    </w:rPr>
  </w:style>
  <w:style w:type="paragraph" w:styleId="ListParagraph">
    <w:name w:val="List Paragraph"/>
    <w:basedOn w:val="Normal"/>
    <w:uiPriority w:val="34"/>
    <w:qFormat/>
    <w:rsid w:val="008020BD"/>
    <w:pPr>
      <w:ind w:left="720"/>
      <w:contextualSpacing/>
    </w:pPr>
  </w:style>
  <w:style w:type="character" w:styleId="IntenseEmphasis">
    <w:name w:val="Intense Emphasis"/>
    <w:basedOn w:val="DefaultParagraphFont"/>
    <w:uiPriority w:val="21"/>
    <w:qFormat/>
    <w:rsid w:val="008020BD"/>
    <w:rPr>
      <w:i/>
      <w:iCs/>
      <w:color w:val="0F4761" w:themeColor="accent1" w:themeShade="BF"/>
    </w:rPr>
  </w:style>
  <w:style w:type="paragraph" w:styleId="IntenseQuote">
    <w:name w:val="Intense Quote"/>
    <w:basedOn w:val="Normal"/>
    <w:next w:val="Normal"/>
    <w:link w:val="IntenseQuoteChar"/>
    <w:uiPriority w:val="30"/>
    <w:qFormat/>
    <w:rsid w:val="0080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0BD"/>
    <w:rPr>
      <w:i/>
      <w:iCs/>
      <w:color w:val="0F4761" w:themeColor="accent1" w:themeShade="BF"/>
    </w:rPr>
  </w:style>
  <w:style w:type="character" w:styleId="IntenseReference">
    <w:name w:val="Intense Reference"/>
    <w:basedOn w:val="DefaultParagraphFont"/>
    <w:uiPriority w:val="32"/>
    <w:qFormat/>
    <w:rsid w:val="008020BD"/>
    <w:rPr>
      <w:b/>
      <w:bCs/>
      <w:smallCaps/>
      <w:color w:val="0F4761" w:themeColor="accent1" w:themeShade="BF"/>
      <w:spacing w:val="5"/>
    </w:rPr>
  </w:style>
  <w:style w:type="character" w:styleId="Hyperlink">
    <w:name w:val="Hyperlink"/>
    <w:basedOn w:val="DefaultParagraphFont"/>
    <w:uiPriority w:val="99"/>
    <w:unhideWhenUsed/>
    <w:rsid w:val="004A65D5"/>
    <w:rPr>
      <w:color w:val="467886" w:themeColor="hyperlink"/>
      <w:u w:val="single"/>
    </w:rPr>
  </w:style>
  <w:style w:type="character" w:styleId="UnresolvedMention">
    <w:name w:val="Unresolved Mention"/>
    <w:basedOn w:val="DefaultParagraphFont"/>
    <w:uiPriority w:val="99"/>
    <w:semiHidden/>
    <w:unhideWhenUsed/>
    <w:rsid w:val="004A65D5"/>
    <w:rPr>
      <w:color w:val="605E5C"/>
      <w:shd w:val="clear" w:color="auto" w:fill="E1DFDD"/>
    </w:rPr>
  </w:style>
  <w:style w:type="character" w:styleId="FollowedHyperlink">
    <w:name w:val="FollowedHyperlink"/>
    <w:basedOn w:val="DefaultParagraphFont"/>
    <w:uiPriority w:val="99"/>
    <w:semiHidden/>
    <w:unhideWhenUsed/>
    <w:rsid w:val="004A65D5"/>
    <w:rPr>
      <w:color w:val="96607D" w:themeColor="followedHyperlink"/>
      <w:u w:val="single"/>
    </w:rPr>
  </w:style>
  <w:style w:type="paragraph" w:customStyle="1" w:styleId="indent-1">
    <w:name w:val="indent-1"/>
    <w:basedOn w:val="Normal"/>
    <w:rsid w:val="002A3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A39CB"/>
    <w:rPr>
      <w:i/>
      <w:iCs/>
    </w:rPr>
  </w:style>
  <w:style w:type="paragraph" w:customStyle="1" w:styleId="indent-2">
    <w:name w:val="indent-2"/>
    <w:basedOn w:val="Normal"/>
    <w:rsid w:val="002A3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2A39CB"/>
  </w:style>
  <w:style w:type="character" w:customStyle="1" w:styleId="paren">
    <w:name w:val="paren"/>
    <w:basedOn w:val="DefaultParagraphFont"/>
    <w:rsid w:val="002A39CB"/>
  </w:style>
  <w:style w:type="paragraph" w:customStyle="1" w:styleId="indent-3">
    <w:name w:val="indent-3"/>
    <w:basedOn w:val="Normal"/>
    <w:rsid w:val="002A3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C79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3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0496">
      <w:bodyDiv w:val="1"/>
      <w:marLeft w:val="0"/>
      <w:marRight w:val="0"/>
      <w:marTop w:val="0"/>
      <w:marBottom w:val="0"/>
      <w:divBdr>
        <w:top w:val="none" w:sz="0" w:space="0" w:color="auto"/>
        <w:left w:val="none" w:sz="0" w:space="0" w:color="auto"/>
        <w:bottom w:val="none" w:sz="0" w:space="0" w:color="auto"/>
        <w:right w:val="none" w:sz="0" w:space="0" w:color="auto"/>
      </w:divBdr>
    </w:div>
    <w:div w:id="55209335">
      <w:bodyDiv w:val="1"/>
      <w:marLeft w:val="0"/>
      <w:marRight w:val="0"/>
      <w:marTop w:val="0"/>
      <w:marBottom w:val="0"/>
      <w:divBdr>
        <w:top w:val="none" w:sz="0" w:space="0" w:color="auto"/>
        <w:left w:val="none" w:sz="0" w:space="0" w:color="auto"/>
        <w:bottom w:val="none" w:sz="0" w:space="0" w:color="auto"/>
        <w:right w:val="none" w:sz="0" w:space="0" w:color="auto"/>
      </w:divBdr>
      <w:divsChild>
        <w:div w:id="25716767">
          <w:marLeft w:val="0"/>
          <w:marRight w:val="0"/>
          <w:marTop w:val="0"/>
          <w:marBottom w:val="0"/>
          <w:divBdr>
            <w:top w:val="none" w:sz="0" w:space="0" w:color="auto"/>
            <w:left w:val="none" w:sz="0" w:space="0" w:color="auto"/>
            <w:bottom w:val="none" w:sz="0" w:space="0" w:color="auto"/>
            <w:right w:val="none" w:sz="0" w:space="0" w:color="auto"/>
          </w:divBdr>
          <w:divsChild>
            <w:div w:id="1421180085">
              <w:marLeft w:val="0"/>
              <w:marRight w:val="0"/>
              <w:marTop w:val="0"/>
              <w:marBottom w:val="0"/>
              <w:divBdr>
                <w:top w:val="none" w:sz="0" w:space="0" w:color="auto"/>
                <w:left w:val="none" w:sz="0" w:space="0" w:color="auto"/>
                <w:bottom w:val="none" w:sz="0" w:space="0" w:color="auto"/>
                <w:right w:val="none" w:sz="0" w:space="0" w:color="auto"/>
              </w:divBdr>
            </w:div>
            <w:div w:id="16068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5934">
      <w:bodyDiv w:val="1"/>
      <w:marLeft w:val="0"/>
      <w:marRight w:val="0"/>
      <w:marTop w:val="0"/>
      <w:marBottom w:val="0"/>
      <w:divBdr>
        <w:top w:val="none" w:sz="0" w:space="0" w:color="auto"/>
        <w:left w:val="none" w:sz="0" w:space="0" w:color="auto"/>
        <w:bottom w:val="none" w:sz="0" w:space="0" w:color="auto"/>
        <w:right w:val="none" w:sz="0" w:space="0" w:color="auto"/>
      </w:divBdr>
      <w:divsChild>
        <w:div w:id="324817804">
          <w:marLeft w:val="0"/>
          <w:marRight w:val="0"/>
          <w:marTop w:val="0"/>
          <w:marBottom w:val="0"/>
          <w:divBdr>
            <w:top w:val="none" w:sz="0" w:space="0" w:color="auto"/>
            <w:left w:val="none" w:sz="0" w:space="0" w:color="auto"/>
            <w:bottom w:val="none" w:sz="0" w:space="0" w:color="auto"/>
            <w:right w:val="none" w:sz="0" w:space="0" w:color="auto"/>
          </w:divBdr>
          <w:divsChild>
            <w:div w:id="1963149417">
              <w:marLeft w:val="0"/>
              <w:marRight w:val="0"/>
              <w:marTop w:val="0"/>
              <w:marBottom w:val="0"/>
              <w:divBdr>
                <w:top w:val="none" w:sz="0" w:space="0" w:color="auto"/>
                <w:left w:val="none" w:sz="0" w:space="0" w:color="auto"/>
                <w:bottom w:val="none" w:sz="0" w:space="0" w:color="auto"/>
                <w:right w:val="none" w:sz="0" w:space="0" w:color="auto"/>
              </w:divBdr>
            </w:div>
            <w:div w:id="266041694">
              <w:marLeft w:val="0"/>
              <w:marRight w:val="0"/>
              <w:marTop w:val="0"/>
              <w:marBottom w:val="0"/>
              <w:divBdr>
                <w:top w:val="none" w:sz="0" w:space="0" w:color="auto"/>
                <w:left w:val="none" w:sz="0" w:space="0" w:color="auto"/>
                <w:bottom w:val="none" w:sz="0" w:space="0" w:color="auto"/>
                <w:right w:val="none" w:sz="0" w:space="0" w:color="auto"/>
              </w:divBdr>
            </w:div>
            <w:div w:id="1016686711">
              <w:marLeft w:val="0"/>
              <w:marRight w:val="0"/>
              <w:marTop w:val="0"/>
              <w:marBottom w:val="0"/>
              <w:divBdr>
                <w:top w:val="none" w:sz="0" w:space="0" w:color="auto"/>
                <w:left w:val="none" w:sz="0" w:space="0" w:color="auto"/>
                <w:bottom w:val="none" w:sz="0" w:space="0" w:color="auto"/>
                <w:right w:val="none" w:sz="0" w:space="0" w:color="auto"/>
              </w:divBdr>
            </w:div>
            <w:div w:id="1017392142">
              <w:marLeft w:val="0"/>
              <w:marRight w:val="0"/>
              <w:marTop w:val="0"/>
              <w:marBottom w:val="0"/>
              <w:divBdr>
                <w:top w:val="none" w:sz="0" w:space="0" w:color="auto"/>
                <w:left w:val="none" w:sz="0" w:space="0" w:color="auto"/>
                <w:bottom w:val="none" w:sz="0" w:space="0" w:color="auto"/>
                <w:right w:val="none" w:sz="0" w:space="0" w:color="auto"/>
              </w:divBdr>
            </w:div>
            <w:div w:id="520168856">
              <w:marLeft w:val="0"/>
              <w:marRight w:val="0"/>
              <w:marTop w:val="0"/>
              <w:marBottom w:val="0"/>
              <w:divBdr>
                <w:top w:val="none" w:sz="0" w:space="0" w:color="auto"/>
                <w:left w:val="none" w:sz="0" w:space="0" w:color="auto"/>
                <w:bottom w:val="none" w:sz="0" w:space="0" w:color="auto"/>
                <w:right w:val="none" w:sz="0" w:space="0" w:color="auto"/>
              </w:divBdr>
            </w:div>
            <w:div w:id="1049843223">
              <w:marLeft w:val="0"/>
              <w:marRight w:val="0"/>
              <w:marTop w:val="0"/>
              <w:marBottom w:val="0"/>
              <w:divBdr>
                <w:top w:val="none" w:sz="0" w:space="0" w:color="auto"/>
                <w:left w:val="none" w:sz="0" w:space="0" w:color="auto"/>
                <w:bottom w:val="none" w:sz="0" w:space="0" w:color="auto"/>
                <w:right w:val="none" w:sz="0" w:space="0" w:color="auto"/>
              </w:divBdr>
            </w:div>
            <w:div w:id="1109204142">
              <w:marLeft w:val="0"/>
              <w:marRight w:val="0"/>
              <w:marTop w:val="0"/>
              <w:marBottom w:val="0"/>
              <w:divBdr>
                <w:top w:val="none" w:sz="0" w:space="0" w:color="auto"/>
                <w:left w:val="none" w:sz="0" w:space="0" w:color="auto"/>
                <w:bottom w:val="none" w:sz="0" w:space="0" w:color="auto"/>
                <w:right w:val="none" w:sz="0" w:space="0" w:color="auto"/>
              </w:divBdr>
            </w:div>
            <w:div w:id="1039357468">
              <w:marLeft w:val="0"/>
              <w:marRight w:val="0"/>
              <w:marTop w:val="0"/>
              <w:marBottom w:val="0"/>
              <w:divBdr>
                <w:top w:val="none" w:sz="0" w:space="0" w:color="auto"/>
                <w:left w:val="none" w:sz="0" w:space="0" w:color="auto"/>
                <w:bottom w:val="none" w:sz="0" w:space="0" w:color="auto"/>
                <w:right w:val="none" w:sz="0" w:space="0" w:color="auto"/>
              </w:divBdr>
            </w:div>
          </w:divsChild>
        </w:div>
        <w:div w:id="1103186689">
          <w:marLeft w:val="0"/>
          <w:marRight w:val="0"/>
          <w:marTop w:val="0"/>
          <w:marBottom w:val="0"/>
          <w:divBdr>
            <w:top w:val="none" w:sz="0" w:space="0" w:color="auto"/>
            <w:left w:val="none" w:sz="0" w:space="0" w:color="auto"/>
            <w:bottom w:val="none" w:sz="0" w:space="0" w:color="auto"/>
            <w:right w:val="none" w:sz="0" w:space="0" w:color="auto"/>
          </w:divBdr>
        </w:div>
      </w:divsChild>
    </w:div>
    <w:div w:id="408426285">
      <w:bodyDiv w:val="1"/>
      <w:marLeft w:val="0"/>
      <w:marRight w:val="0"/>
      <w:marTop w:val="0"/>
      <w:marBottom w:val="0"/>
      <w:divBdr>
        <w:top w:val="none" w:sz="0" w:space="0" w:color="auto"/>
        <w:left w:val="none" w:sz="0" w:space="0" w:color="auto"/>
        <w:bottom w:val="none" w:sz="0" w:space="0" w:color="auto"/>
        <w:right w:val="none" w:sz="0" w:space="0" w:color="auto"/>
      </w:divBdr>
    </w:div>
    <w:div w:id="430707129">
      <w:bodyDiv w:val="1"/>
      <w:marLeft w:val="0"/>
      <w:marRight w:val="0"/>
      <w:marTop w:val="0"/>
      <w:marBottom w:val="0"/>
      <w:divBdr>
        <w:top w:val="none" w:sz="0" w:space="0" w:color="auto"/>
        <w:left w:val="none" w:sz="0" w:space="0" w:color="auto"/>
        <w:bottom w:val="none" w:sz="0" w:space="0" w:color="auto"/>
        <w:right w:val="none" w:sz="0" w:space="0" w:color="auto"/>
      </w:divBdr>
    </w:div>
    <w:div w:id="582036245">
      <w:bodyDiv w:val="1"/>
      <w:marLeft w:val="0"/>
      <w:marRight w:val="0"/>
      <w:marTop w:val="0"/>
      <w:marBottom w:val="0"/>
      <w:divBdr>
        <w:top w:val="none" w:sz="0" w:space="0" w:color="auto"/>
        <w:left w:val="none" w:sz="0" w:space="0" w:color="auto"/>
        <w:bottom w:val="none" w:sz="0" w:space="0" w:color="auto"/>
        <w:right w:val="none" w:sz="0" w:space="0" w:color="auto"/>
      </w:divBdr>
    </w:div>
    <w:div w:id="7308114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229">
          <w:marLeft w:val="0"/>
          <w:marRight w:val="0"/>
          <w:marTop w:val="0"/>
          <w:marBottom w:val="0"/>
          <w:divBdr>
            <w:top w:val="none" w:sz="0" w:space="0" w:color="auto"/>
            <w:left w:val="none" w:sz="0" w:space="0" w:color="auto"/>
            <w:bottom w:val="none" w:sz="0" w:space="0" w:color="auto"/>
            <w:right w:val="none" w:sz="0" w:space="0" w:color="auto"/>
          </w:divBdr>
          <w:divsChild>
            <w:div w:id="893852407">
              <w:marLeft w:val="0"/>
              <w:marRight w:val="0"/>
              <w:marTop w:val="0"/>
              <w:marBottom w:val="0"/>
              <w:divBdr>
                <w:top w:val="none" w:sz="0" w:space="0" w:color="auto"/>
                <w:left w:val="none" w:sz="0" w:space="0" w:color="auto"/>
                <w:bottom w:val="none" w:sz="0" w:space="0" w:color="auto"/>
                <w:right w:val="none" w:sz="0" w:space="0" w:color="auto"/>
              </w:divBdr>
            </w:div>
            <w:div w:id="129177648">
              <w:marLeft w:val="0"/>
              <w:marRight w:val="0"/>
              <w:marTop w:val="0"/>
              <w:marBottom w:val="0"/>
              <w:divBdr>
                <w:top w:val="none" w:sz="0" w:space="0" w:color="auto"/>
                <w:left w:val="none" w:sz="0" w:space="0" w:color="auto"/>
                <w:bottom w:val="none" w:sz="0" w:space="0" w:color="auto"/>
                <w:right w:val="none" w:sz="0" w:space="0" w:color="auto"/>
              </w:divBdr>
            </w:div>
            <w:div w:id="1998995924">
              <w:marLeft w:val="0"/>
              <w:marRight w:val="0"/>
              <w:marTop w:val="0"/>
              <w:marBottom w:val="0"/>
              <w:divBdr>
                <w:top w:val="none" w:sz="0" w:space="0" w:color="auto"/>
                <w:left w:val="none" w:sz="0" w:space="0" w:color="auto"/>
                <w:bottom w:val="none" w:sz="0" w:space="0" w:color="auto"/>
                <w:right w:val="none" w:sz="0" w:space="0" w:color="auto"/>
              </w:divBdr>
            </w:div>
            <w:div w:id="1794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928">
      <w:bodyDiv w:val="1"/>
      <w:marLeft w:val="0"/>
      <w:marRight w:val="0"/>
      <w:marTop w:val="0"/>
      <w:marBottom w:val="0"/>
      <w:divBdr>
        <w:top w:val="none" w:sz="0" w:space="0" w:color="auto"/>
        <w:left w:val="none" w:sz="0" w:space="0" w:color="auto"/>
        <w:bottom w:val="none" w:sz="0" w:space="0" w:color="auto"/>
        <w:right w:val="none" w:sz="0" w:space="0" w:color="auto"/>
      </w:divBdr>
      <w:divsChild>
        <w:div w:id="210578453">
          <w:marLeft w:val="0"/>
          <w:marRight w:val="0"/>
          <w:marTop w:val="0"/>
          <w:marBottom w:val="0"/>
          <w:divBdr>
            <w:top w:val="none" w:sz="0" w:space="0" w:color="auto"/>
            <w:left w:val="none" w:sz="0" w:space="0" w:color="auto"/>
            <w:bottom w:val="none" w:sz="0" w:space="0" w:color="auto"/>
            <w:right w:val="none" w:sz="0" w:space="0" w:color="auto"/>
          </w:divBdr>
          <w:divsChild>
            <w:div w:id="1620837259">
              <w:marLeft w:val="0"/>
              <w:marRight w:val="0"/>
              <w:marTop w:val="0"/>
              <w:marBottom w:val="0"/>
              <w:divBdr>
                <w:top w:val="none" w:sz="0" w:space="0" w:color="auto"/>
                <w:left w:val="none" w:sz="0" w:space="0" w:color="auto"/>
                <w:bottom w:val="none" w:sz="0" w:space="0" w:color="auto"/>
                <w:right w:val="none" w:sz="0" w:space="0" w:color="auto"/>
              </w:divBdr>
            </w:div>
            <w:div w:id="1851986756">
              <w:marLeft w:val="0"/>
              <w:marRight w:val="0"/>
              <w:marTop w:val="0"/>
              <w:marBottom w:val="0"/>
              <w:divBdr>
                <w:top w:val="none" w:sz="0" w:space="0" w:color="auto"/>
                <w:left w:val="none" w:sz="0" w:space="0" w:color="auto"/>
                <w:bottom w:val="none" w:sz="0" w:space="0" w:color="auto"/>
                <w:right w:val="none" w:sz="0" w:space="0" w:color="auto"/>
              </w:divBdr>
            </w:div>
            <w:div w:id="708650125">
              <w:marLeft w:val="0"/>
              <w:marRight w:val="0"/>
              <w:marTop w:val="0"/>
              <w:marBottom w:val="0"/>
              <w:divBdr>
                <w:top w:val="none" w:sz="0" w:space="0" w:color="auto"/>
                <w:left w:val="none" w:sz="0" w:space="0" w:color="auto"/>
                <w:bottom w:val="none" w:sz="0" w:space="0" w:color="auto"/>
                <w:right w:val="none" w:sz="0" w:space="0" w:color="auto"/>
              </w:divBdr>
            </w:div>
            <w:div w:id="1470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64">
      <w:bodyDiv w:val="1"/>
      <w:marLeft w:val="0"/>
      <w:marRight w:val="0"/>
      <w:marTop w:val="0"/>
      <w:marBottom w:val="0"/>
      <w:divBdr>
        <w:top w:val="none" w:sz="0" w:space="0" w:color="auto"/>
        <w:left w:val="none" w:sz="0" w:space="0" w:color="auto"/>
        <w:bottom w:val="none" w:sz="0" w:space="0" w:color="auto"/>
        <w:right w:val="none" w:sz="0" w:space="0" w:color="auto"/>
      </w:divBdr>
    </w:div>
    <w:div w:id="903488485">
      <w:bodyDiv w:val="1"/>
      <w:marLeft w:val="0"/>
      <w:marRight w:val="0"/>
      <w:marTop w:val="0"/>
      <w:marBottom w:val="0"/>
      <w:divBdr>
        <w:top w:val="none" w:sz="0" w:space="0" w:color="auto"/>
        <w:left w:val="none" w:sz="0" w:space="0" w:color="auto"/>
        <w:bottom w:val="none" w:sz="0" w:space="0" w:color="auto"/>
        <w:right w:val="none" w:sz="0" w:space="0" w:color="auto"/>
      </w:divBdr>
    </w:div>
    <w:div w:id="960067585">
      <w:bodyDiv w:val="1"/>
      <w:marLeft w:val="0"/>
      <w:marRight w:val="0"/>
      <w:marTop w:val="0"/>
      <w:marBottom w:val="0"/>
      <w:divBdr>
        <w:top w:val="none" w:sz="0" w:space="0" w:color="auto"/>
        <w:left w:val="none" w:sz="0" w:space="0" w:color="auto"/>
        <w:bottom w:val="none" w:sz="0" w:space="0" w:color="auto"/>
        <w:right w:val="none" w:sz="0" w:space="0" w:color="auto"/>
      </w:divBdr>
      <w:divsChild>
        <w:div w:id="1890800682">
          <w:marLeft w:val="0"/>
          <w:marRight w:val="0"/>
          <w:marTop w:val="0"/>
          <w:marBottom w:val="0"/>
          <w:divBdr>
            <w:top w:val="none" w:sz="0" w:space="0" w:color="auto"/>
            <w:left w:val="none" w:sz="0" w:space="0" w:color="auto"/>
            <w:bottom w:val="none" w:sz="0" w:space="0" w:color="auto"/>
            <w:right w:val="none" w:sz="0" w:space="0" w:color="auto"/>
          </w:divBdr>
          <w:divsChild>
            <w:div w:id="1846243281">
              <w:marLeft w:val="0"/>
              <w:marRight w:val="0"/>
              <w:marTop w:val="0"/>
              <w:marBottom w:val="0"/>
              <w:divBdr>
                <w:top w:val="none" w:sz="0" w:space="0" w:color="auto"/>
                <w:left w:val="none" w:sz="0" w:space="0" w:color="auto"/>
                <w:bottom w:val="none" w:sz="0" w:space="0" w:color="auto"/>
                <w:right w:val="none" w:sz="0" w:space="0" w:color="auto"/>
              </w:divBdr>
            </w:div>
            <w:div w:id="1121462037">
              <w:marLeft w:val="0"/>
              <w:marRight w:val="0"/>
              <w:marTop w:val="0"/>
              <w:marBottom w:val="0"/>
              <w:divBdr>
                <w:top w:val="none" w:sz="0" w:space="0" w:color="auto"/>
                <w:left w:val="none" w:sz="0" w:space="0" w:color="auto"/>
                <w:bottom w:val="none" w:sz="0" w:space="0" w:color="auto"/>
                <w:right w:val="none" w:sz="0" w:space="0" w:color="auto"/>
              </w:divBdr>
            </w:div>
            <w:div w:id="1589532933">
              <w:marLeft w:val="0"/>
              <w:marRight w:val="0"/>
              <w:marTop w:val="0"/>
              <w:marBottom w:val="0"/>
              <w:divBdr>
                <w:top w:val="none" w:sz="0" w:space="0" w:color="auto"/>
                <w:left w:val="none" w:sz="0" w:space="0" w:color="auto"/>
                <w:bottom w:val="none" w:sz="0" w:space="0" w:color="auto"/>
                <w:right w:val="none" w:sz="0" w:space="0" w:color="auto"/>
              </w:divBdr>
            </w:div>
            <w:div w:id="862323419">
              <w:marLeft w:val="0"/>
              <w:marRight w:val="0"/>
              <w:marTop w:val="0"/>
              <w:marBottom w:val="0"/>
              <w:divBdr>
                <w:top w:val="none" w:sz="0" w:space="0" w:color="auto"/>
                <w:left w:val="none" w:sz="0" w:space="0" w:color="auto"/>
                <w:bottom w:val="none" w:sz="0" w:space="0" w:color="auto"/>
                <w:right w:val="none" w:sz="0" w:space="0" w:color="auto"/>
              </w:divBdr>
            </w:div>
            <w:div w:id="242034982">
              <w:marLeft w:val="0"/>
              <w:marRight w:val="0"/>
              <w:marTop w:val="0"/>
              <w:marBottom w:val="0"/>
              <w:divBdr>
                <w:top w:val="none" w:sz="0" w:space="0" w:color="auto"/>
                <w:left w:val="none" w:sz="0" w:space="0" w:color="auto"/>
                <w:bottom w:val="none" w:sz="0" w:space="0" w:color="auto"/>
                <w:right w:val="none" w:sz="0" w:space="0" w:color="auto"/>
              </w:divBdr>
            </w:div>
            <w:div w:id="561479302">
              <w:marLeft w:val="0"/>
              <w:marRight w:val="0"/>
              <w:marTop w:val="0"/>
              <w:marBottom w:val="0"/>
              <w:divBdr>
                <w:top w:val="none" w:sz="0" w:space="0" w:color="auto"/>
                <w:left w:val="none" w:sz="0" w:space="0" w:color="auto"/>
                <w:bottom w:val="none" w:sz="0" w:space="0" w:color="auto"/>
                <w:right w:val="none" w:sz="0" w:space="0" w:color="auto"/>
              </w:divBdr>
            </w:div>
            <w:div w:id="61605045">
              <w:marLeft w:val="0"/>
              <w:marRight w:val="0"/>
              <w:marTop w:val="0"/>
              <w:marBottom w:val="0"/>
              <w:divBdr>
                <w:top w:val="none" w:sz="0" w:space="0" w:color="auto"/>
                <w:left w:val="none" w:sz="0" w:space="0" w:color="auto"/>
                <w:bottom w:val="none" w:sz="0" w:space="0" w:color="auto"/>
                <w:right w:val="none" w:sz="0" w:space="0" w:color="auto"/>
              </w:divBdr>
            </w:div>
            <w:div w:id="777679229">
              <w:marLeft w:val="0"/>
              <w:marRight w:val="0"/>
              <w:marTop w:val="0"/>
              <w:marBottom w:val="0"/>
              <w:divBdr>
                <w:top w:val="none" w:sz="0" w:space="0" w:color="auto"/>
                <w:left w:val="none" w:sz="0" w:space="0" w:color="auto"/>
                <w:bottom w:val="none" w:sz="0" w:space="0" w:color="auto"/>
                <w:right w:val="none" w:sz="0" w:space="0" w:color="auto"/>
              </w:divBdr>
            </w:div>
          </w:divsChild>
        </w:div>
        <w:div w:id="58479743">
          <w:marLeft w:val="0"/>
          <w:marRight w:val="0"/>
          <w:marTop w:val="0"/>
          <w:marBottom w:val="0"/>
          <w:divBdr>
            <w:top w:val="none" w:sz="0" w:space="0" w:color="auto"/>
            <w:left w:val="none" w:sz="0" w:space="0" w:color="auto"/>
            <w:bottom w:val="none" w:sz="0" w:space="0" w:color="auto"/>
            <w:right w:val="none" w:sz="0" w:space="0" w:color="auto"/>
          </w:divBdr>
        </w:div>
      </w:divsChild>
    </w:div>
    <w:div w:id="1169952696">
      <w:bodyDiv w:val="1"/>
      <w:marLeft w:val="0"/>
      <w:marRight w:val="0"/>
      <w:marTop w:val="0"/>
      <w:marBottom w:val="0"/>
      <w:divBdr>
        <w:top w:val="none" w:sz="0" w:space="0" w:color="auto"/>
        <w:left w:val="none" w:sz="0" w:space="0" w:color="auto"/>
        <w:bottom w:val="none" w:sz="0" w:space="0" w:color="auto"/>
        <w:right w:val="none" w:sz="0" w:space="0" w:color="auto"/>
      </w:divBdr>
    </w:div>
    <w:div w:id="1211578407">
      <w:bodyDiv w:val="1"/>
      <w:marLeft w:val="0"/>
      <w:marRight w:val="0"/>
      <w:marTop w:val="0"/>
      <w:marBottom w:val="0"/>
      <w:divBdr>
        <w:top w:val="none" w:sz="0" w:space="0" w:color="auto"/>
        <w:left w:val="none" w:sz="0" w:space="0" w:color="auto"/>
        <w:bottom w:val="none" w:sz="0" w:space="0" w:color="auto"/>
        <w:right w:val="none" w:sz="0" w:space="0" w:color="auto"/>
      </w:divBdr>
    </w:div>
    <w:div w:id="1276711302">
      <w:bodyDiv w:val="1"/>
      <w:marLeft w:val="0"/>
      <w:marRight w:val="0"/>
      <w:marTop w:val="0"/>
      <w:marBottom w:val="0"/>
      <w:divBdr>
        <w:top w:val="none" w:sz="0" w:space="0" w:color="auto"/>
        <w:left w:val="none" w:sz="0" w:space="0" w:color="auto"/>
        <w:bottom w:val="none" w:sz="0" w:space="0" w:color="auto"/>
        <w:right w:val="none" w:sz="0" w:space="0" w:color="auto"/>
      </w:divBdr>
      <w:divsChild>
        <w:div w:id="1496533154">
          <w:marLeft w:val="0"/>
          <w:marRight w:val="0"/>
          <w:marTop w:val="0"/>
          <w:marBottom w:val="0"/>
          <w:divBdr>
            <w:top w:val="none" w:sz="0" w:space="0" w:color="auto"/>
            <w:left w:val="none" w:sz="0" w:space="0" w:color="auto"/>
            <w:bottom w:val="none" w:sz="0" w:space="0" w:color="auto"/>
            <w:right w:val="none" w:sz="0" w:space="0" w:color="auto"/>
          </w:divBdr>
          <w:divsChild>
            <w:div w:id="2145079966">
              <w:marLeft w:val="0"/>
              <w:marRight w:val="0"/>
              <w:marTop w:val="0"/>
              <w:marBottom w:val="0"/>
              <w:divBdr>
                <w:top w:val="none" w:sz="0" w:space="0" w:color="auto"/>
                <w:left w:val="none" w:sz="0" w:space="0" w:color="auto"/>
                <w:bottom w:val="none" w:sz="0" w:space="0" w:color="auto"/>
                <w:right w:val="none" w:sz="0" w:space="0" w:color="auto"/>
              </w:divBdr>
            </w:div>
            <w:div w:id="224031250">
              <w:marLeft w:val="0"/>
              <w:marRight w:val="0"/>
              <w:marTop w:val="0"/>
              <w:marBottom w:val="0"/>
              <w:divBdr>
                <w:top w:val="none" w:sz="0" w:space="0" w:color="auto"/>
                <w:left w:val="none" w:sz="0" w:space="0" w:color="auto"/>
                <w:bottom w:val="none" w:sz="0" w:space="0" w:color="auto"/>
                <w:right w:val="none" w:sz="0" w:space="0" w:color="auto"/>
              </w:divBdr>
            </w:div>
            <w:div w:id="1439301947">
              <w:marLeft w:val="0"/>
              <w:marRight w:val="0"/>
              <w:marTop w:val="0"/>
              <w:marBottom w:val="0"/>
              <w:divBdr>
                <w:top w:val="none" w:sz="0" w:space="0" w:color="auto"/>
                <w:left w:val="none" w:sz="0" w:space="0" w:color="auto"/>
                <w:bottom w:val="none" w:sz="0" w:space="0" w:color="auto"/>
                <w:right w:val="none" w:sz="0" w:space="0" w:color="auto"/>
              </w:divBdr>
            </w:div>
            <w:div w:id="737018253">
              <w:marLeft w:val="0"/>
              <w:marRight w:val="0"/>
              <w:marTop w:val="0"/>
              <w:marBottom w:val="0"/>
              <w:divBdr>
                <w:top w:val="none" w:sz="0" w:space="0" w:color="auto"/>
                <w:left w:val="none" w:sz="0" w:space="0" w:color="auto"/>
                <w:bottom w:val="none" w:sz="0" w:space="0" w:color="auto"/>
                <w:right w:val="none" w:sz="0" w:space="0" w:color="auto"/>
              </w:divBdr>
            </w:div>
            <w:div w:id="64113136">
              <w:marLeft w:val="0"/>
              <w:marRight w:val="0"/>
              <w:marTop w:val="0"/>
              <w:marBottom w:val="0"/>
              <w:divBdr>
                <w:top w:val="none" w:sz="0" w:space="0" w:color="auto"/>
                <w:left w:val="none" w:sz="0" w:space="0" w:color="auto"/>
                <w:bottom w:val="none" w:sz="0" w:space="0" w:color="auto"/>
                <w:right w:val="none" w:sz="0" w:space="0" w:color="auto"/>
              </w:divBdr>
            </w:div>
            <w:div w:id="740567629">
              <w:marLeft w:val="0"/>
              <w:marRight w:val="0"/>
              <w:marTop w:val="0"/>
              <w:marBottom w:val="0"/>
              <w:divBdr>
                <w:top w:val="none" w:sz="0" w:space="0" w:color="auto"/>
                <w:left w:val="none" w:sz="0" w:space="0" w:color="auto"/>
                <w:bottom w:val="none" w:sz="0" w:space="0" w:color="auto"/>
                <w:right w:val="none" w:sz="0" w:space="0" w:color="auto"/>
              </w:divBdr>
            </w:div>
            <w:div w:id="1924601310">
              <w:marLeft w:val="0"/>
              <w:marRight w:val="0"/>
              <w:marTop w:val="0"/>
              <w:marBottom w:val="0"/>
              <w:divBdr>
                <w:top w:val="none" w:sz="0" w:space="0" w:color="auto"/>
                <w:left w:val="none" w:sz="0" w:space="0" w:color="auto"/>
                <w:bottom w:val="none" w:sz="0" w:space="0" w:color="auto"/>
                <w:right w:val="none" w:sz="0" w:space="0" w:color="auto"/>
              </w:divBdr>
            </w:div>
            <w:div w:id="1724212757">
              <w:marLeft w:val="0"/>
              <w:marRight w:val="0"/>
              <w:marTop w:val="0"/>
              <w:marBottom w:val="0"/>
              <w:divBdr>
                <w:top w:val="none" w:sz="0" w:space="0" w:color="auto"/>
                <w:left w:val="none" w:sz="0" w:space="0" w:color="auto"/>
                <w:bottom w:val="none" w:sz="0" w:space="0" w:color="auto"/>
                <w:right w:val="none" w:sz="0" w:space="0" w:color="auto"/>
              </w:divBdr>
            </w:div>
          </w:divsChild>
        </w:div>
        <w:div w:id="111751270">
          <w:marLeft w:val="0"/>
          <w:marRight w:val="0"/>
          <w:marTop w:val="0"/>
          <w:marBottom w:val="0"/>
          <w:divBdr>
            <w:top w:val="none" w:sz="0" w:space="0" w:color="auto"/>
            <w:left w:val="none" w:sz="0" w:space="0" w:color="auto"/>
            <w:bottom w:val="none" w:sz="0" w:space="0" w:color="auto"/>
            <w:right w:val="none" w:sz="0" w:space="0" w:color="auto"/>
          </w:divBdr>
        </w:div>
      </w:divsChild>
    </w:div>
    <w:div w:id="1556312432">
      <w:bodyDiv w:val="1"/>
      <w:marLeft w:val="0"/>
      <w:marRight w:val="0"/>
      <w:marTop w:val="0"/>
      <w:marBottom w:val="0"/>
      <w:divBdr>
        <w:top w:val="none" w:sz="0" w:space="0" w:color="auto"/>
        <w:left w:val="none" w:sz="0" w:space="0" w:color="auto"/>
        <w:bottom w:val="none" w:sz="0" w:space="0" w:color="auto"/>
        <w:right w:val="none" w:sz="0" w:space="0" w:color="auto"/>
      </w:divBdr>
      <w:divsChild>
        <w:div w:id="351687313">
          <w:marLeft w:val="0"/>
          <w:marRight w:val="0"/>
          <w:marTop w:val="0"/>
          <w:marBottom w:val="0"/>
          <w:divBdr>
            <w:top w:val="none" w:sz="0" w:space="0" w:color="auto"/>
            <w:left w:val="none" w:sz="0" w:space="0" w:color="auto"/>
            <w:bottom w:val="none" w:sz="0" w:space="0" w:color="auto"/>
            <w:right w:val="none" w:sz="0" w:space="0" w:color="auto"/>
          </w:divBdr>
          <w:divsChild>
            <w:div w:id="1095980742">
              <w:marLeft w:val="0"/>
              <w:marRight w:val="0"/>
              <w:marTop w:val="0"/>
              <w:marBottom w:val="0"/>
              <w:divBdr>
                <w:top w:val="none" w:sz="0" w:space="0" w:color="auto"/>
                <w:left w:val="none" w:sz="0" w:space="0" w:color="auto"/>
                <w:bottom w:val="none" w:sz="0" w:space="0" w:color="auto"/>
                <w:right w:val="none" w:sz="0" w:space="0" w:color="auto"/>
              </w:divBdr>
            </w:div>
            <w:div w:id="361635218">
              <w:marLeft w:val="0"/>
              <w:marRight w:val="0"/>
              <w:marTop w:val="0"/>
              <w:marBottom w:val="0"/>
              <w:divBdr>
                <w:top w:val="none" w:sz="0" w:space="0" w:color="auto"/>
                <w:left w:val="none" w:sz="0" w:space="0" w:color="auto"/>
                <w:bottom w:val="none" w:sz="0" w:space="0" w:color="auto"/>
                <w:right w:val="none" w:sz="0" w:space="0" w:color="auto"/>
              </w:divBdr>
            </w:div>
            <w:div w:id="1781031236">
              <w:marLeft w:val="0"/>
              <w:marRight w:val="0"/>
              <w:marTop w:val="0"/>
              <w:marBottom w:val="0"/>
              <w:divBdr>
                <w:top w:val="none" w:sz="0" w:space="0" w:color="auto"/>
                <w:left w:val="none" w:sz="0" w:space="0" w:color="auto"/>
                <w:bottom w:val="none" w:sz="0" w:space="0" w:color="auto"/>
                <w:right w:val="none" w:sz="0" w:space="0" w:color="auto"/>
              </w:divBdr>
            </w:div>
            <w:div w:id="285475216">
              <w:marLeft w:val="0"/>
              <w:marRight w:val="0"/>
              <w:marTop w:val="0"/>
              <w:marBottom w:val="0"/>
              <w:divBdr>
                <w:top w:val="none" w:sz="0" w:space="0" w:color="auto"/>
                <w:left w:val="none" w:sz="0" w:space="0" w:color="auto"/>
                <w:bottom w:val="none" w:sz="0" w:space="0" w:color="auto"/>
                <w:right w:val="none" w:sz="0" w:space="0" w:color="auto"/>
              </w:divBdr>
            </w:div>
            <w:div w:id="1994722264">
              <w:marLeft w:val="0"/>
              <w:marRight w:val="0"/>
              <w:marTop w:val="0"/>
              <w:marBottom w:val="0"/>
              <w:divBdr>
                <w:top w:val="none" w:sz="0" w:space="0" w:color="auto"/>
                <w:left w:val="none" w:sz="0" w:space="0" w:color="auto"/>
                <w:bottom w:val="none" w:sz="0" w:space="0" w:color="auto"/>
                <w:right w:val="none" w:sz="0" w:space="0" w:color="auto"/>
              </w:divBdr>
            </w:div>
            <w:div w:id="1527517935">
              <w:marLeft w:val="0"/>
              <w:marRight w:val="0"/>
              <w:marTop w:val="0"/>
              <w:marBottom w:val="0"/>
              <w:divBdr>
                <w:top w:val="none" w:sz="0" w:space="0" w:color="auto"/>
                <w:left w:val="none" w:sz="0" w:space="0" w:color="auto"/>
                <w:bottom w:val="none" w:sz="0" w:space="0" w:color="auto"/>
                <w:right w:val="none" w:sz="0" w:space="0" w:color="auto"/>
              </w:divBdr>
            </w:div>
            <w:div w:id="1954551565">
              <w:marLeft w:val="0"/>
              <w:marRight w:val="0"/>
              <w:marTop w:val="0"/>
              <w:marBottom w:val="0"/>
              <w:divBdr>
                <w:top w:val="none" w:sz="0" w:space="0" w:color="auto"/>
                <w:left w:val="none" w:sz="0" w:space="0" w:color="auto"/>
                <w:bottom w:val="none" w:sz="0" w:space="0" w:color="auto"/>
                <w:right w:val="none" w:sz="0" w:space="0" w:color="auto"/>
              </w:divBdr>
            </w:div>
            <w:div w:id="1787457284">
              <w:marLeft w:val="0"/>
              <w:marRight w:val="0"/>
              <w:marTop w:val="0"/>
              <w:marBottom w:val="0"/>
              <w:divBdr>
                <w:top w:val="none" w:sz="0" w:space="0" w:color="auto"/>
                <w:left w:val="none" w:sz="0" w:space="0" w:color="auto"/>
                <w:bottom w:val="none" w:sz="0" w:space="0" w:color="auto"/>
                <w:right w:val="none" w:sz="0" w:space="0" w:color="auto"/>
              </w:divBdr>
            </w:div>
          </w:divsChild>
        </w:div>
        <w:div w:id="411851041">
          <w:marLeft w:val="0"/>
          <w:marRight w:val="0"/>
          <w:marTop w:val="0"/>
          <w:marBottom w:val="0"/>
          <w:divBdr>
            <w:top w:val="none" w:sz="0" w:space="0" w:color="auto"/>
            <w:left w:val="none" w:sz="0" w:space="0" w:color="auto"/>
            <w:bottom w:val="none" w:sz="0" w:space="0" w:color="auto"/>
            <w:right w:val="none" w:sz="0" w:space="0" w:color="auto"/>
          </w:divBdr>
        </w:div>
      </w:divsChild>
    </w:div>
    <w:div w:id="1992129657">
      <w:bodyDiv w:val="1"/>
      <w:marLeft w:val="0"/>
      <w:marRight w:val="0"/>
      <w:marTop w:val="0"/>
      <w:marBottom w:val="0"/>
      <w:divBdr>
        <w:top w:val="none" w:sz="0" w:space="0" w:color="auto"/>
        <w:left w:val="none" w:sz="0" w:space="0" w:color="auto"/>
        <w:bottom w:val="none" w:sz="0" w:space="0" w:color="auto"/>
        <w:right w:val="none" w:sz="0" w:space="0" w:color="auto"/>
      </w:divBdr>
    </w:div>
    <w:div w:id="2054504420">
      <w:bodyDiv w:val="1"/>
      <w:marLeft w:val="0"/>
      <w:marRight w:val="0"/>
      <w:marTop w:val="0"/>
      <w:marBottom w:val="0"/>
      <w:divBdr>
        <w:top w:val="none" w:sz="0" w:space="0" w:color="auto"/>
        <w:left w:val="none" w:sz="0" w:space="0" w:color="auto"/>
        <w:bottom w:val="none" w:sz="0" w:space="0" w:color="auto"/>
        <w:right w:val="none" w:sz="0" w:space="0" w:color="auto"/>
      </w:divBdr>
      <w:divsChild>
        <w:div w:id="2106537797">
          <w:marLeft w:val="0"/>
          <w:marRight w:val="0"/>
          <w:marTop w:val="0"/>
          <w:marBottom w:val="0"/>
          <w:divBdr>
            <w:top w:val="none" w:sz="0" w:space="0" w:color="auto"/>
            <w:left w:val="none" w:sz="0" w:space="0" w:color="auto"/>
            <w:bottom w:val="none" w:sz="0" w:space="0" w:color="auto"/>
            <w:right w:val="none" w:sz="0" w:space="0" w:color="auto"/>
          </w:divBdr>
          <w:divsChild>
            <w:div w:id="998389065">
              <w:marLeft w:val="0"/>
              <w:marRight w:val="0"/>
              <w:marTop w:val="0"/>
              <w:marBottom w:val="0"/>
              <w:divBdr>
                <w:top w:val="none" w:sz="0" w:space="0" w:color="auto"/>
                <w:left w:val="none" w:sz="0" w:space="0" w:color="auto"/>
                <w:bottom w:val="none" w:sz="0" w:space="0" w:color="auto"/>
                <w:right w:val="none" w:sz="0" w:space="0" w:color="auto"/>
              </w:divBdr>
            </w:div>
            <w:div w:id="9664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41">
      <w:bodyDiv w:val="1"/>
      <w:marLeft w:val="0"/>
      <w:marRight w:val="0"/>
      <w:marTop w:val="0"/>
      <w:marBottom w:val="0"/>
      <w:divBdr>
        <w:top w:val="none" w:sz="0" w:space="0" w:color="auto"/>
        <w:left w:val="none" w:sz="0" w:space="0" w:color="auto"/>
        <w:bottom w:val="none" w:sz="0" w:space="0" w:color="auto"/>
        <w:right w:val="none" w:sz="0" w:space="0" w:color="auto"/>
      </w:divBdr>
      <w:divsChild>
        <w:div w:id="689794008">
          <w:marLeft w:val="0"/>
          <w:marRight w:val="0"/>
          <w:marTop w:val="0"/>
          <w:marBottom w:val="0"/>
          <w:divBdr>
            <w:top w:val="none" w:sz="0" w:space="0" w:color="auto"/>
            <w:left w:val="none" w:sz="0" w:space="0" w:color="auto"/>
            <w:bottom w:val="none" w:sz="0" w:space="0" w:color="auto"/>
            <w:right w:val="none" w:sz="0" w:space="0" w:color="auto"/>
          </w:divBdr>
          <w:divsChild>
            <w:div w:id="1646198949">
              <w:marLeft w:val="0"/>
              <w:marRight w:val="0"/>
              <w:marTop w:val="0"/>
              <w:marBottom w:val="0"/>
              <w:divBdr>
                <w:top w:val="none" w:sz="0" w:space="0" w:color="auto"/>
                <w:left w:val="none" w:sz="0" w:space="0" w:color="auto"/>
                <w:bottom w:val="none" w:sz="0" w:space="0" w:color="auto"/>
                <w:right w:val="none" w:sz="0" w:space="0" w:color="auto"/>
              </w:divBdr>
            </w:div>
            <w:div w:id="1158811393">
              <w:marLeft w:val="0"/>
              <w:marRight w:val="0"/>
              <w:marTop w:val="0"/>
              <w:marBottom w:val="0"/>
              <w:divBdr>
                <w:top w:val="none" w:sz="0" w:space="0" w:color="auto"/>
                <w:left w:val="none" w:sz="0" w:space="0" w:color="auto"/>
                <w:bottom w:val="none" w:sz="0" w:space="0" w:color="auto"/>
                <w:right w:val="none" w:sz="0" w:space="0" w:color="auto"/>
              </w:divBdr>
            </w:div>
            <w:div w:id="777409473">
              <w:marLeft w:val="0"/>
              <w:marRight w:val="0"/>
              <w:marTop w:val="0"/>
              <w:marBottom w:val="0"/>
              <w:divBdr>
                <w:top w:val="none" w:sz="0" w:space="0" w:color="auto"/>
                <w:left w:val="none" w:sz="0" w:space="0" w:color="auto"/>
                <w:bottom w:val="none" w:sz="0" w:space="0" w:color="auto"/>
                <w:right w:val="none" w:sz="0" w:space="0" w:color="auto"/>
              </w:divBdr>
            </w:div>
            <w:div w:id="595020512">
              <w:marLeft w:val="0"/>
              <w:marRight w:val="0"/>
              <w:marTop w:val="0"/>
              <w:marBottom w:val="0"/>
              <w:divBdr>
                <w:top w:val="none" w:sz="0" w:space="0" w:color="auto"/>
                <w:left w:val="none" w:sz="0" w:space="0" w:color="auto"/>
                <w:bottom w:val="none" w:sz="0" w:space="0" w:color="auto"/>
                <w:right w:val="none" w:sz="0" w:space="0" w:color="auto"/>
              </w:divBdr>
            </w:div>
            <w:div w:id="330570824">
              <w:marLeft w:val="0"/>
              <w:marRight w:val="0"/>
              <w:marTop w:val="0"/>
              <w:marBottom w:val="0"/>
              <w:divBdr>
                <w:top w:val="none" w:sz="0" w:space="0" w:color="auto"/>
                <w:left w:val="none" w:sz="0" w:space="0" w:color="auto"/>
                <w:bottom w:val="none" w:sz="0" w:space="0" w:color="auto"/>
                <w:right w:val="none" w:sz="0" w:space="0" w:color="auto"/>
              </w:divBdr>
            </w:div>
            <w:div w:id="89662424">
              <w:marLeft w:val="0"/>
              <w:marRight w:val="0"/>
              <w:marTop w:val="0"/>
              <w:marBottom w:val="0"/>
              <w:divBdr>
                <w:top w:val="none" w:sz="0" w:space="0" w:color="auto"/>
                <w:left w:val="none" w:sz="0" w:space="0" w:color="auto"/>
                <w:bottom w:val="none" w:sz="0" w:space="0" w:color="auto"/>
                <w:right w:val="none" w:sz="0" w:space="0" w:color="auto"/>
              </w:divBdr>
            </w:div>
            <w:div w:id="964315622">
              <w:marLeft w:val="0"/>
              <w:marRight w:val="0"/>
              <w:marTop w:val="0"/>
              <w:marBottom w:val="0"/>
              <w:divBdr>
                <w:top w:val="none" w:sz="0" w:space="0" w:color="auto"/>
                <w:left w:val="none" w:sz="0" w:space="0" w:color="auto"/>
                <w:bottom w:val="none" w:sz="0" w:space="0" w:color="auto"/>
                <w:right w:val="none" w:sz="0" w:space="0" w:color="auto"/>
              </w:divBdr>
            </w:div>
            <w:div w:id="751466952">
              <w:marLeft w:val="0"/>
              <w:marRight w:val="0"/>
              <w:marTop w:val="0"/>
              <w:marBottom w:val="0"/>
              <w:divBdr>
                <w:top w:val="none" w:sz="0" w:space="0" w:color="auto"/>
                <w:left w:val="none" w:sz="0" w:space="0" w:color="auto"/>
                <w:bottom w:val="none" w:sz="0" w:space="0" w:color="auto"/>
                <w:right w:val="none" w:sz="0" w:space="0" w:color="auto"/>
              </w:divBdr>
            </w:div>
          </w:divsChild>
        </w:div>
        <w:div w:id="165514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LAW-117publ58/pdf/PLAW-117publ58.pdf" TargetMode="External"/><Relationship Id="rId13" Type="http://schemas.openxmlformats.org/officeDocument/2006/relationships/hyperlink" Target="https://www.govinfo.gov/link/uscode/23/313" TargetMode="External"/><Relationship Id="rId3" Type="http://schemas.openxmlformats.org/officeDocument/2006/relationships/settings" Target="settings.xml"/><Relationship Id="rId7" Type="http://schemas.openxmlformats.org/officeDocument/2006/relationships/hyperlink" Target="https://www.fhwa.dot.gov/construction/contracts/831125.cfm" TargetMode="External"/><Relationship Id="rId12" Type="http://schemas.openxmlformats.org/officeDocument/2006/relationships/hyperlink" Target="https://www.fhwa.dot.gov/construction/contracts/buyam_qa_deminimis.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cfr.gov/current/title-23/chapter-I/subchapter-G/part-635/subpart-D/section-635.410" TargetMode="External"/><Relationship Id="rId11" Type="http://schemas.openxmlformats.org/officeDocument/2006/relationships/hyperlink" Target="https://www.federalregister.gov/documents/2023/08/16/2023-17602/waiver-of-buy-america-requirements-for-de-minimis-costs-and-small-grants" TargetMode="External"/><Relationship Id="rId5" Type="http://schemas.openxmlformats.org/officeDocument/2006/relationships/hyperlink" Target="https://www.ecfr.gov/current/title-49/subtitle-B/chapter-VI/part-661" TargetMode="External"/><Relationship Id="rId15" Type="http://schemas.openxmlformats.org/officeDocument/2006/relationships/fontTable" Target="fontTable.xml"/><Relationship Id="rId10" Type="http://schemas.openxmlformats.org/officeDocument/2006/relationships/hyperlink" Target="https://www.ecfr.gov/current/title-2/subtitle-A/chapter-I/part-184" TargetMode="External"/><Relationship Id="rId4" Type="http://schemas.openxmlformats.org/officeDocument/2006/relationships/webSettings" Target="webSettings.xml"/><Relationship Id="rId9" Type="http://schemas.openxmlformats.org/officeDocument/2006/relationships/hyperlink" Target="https://www.fhwa.dot.gov/construction/contracts/buyam_qa_baba_post10232023.cfm" TargetMode="External"/><Relationship Id="rId14" Type="http://schemas.openxmlformats.org/officeDocument/2006/relationships/hyperlink" Target="https://www.govinfo.gov/link/uscode/49/2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William</dc:creator>
  <cp:keywords/>
  <dc:description/>
  <cp:lastModifiedBy>Funke, Deanna</cp:lastModifiedBy>
  <cp:revision>2</cp:revision>
  <dcterms:created xsi:type="dcterms:W3CDTF">2024-10-03T17:03:00Z</dcterms:created>
  <dcterms:modified xsi:type="dcterms:W3CDTF">2024-10-03T17:03:00Z</dcterms:modified>
</cp:coreProperties>
</file>