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02569" w:rsidR="00AF72E5" w:rsidP="00417FAB" w:rsidRDefault="00AF72E5" w14:paraId="7C27AA0A" w14:textId="2568A928">
      <w:pPr>
        <w:widowControl/>
        <w:jc w:val="center"/>
        <w:rPr>
          <w:b/>
          <w:bCs/>
          <w:sz w:val="19"/>
          <w:szCs w:val="19"/>
        </w:rPr>
      </w:pPr>
      <w:r w:rsidRPr="00702569">
        <w:rPr>
          <w:b/>
          <w:bCs/>
          <w:sz w:val="19"/>
          <w:szCs w:val="19"/>
        </w:rPr>
        <w:t>OFFICIAL STATEMENT DATED</w:t>
      </w:r>
      <w:r w:rsidRPr="00702569" w:rsidR="00132F77">
        <w:rPr>
          <w:b/>
          <w:bCs/>
          <w:sz w:val="19"/>
          <w:szCs w:val="19"/>
        </w:rPr>
        <w:t xml:space="preserve"> </w:t>
      </w:r>
      <w:r w:rsidR="00702569">
        <w:rPr>
          <w:b/>
          <w:bCs/>
          <w:sz w:val="19"/>
          <w:szCs w:val="19"/>
        </w:rPr>
        <w:t>JULY 24</w:t>
      </w:r>
      <w:r w:rsidRPr="00702569" w:rsidR="00AF57A6">
        <w:rPr>
          <w:b/>
          <w:bCs/>
          <w:sz w:val="19"/>
          <w:szCs w:val="19"/>
        </w:rPr>
        <w:t>, 2024</w:t>
      </w:r>
    </w:p>
    <w:p w:rsidRPr="00B34407" w:rsidR="000256F3" w:rsidP="00A60FF3" w:rsidRDefault="000256F3" w14:paraId="18B33327" w14:textId="77777777">
      <w:pPr>
        <w:widowControl/>
        <w:ind w:right="378"/>
        <w:rPr>
          <w:b/>
          <w:bCs/>
          <w:sz w:val="19"/>
          <w:szCs w:val="19"/>
        </w:rPr>
      </w:pPr>
    </w:p>
    <w:p w:rsidRPr="00DB15E6" w:rsidR="00091264" w:rsidP="00834086" w:rsidRDefault="00AF72E5" w14:paraId="2DBE19D7" w14:textId="5DF5C0F8">
      <w:pPr>
        <w:widowControl/>
        <w:tabs>
          <w:tab w:val="right" w:pos="10260"/>
        </w:tabs>
        <w:rPr>
          <w:b/>
          <w:bCs/>
          <w:sz w:val="15"/>
          <w:szCs w:val="15"/>
        </w:rPr>
      </w:pPr>
      <w:bookmarkStart w:name="_DV_M2" w:id="0"/>
      <w:bookmarkEnd w:id="0"/>
      <w:r w:rsidRPr="00B34407">
        <w:rPr>
          <w:b/>
          <w:bCs/>
          <w:sz w:val="15"/>
          <w:szCs w:val="15"/>
        </w:rPr>
        <w:t>NEW ISSUE</w:t>
      </w:r>
      <w:r w:rsidRPr="00B34407">
        <w:rPr>
          <w:b/>
          <w:bCs/>
          <w:sz w:val="15"/>
          <w:szCs w:val="15"/>
        </w:rPr>
        <w:tab/>
        <w:t>RATINGS:</w:t>
      </w:r>
      <w:bookmarkStart w:name="_DV_M3" w:id="1"/>
      <w:bookmarkEnd w:id="1"/>
      <w:r w:rsidR="008D17D3">
        <w:rPr>
          <w:b/>
          <w:bCs/>
          <w:sz w:val="15"/>
          <w:szCs w:val="15"/>
        </w:rPr>
        <w:t xml:space="preserve"> </w:t>
      </w:r>
      <w:r w:rsidRPr="00DB15E6" w:rsidR="00C56413">
        <w:rPr>
          <w:b/>
          <w:bCs/>
          <w:sz w:val="15"/>
          <w:szCs w:val="15"/>
        </w:rPr>
        <w:t>Moody</w:t>
      </w:r>
      <w:r w:rsidRPr="00DB15E6" w:rsidR="00C34AEA">
        <w:rPr>
          <w:b/>
          <w:bCs/>
          <w:sz w:val="15"/>
          <w:szCs w:val="15"/>
        </w:rPr>
        <w:t>’</w:t>
      </w:r>
      <w:r w:rsidRPr="00DB15E6" w:rsidR="00C56413">
        <w:rPr>
          <w:b/>
          <w:bCs/>
          <w:sz w:val="15"/>
          <w:szCs w:val="15"/>
        </w:rPr>
        <w:t xml:space="preserve">s: </w:t>
      </w:r>
      <w:r w:rsidRPr="00C12D3D" w:rsidR="003014D2">
        <w:rPr>
          <w:b/>
          <w:bCs/>
          <w:sz w:val="15"/>
          <w:szCs w:val="15"/>
        </w:rPr>
        <w:t>Aaa</w:t>
      </w:r>
    </w:p>
    <w:p w:rsidR="00C37E3C" w:rsidP="003B62F4" w:rsidRDefault="00091264" w14:paraId="4F484C14" w14:textId="5465A179">
      <w:pPr>
        <w:widowControl/>
        <w:tabs>
          <w:tab w:val="right" w:pos="10260"/>
        </w:tabs>
        <w:rPr>
          <w:b/>
          <w:bCs/>
          <w:sz w:val="15"/>
          <w:szCs w:val="15"/>
        </w:rPr>
      </w:pPr>
      <w:r w:rsidRPr="00DB15E6">
        <w:rPr>
          <w:b/>
          <w:bCs/>
          <w:sz w:val="15"/>
          <w:szCs w:val="15"/>
        </w:rPr>
        <w:t>BOOK-ENTRY ONL</w:t>
      </w:r>
      <w:bookmarkStart w:name="_DV_M4" w:id="2"/>
      <w:bookmarkEnd w:id="2"/>
      <w:r w:rsidRPr="00DB15E6" w:rsidR="000760CA">
        <w:rPr>
          <w:b/>
          <w:bCs/>
          <w:sz w:val="15"/>
          <w:szCs w:val="15"/>
        </w:rPr>
        <w:t>Y</w:t>
      </w:r>
      <w:r w:rsidRPr="00DB15E6" w:rsidR="008D17D3">
        <w:rPr>
          <w:b/>
          <w:bCs/>
          <w:sz w:val="15"/>
          <w:szCs w:val="15"/>
        </w:rPr>
        <w:tab/>
      </w:r>
      <w:r w:rsidRPr="00DB15E6" w:rsidR="00021929">
        <w:rPr>
          <w:b/>
          <w:bCs/>
          <w:sz w:val="15"/>
          <w:szCs w:val="15"/>
        </w:rPr>
        <w:t>Fitch</w:t>
      </w:r>
      <w:r w:rsidRPr="00DB15E6" w:rsidR="003B62F4">
        <w:rPr>
          <w:b/>
          <w:bCs/>
          <w:sz w:val="15"/>
          <w:szCs w:val="15"/>
        </w:rPr>
        <w:t xml:space="preserve">: </w:t>
      </w:r>
      <w:r w:rsidR="004D28BA">
        <w:rPr>
          <w:b/>
          <w:bCs/>
          <w:sz w:val="15"/>
          <w:szCs w:val="15"/>
        </w:rPr>
        <w:t>AA+</w:t>
      </w:r>
    </w:p>
    <w:p w:rsidR="00C56413" w:rsidP="00834086" w:rsidRDefault="00C56413" w14:paraId="001C3732" w14:textId="6A4F76DC">
      <w:pPr>
        <w:widowControl/>
        <w:tabs>
          <w:tab w:val="right" w:pos="10260"/>
        </w:tabs>
        <w:rPr>
          <w:b/>
          <w:bCs/>
          <w:sz w:val="15"/>
          <w:szCs w:val="15"/>
        </w:rPr>
      </w:pPr>
      <w:r>
        <w:rPr>
          <w:b/>
          <w:bCs/>
          <w:sz w:val="15"/>
          <w:szCs w:val="15"/>
        </w:rPr>
        <w:tab/>
        <w:t xml:space="preserve">See </w:t>
      </w:r>
      <w:r w:rsidR="00C34AEA">
        <w:rPr>
          <w:b/>
          <w:bCs/>
          <w:sz w:val="15"/>
          <w:szCs w:val="15"/>
        </w:rPr>
        <w:t>“</w:t>
      </w:r>
      <w:r>
        <w:rPr>
          <w:b/>
          <w:bCs/>
          <w:sz w:val="15"/>
          <w:szCs w:val="15"/>
        </w:rPr>
        <w:t>RATINGS</w:t>
      </w:r>
      <w:r w:rsidR="00C34AEA">
        <w:rPr>
          <w:b/>
          <w:bCs/>
          <w:sz w:val="15"/>
          <w:szCs w:val="15"/>
        </w:rPr>
        <w:t>”</w:t>
      </w:r>
      <w:r>
        <w:rPr>
          <w:b/>
          <w:bCs/>
          <w:sz w:val="15"/>
          <w:szCs w:val="15"/>
        </w:rPr>
        <w:t xml:space="preserve"> herein</w:t>
      </w:r>
    </w:p>
    <w:p w:rsidRPr="00B34407" w:rsidR="00834086" w:rsidP="00834086" w:rsidRDefault="00834086" w14:paraId="3133E601" w14:textId="77777777">
      <w:pPr>
        <w:widowControl/>
        <w:tabs>
          <w:tab w:val="left" w:pos="6800"/>
          <w:tab w:val="left" w:pos="8190"/>
          <w:tab w:val="left" w:pos="9100"/>
          <w:tab w:val="right" w:pos="10080"/>
        </w:tabs>
        <w:rPr>
          <w:b/>
          <w:bCs/>
          <w:sz w:val="15"/>
          <w:szCs w:val="15"/>
        </w:rPr>
      </w:pPr>
    </w:p>
    <w:p w:rsidR="00517B92" w:rsidP="00620DFE" w:rsidRDefault="00584AAA" w14:paraId="1011945E" w14:textId="6D242FEA">
      <w:pPr>
        <w:pStyle w:val="OSpage1paragraphitalics"/>
      </w:pPr>
      <w:bookmarkStart w:name="_DV_M5" w:id="3"/>
      <w:bookmarkStart w:name="_DV_M6" w:id="4"/>
      <w:bookmarkEnd w:id="3"/>
      <w:bookmarkEnd w:id="4"/>
      <w:r w:rsidRPr="00A60FF3">
        <w:t>In the opinion of Ice Miller LLP, Indianapolis, Indiana (</w:t>
      </w:r>
      <w:r w:rsidR="00C34AEA">
        <w:t>“</w:t>
      </w:r>
      <w:r w:rsidRPr="00A60FF3">
        <w:t>Bond Counsel</w:t>
      </w:r>
      <w:r w:rsidR="00C34AEA">
        <w:t>”</w:t>
      </w:r>
      <w:r w:rsidRPr="00A60FF3">
        <w:t xml:space="preserve">), under existing federal statutes, decisions, regulations and rulings, interest on the </w:t>
      </w:r>
      <w:r w:rsidR="00C7294C">
        <w:t>2024 Series C</w:t>
      </w:r>
      <w:r w:rsidR="00B4438E">
        <w:t>-1 Bond</w:t>
      </w:r>
      <w:r w:rsidRPr="00A60FF3">
        <w:t xml:space="preserve">s (hereinafter defined) is excludable from gross income under Section 103 of the Internal Revenue Code of 1986, as amended, for federal income tax purposes.  Such excludability is conditioned on continuing compliance with the Tax Covenants (hereinafter defined).  The interest on the </w:t>
      </w:r>
      <w:r w:rsidR="00C7294C">
        <w:t>2024 Series C</w:t>
      </w:r>
      <w:r>
        <w:t>-1 Bond</w:t>
      </w:r>
      <w:r w:rsidRPr="00A60FF3">
        <w:t xml:space="preserve">s </w:t>
      </w:r>
      <w:r w:rsidRPr="00677019">
        <w:t>(hereinafter defined)</w:t>
      </w:r>
      <w:r>
        <w:t xml:space="preserve"> </w:t>
      </w:r>
      <w:r w:rsidRPr="00A60FF3">
        <w:t>is not a specific preference item for purposes of the federal individual alternative minimum tax</w:t>
      </w:r>
      <w:r>
        <w:t>.</w:t>
      </w:r>
      <w:r w:rsidRPr="00785872">
        <w:t xml:space="preserve"> </w:t>
      </w:r>
      <w:r>
        <w:t xml:space="preserve"> </w:t>
      </w:r>
      <w:r w:rsidR="00375DBB">
        <w:t xml:space="preserve">However, such </w:t>
      </w:r>
      <w:r w:rsidRPr="007D171B">
        <w:t xml:space="preserve">interest on the </w:t>
      </w:r>
      <w:r w:rsidR="00C7294C">
        <w:t>2024 Series C</w:t>
      </w:r>
      <w:r w:rsidRPr="007D171B">
        <w:t xml:space="preserve">-1 Bonds </w:t>
      </w:r>
      <w:r w:rsidR="00375DBB">
        <w:t>may be taken into account for the purpose of computing the alternative minimum tax imposed on certain corporations</w:t>
      </w:r>
      <w:r w:rsidRPr="007D171B">
        <w:t>.</w:t>
      </w:r>
      <w:r>
        <w:t xml:space="preserve"> </w:t>
      </w:r>
      <w:r w:rsidR="00A76069">
        <w:t xml:space="preserve"> </w:t>
      </w:r>
      <w:r w:rsidRPr="004158CA">
        <w:t xml:space="preserve">Interest on the </w:t>
      </w:r>
      <w:r w:rsidR="00C7294C">
        <w:t>2024 Series C</w:t>
      </w:r>
      <w:r w:rsidR="00D5663E">
        <w:t>-2</w:t>
      </w:r>
      <w:r w:rsidRPr="004158CA">
        <w:t xml:space="preserve"> Bonds (as hereinafter defined) is </w:t>
      </w:r>
      <w:r w:rsidRPr="004158CA">
        <w:rPr>
          <w:u w:val="single"/>
        </w:rPr>
        <w:t>not</w:t>
      </w:r>
      <w:r w:rsidRPr="004158CA">
        <w:t xml:space="preserve"> excludable for federal income tax purposes.</w:t>
      </w:r>
      <w:r>
        <w:t xml:space="preserve">  </w:t>
      </w:r>
      <w:r w:rsidRPr="00A60FF3">
        <w:t xml:space="preserve">In addition, in the opinion of Bond Counsel, under existing statutes, decisions, regulations and rulings, interest on the </w:t>
      </w:r>
      <w:r w:rsidR="00C7294C">
        <w:t>2024 Series C</w:t>
      </w:r>
      <w:r w:rsidR="00B4438E">
        <w:t xml:space="preserve"> Bond</w:t>
      </w:r>
      <w:r w:rsidR="006C550F">
        <w:t>s</w:t>
      </w:r>
      <w:r>
        <w:t xml:space="preserve"> </w:t>
      </w:r>
      <w:r w:rsidRPr="00A60FF3">
        <w:t>(hereinafter defined) is exempt from income taxation in the State of Indiana.</w:t>
      </w:r>
      <w:r>
        <w:t xml:space="preserve"> </w:t>
      </w:r>
      <w:r w:rsidRPr="00A60FF3">
        <w:t xml:space="preserve"> See </w:t>
      </w:r>
      <w:r w:rsidR="00C34AEA">
        <w:t>“</w:t>
      </w:r>
      <w:r w:rsidRPr="00A60FF3">
        <w:t>TAX MATTERS</w:t>
      </w:r>
      <w:r w:rsidR="00C34AEA">
        <w:t>”</w:t>
      </w:r>
      <w:r w:rsidRPr="00A60FF3">
        <w:t xml:space="preserve"> herein.</w:t>
      </w:r>
    </w:p>
    <w:p w:rsidR="00C700F8" w:rsidP="00C700F8" w:rsidRDefault="00C700F8" w14:paraId="363A8456" w14:textId="055DC5F7">
      <w:pPr>
        <w:jc w:val="center"/>
        <w:rPr>
          <w:rFonts w:eastAsia="Calibri"/>
          <w:b/>
        </w:rPr>
      </w:pPr>
      <w:r>
        <w:rPr>
          <w:rFonts w:eastAsia="Calibri"/>
          <w:b/>
        </w:rPr>
        <w:t>$</w:t>
      </w:r>
      <w:r w:rsidR="00702569">
        <w:rPr>
          <w:rFonts w:eastAsia="Calibri"/>
          <w:b/>
        </w:rPr>
        <w:t>197,900,000</w:t>
      </w:r>
    </w:p>
    <w:p w:rsidRPr="00620DFE" w:rsidR="00C700F8" w:rsidP="00620DFE" w:rsidRDefault="007D329E" w14:paraId="3A4505AB" w14:textId="4EF08549">
      <w:pPr>
        <w:jc w:val="center"/>
        <w:rPr>
          <w:rFonts w:eastAsia="Calibri"/>
          <w:b/>
        </w:rPr>
      </w:pPr>
      <w:r w:rsidRPr="002C647F">
        <w:rPr>
          <w:rFonts w:eastAsia="Calibri"/>
          <w:b/>
        </w:rPr>
        <w:t xml:space="preserve">INDIANA </w:t>
      </w:r>
      <w:r>
        <w:rPr>
          <w:rFonts w:eastAsia="Calibri"/>
          <w:b/>
        </w:rPr>
        <w:t>HOUSING AND COMMUNITY DEVELOPMENT AUTHORITY</w:t>
      </w:r>
      <w:r w:rsidR="00C700F8">
        <w:rPr>
          <w:rFonts w:eastAsia="Calibri"/>
          <w:b/>
        </w:rPr>
        <w:t xml:space="preserve"> </w:t>
      </w:r>
      <w:r>
        <w:rPr>
          <w:rFonts w:eastAsia="Calibri"/>
          <w:b/>
        </w:rPr>
        <w:br/>
      </w:r>
      <w:r w:rsidR="00C700F8">
        <w:rPr>
          <w:rFonts w:eastAsia="Calibri"/>
          <w:b/>
        </w:rPr>
        <w:t>Single Family Mortgage Revenue Bonds</w:t>
      </w:r>
    </w:p>
    <w:tbl>
      <w:tblPr>
        <w:tblW w:w="0" w:type="auto"/>
        <w:jc w:val="center"/>
        <w:tblLook w:val="04A0" w:firstRow="1" w:lastRow="0" w:firstColumn="1" w:lastColumn="0" w:noHBand="0" w:noVBand="1"/>
      </w:tblPr>
      <w:tblGrid>
        <w:gridCol w:w="2871"/>
        <w:gridCol w:w="2871"/>
      </w:tblGrid>
      <w:tr w:rsidRPr="00310BD9" w:rsidR="00327A71" w:rsidTr="006F49DD" w14:paraId="367CF513" w14:textId="517695C3">
        <w:trPr>
          <w:jc w:val="center"/>
        </w:trPr>
        <w:tc>
          <w:tcPr>
            <w:tcW w:w="2871" w:type="dxa"/>
            <w:shd w:val="clear" w:color="auto" w:fill="auto"/>
          </w:tcPr>
          <w:p w:rsidRPr="006F49DD" w:rsidR="00327A71" w:rsidP="002C56D4" w:rsidRDefault="00327A71" w14:paraId="3892ADC4" w14:textId="35AD38BF">
            <w:pPr>
              <w:jc w:val="center"/>
              <w:rPr>
                <w:rFonts w:eastAsia="Calibri"/>
                <w:sz w:val="22"/>
              </w:rPr>
            </w:pPr>
            <w:bookmarkStart w:name="_DV_M7" w:id="5"/>
            <w:bookmarkEnd w:id="5"/>
          </w:p>
          <w:p w:rsidR="00327A71" w:rsidP="006F49DD" w:rsidRDefault="00327A71" w14:paraId="0B14398B" w14:textId="4A1A4FEE">
            <w:pPr>
              <w:jc w:val="center"/>
              <w:rPr>
                <w:b/>
                <w:bCs/>
                <w:szCs w:val="18"/>
              </w:rPr>
            </w:pPr>
            <w:r w:rsidRPr="006F49DD">
              <w:rPr>
                <w:b/>
                <w:bCs/>
                <w:szCs w:val="18"/>
              </w:rPr>
              <w:t>$</w:t>
            </w:r>
            <w:r w:rsidR="00702569">
              <w:rPr>
                <w:b/>
                <w:bCs/>
                <w:szCs w:val="18"/>
              </w:rPr>
              <w:t>99,245,000</w:t>
            </w:r>
          </w:p>
          <w:p w:rsidR="00327A71" w:rsidP="006F49DD" w:rsidRDefault="00C7294C" w14:paraId="05EBFF9A" w14:textId="164147F9">
            <w:pPr>
              <w:jc w:val="center"/>
              <w:rPr>
                <w:rFonts w:eastAsia="Calibri"/>
                <w:b/>
              </w:rPr>
            </w:pPr>
            <w:r>
              <w:rPr>
                <w:rFonts w:eastAsia="Calibri"/>
                <w:b/>
              </w:rPr>
              <w:t>2024 Series C</w:t>
            </w:r>
            <w:r w:rsidR="00327A71">
              <w:rPr>
                <w:rFonts w:eastAsia="Calibri"/>
                <w:b/>
              </w:rPr>
              <w:t xml:space="preserve">-1 </w:t>
            </w:r>
            <w:r w:rsidR="00327A71">
              <w:rPr>
                <w:rFonts w:eastAsia="Calibri"/>
                <w:b/>
              </w:rPr>
              <w:br/>
              <w:t>(Social Bonds)</w:t>
            </w:r>
          </w:p>
          <w:p w:rsidRPr="00310BD9" w:rsidR="00327A71" w:rsidP="006F49DD" w:rsidRDefault="00327A71" w14:paraId="54866C38" w14:textId="5254FC8D">
            <w:pPr>
              <w:jc w:val="center"/>
              <w:rPr>
                <w:rFonts w:eastAsia="Calibri"/>
                <w:b/>
              </w:rPr>
            </w:pPr>
            <w:r>
              <w:rPr>
                <w:rFonts w:eastAsia="Calibri"/>
                <w:b/>
              </w:rPr>
              <w:t>(Non-AMT)</w:t>
            </w:r>
          </w:p>
          <w:p w:rsidRPr="00310BD9" w:rsidR="00327A71" w:rsidP="002C56D4" w:rsidRDefault="00327A71" w14:paraId="49B974E9" w14:textId="48513F9C">
            <w:pPr>
              <w:jc w:val="center"/>
              <w:rPr>
                <w:rFonts w:eastAsia="Calibri"/>
                <w:b/>
              </w:rPr>
            </w:pPr>
          </w:p>
        </w:tc>
        <w:tc>
          <w:tcPr>
            <w:tcW w:w="2871" w:type="dxa"/>
            <w:shd w:val="clear" w:color="auto" w:fill="auto"/>
          </w:tcPr>
          <w:p w:rsidR="00327A71" w:rsidP="006F49DD" w:rsidRDefault="00327A71" w14:paraId="20E3C26F" w14:textId="77777777">
            <w:pPr>
              <w:jc w:val="center"/>
              <w:rPr>
                <w:rFonts w:eastAsia="Calibri"/>
                <w:b/>
              </w:rPr>
            </w:pPr>
          </w:p>
          <w:p w:rsidR="00327A71" w:rsidP="006F49DD" w:rsidRDefault="00327A71" w14:paraId="60287B1D" w14:textId="62CF8A7F">
            <w:pPr>
              <w:jc w:val="center"/>
              <w:rPr>
                <w:rFonts w:eastAsia="Calibri"/>
                <w:b/>
              </w:rPr>
            </w:pPr>
            <w:r w:rsidRPr="006F49DD">
              <w:rPr>
                <w:b/>
                <w:bCs/>
                <w:szCs w:val="18"/>
              </w:rPr>
              <w:t>$</w:t>
            </w:r>
            <w:r w:rsidR="00702569">
              <w:rPr>
                <w:b/>
                <w:bCs/>
                <w:szCs w:val="18"/>
              </w:rPr>
              <w:t>98,655,000</w:t>
            </w:r>
          </w:p>
          <w:p w:rsidR="00327A71" w:rsidP="006F49DD" w:rsidRDefault="00C7294C" w14:paraId="4FE65810" w14:textId="0C59D9EC">
            <w:pPr>
              <w:jc w:val="center"/>
              <w:rPr>
                <w:rFonts w:eastAsia="Calibri"/>
                <w:b/>
              </w:rPr>
            </w:pPr>
            <w:r>
              <w:rPr>
                <w:rFonts w:eastAsia="Calibri"/>
                <w:b/>
              </w:rPr>
              <w:t>2024 Series C</w:t>
            </w:r>
            <w:r w:rsidR="00327A71">
              <w:rPr>
                <w:rFonts w:eastAsia="Calibri"/>
                <w:b/>
              </w:rPr>
              <w:t xml:space="preserve">-2 </w:t>
            </w:r>
            <w:r w:rsidR="00327A71">
              <w:rPr>
                <w:rFonts w:eastAsia="Calibri"/>
                <w:b/>
              </w:rPr>
              <w:br/>
              <w:t>(Social Bonds)</w:t>
            </w:r>
          </w:p>
          <w:p w:rsidRPr="00310BD9" w:rsidR="00327A71" w:rsidP="006F49DD" w:rsidRDefault="00327A71" w14:paraId="52CD49DC" w14:textId="3DF8C164">
            <w:pPr>
              <w:jc w:val="center"/>
              <w:rPr>
                <w:rFonts w:eastAsia="Calibri"/>
                <w:b/>
              </w:rPr>
            </w:pPr>
            <w:r>
              <w:rPr>
                <w:rFonts w:eastAsia="Calibri"/>
                <w:b/>
              </w:rPr>
              <w:t>(Taxable)</w:t>
            </w:r>
          </w:p>
          <w:p w:rsidRPr="00310BD9" w:rsidR="00327A71" w:rsidP="002C56D4" w:rsidRDefault="00327A71" w14:paraId="206DFC83" w14:textId="77777777">
            <w:pPr>
              <w:jc w:val="center"/>
              <w:rPr>
                <w:rFonts w:eastAsia="Calibri"/>
                <w:b/>
              </w:rPr>
            </w:pPr>
          </w:p>
        </w:tc>
      </w:tr>
    </w:tbl>
    <w:p w:rsidR="006F49DD" w:rsidP="00F56FEB" w:rsidRDefault="006F49DD" w14:paraId="6C45716D" w14:textId="77777777">
      <w:pPr>
        <w:widowControl/>
        <w:jc w:val="center"/>
        <w:rPr>
          <w:b/>
          <w:bCs/>
          <w:sz w:val="24"/>
          <w:szCs w:val="24"/>
        </w:rPr>
      </w:pPr>
    </w:p>
    <w:p w:rsidRPr="00B34407" w:rsidR="002A59B3" w:rsidP="002A59B3" w:rsidRDefault="002A59B3" w14:paraId="570B2544" w14:textId="77777777">
      <w:pPr>
        <w:widowControl/>
        <w:tabs>
          <w:tab w:val="right" w:pos="10260"/>
        </w:tabs>
        <w:jc w:val="left"/>
        <w:rPr>
          <w:b/>
          <w:bCs/>
          <w:sz w:val="19"/>
          <w:szCs w:val="19"/>
        </w:rPr>
      </w:pPr>
      <w:r w:rsidRPr="00B34407">
        <w:rPr>
          <w:b/>
          <w:bCs/>
          <w:sz w:val="19"/>
          <w:szCs w:val="19"/>
        </w:rPr>
        <w:t>Dated:  Date of Delivery</w:t>
      </w:r>
      <w:r w:rsidRPr="00B34407">
        <w:rPr>
          <w:b/>
          <w:bCs/>
          <w:sz w:val="19"/>
          <w:szCs w:val="19"/>
        </w:rPr>
        <w:tab/>
        <w:t>Due:  January 1 and July 1 of years shown on inside cover</w:t>
      </w:r>
    </w:p>
    <w:p w:rsidRPr="00B34407" w:rsidR="002A59B3" w:rsidP="002A59B3" w:rsidRDefault="002A59B3" w14:paraId="61A18163" w14:textId="77777777">
      <w:pPr>
        <w:widowControl/>
        <w:jc w:val="left"/>
        <w:rPr>
          <w:bCs/>
          <w:sz w:val="19"/>
          <w:szCs w:val="19"/>
        </w:rPr>
      </w:pPr>
    </w:p>
    <w:p w:rsidRPr="00B34407" w:rsidR="00E9402A" w:rsidP="00CE1B13" w:rsidRDefault="00E9402A" w14:paraId="1E06F5FF" w14:textId="0386291B">
      <w:pPr>
        <w:widowControl/>
        <w:rPr>
          <w:b/>
          <w:bCs/>
          <w:sz w:val="19"/>
          <w:szCs w:val="19"/>
        </w:rPr>
      </w:pPr>
      <w:bookmarkStart w:name="_DV_M9" w:id="6"/>
      <w:bookmarkEnd w:id="6"/>
    </w:p>
    <w:p w:rsidRPr="00B34407" w:rsidR="00AF72E5" w:rsidP="00466958" w:rsidRDefault="00AF72E5" w14:paraId="73EEE56E" w14:textId="41E57501">
      <w:pPr>
        <w:pStyle w:val="OSpage1paragraphnormal"/>
      </w:pPr>
      <w:bookmarkStart w:name="_DV_M12" w:id="7"/>
      <w:bookmarkStart w:name="_DV_M13" w:id="8"/>
      <w:bookmarkEnd w:id="7"/>
      <w:bookmarkEnd w:id="8"/>
      <w:r w:rsidRPr="00B34407">
        <w:t xml:space="preserve">The Indiana Housing and Community Development Authority (the </w:t>
      </w:r>
      <w:r w:rsidR="00C34AEA">
        <w:t>“</w:t>
      </w:r>
      <w:r w:rsidRPr="00B34407">
        <w:rPr>
          <w:i/>
        </w:rPr>
        <w:t>Authority</w:t>
      </w:r>
      <w:r w:rsidR="00C34AEA">
        <w:t>”</w:t>
      </w:r>
      <w:r w:rsidRPr="00B34407">
        <w:t xml:space="preserve">) is issuing its Single Family Mortgage Revenue Bonds, </w:t>
      </w:r>
      <w:r w:rsidR="00C7294C">
        <w:t>2024 Series C</w:t>
      </w:r>
      <w:r w:rsidR="00B4438E">
        <w:t>-1</w:t>
      </w:r>
      <w:r w:rsidRPr="00B34407" w:rsidR="00885D6D">
        <w:t xml:space="preserve"> </w:t>
      </w:r>
      <w:r w:rsidRPr="005B39E4" w:rsidR="00F60B87">
        <w:t>(Social Bonds)</w:t>
      </w:r>
      <w:r w:rsidR="00F730FE">
        <w:t xml:space="preserve"> (Non-AMT)</w:t>
      </w:r>
      <w:r w:rsidRPr="005B39E4" w:rsidR="00F60B87">
        <w:t xml:space="preserve"> (the </w:t>
      </w:r>
      <w:r w:rsidR="00C34AEA">
        <w:t>“</w:t>
      </w:r>
      <w:r w:rsidR="00C7294C">
        <w:rPr>
          <w:i/>
        </w:rPr>
        <w:t>2024 Series C</w:t>
      </w:r>
      <w:r w:rsidR="00B4438E">
        <w:rPr>
          <w:i/>
        </w:rPr>
        <w:t>-1 Bond</w:t>
      </w:r>
      <w:r w:rsidRPr="005C7399" w:rsidR="00F60B87">
        <w:rPr>
          <w:i/>
        </w:rPr>
        <w:t>s</w:t>
      </w:r>
      <w:r w:rsidR="00C34AEA">
        <w:t>”</w:t>
      </w:r>
      <w:r w:rsidRPr="005B39E4" w:rsidR="00F60B87">
        <w:t>)</w:t>
      </w:r>
      <w:r w:rsidR="00AF5BFA">
        <w:t xml:space="preserve"> </w:t>
      </w:r>
      <w:r w:rsidR="008C2F96">
        <w:t xml:space="preserve">and its Single Family Mortgage Revenue Bonds, </w:t>
      </w:r>
      <w:r w:rsidR="00C7294C">
        <w:t>2024 Series C</w:t>
      </w:r>
      <w:r w:rsidR="005B3036">
        <w:t>-2</w:t>
      </w:r>
      <w:r w:rsidR="008C2F96">
        <w:t xml:space="preserve"> (Social Bonds) (Taxable) (the </w:t>
      </w:r>
      <w:r w:rsidR="00C34AEA">
        <w:t>“</w:t>
      </w:r>
      <w:r w:rsidR="00C7294C">
        <w:rPr>
          <w:i/>
        </w:rPr>
        <w:t>2024 Series C</w:t>
      </w:r>
      <w:r w:rsidR="00B4438E">
        <w:rPr>
          <w:i/>
        </w:rPr>
        <w:t>-2 Bond</w:t>
      </w:r>
      <w:r w:rsidRPr="008C2F96" w:rsidR="008C2F96">
        <w:rPr>
          <w:i/>
        </w:rPr>
        <w:t>s</w:t>
      </w:r>
      <w:r w:rsidR="00C34AEA">
        <w:t>”</w:t>
      </w:r>
      <w:r w:rsidR="008C2F96">
        <w:t xml:space="preserve">, and together with the </w:t>
      </w:r>
      <w:r w:rsidR="00C7294C">
        <w:t>2024 Series C</w:t>
      </w:r>
      <w:r w:rsidR="00B4438E">
        <w:t>-1 Bond</w:t>
      </w:r>
      <w:r w:rsidR="008C2F96">
        <w:t xml:space="preserve">s, the </w:t>
      </w:r>
      <w:r w:rsidR="00C34AEA">
        <w:t>“</w:t>
      </w:r>
      <w:r w:rsidR="00C7294C">
        <w:rPr>
          <w:i/>
        </w:rPr>
        <w:t>2024 Series C</w:t>
      </w:r>
      <w:r w:rsidR="005B3036">
        <w:rPr>
          <w:i/>
        </w:rPr>
        <w:t xml:space="preserve"> Bond</w:t>
      </w:r>
      <w:r w:rsidR="006C550F">
        <w:rPr>
          <w:i/>
        </w:rPr>
        <w:t>s</w:t>
      </w:r>
      <w:r w:rsidR="00C34AEA">
        <w:t>”</w:t>
      </w:r>
      <w:r w:rsidR="008C2F96">
        <w:t>)</w:t>
      </w:r>
      <w:r w:rsidRPr="005B39E4" w:rsidR="00F60B87">
        <w:t xml:space="preserve"> </w:t>
      </w:r>
      <w:r w:rsidRPr="00B34407">
        <w:t xml:space="preserve">only as fully registered bonds.  The </w:t>
      </w:r>
      <w:r w:rsidR="00C7294C">
        <w:t>2024 Series C</w:t>
      </w:r>
      <w:r w:rsidR="005B3036">
        <w:t xml:space="preserve"> Bond</w:t>
      </w:r>
      <w:r w:rsidR="006C550F">
        <w:t>s</w:t>
      </w:r>
      <w:r w:rsidRPr="00B34407">
        <w:t xml:space="preserve"> will be registered in the name of Cede &amp; Co., as nominee for The Depository Trust Company, New York, New York (</w:t>
      </w:r>
      <w:r w:rsidR="00C34AEA">
        <w:t>“</w:t>
      </w:r>
      <w:r w:rsidRPr="00B34407">
        <w:rPr>
          <w:i/>
        </w:rPr>
        <w:t>DTC</w:t>
      </w:r>
      <w:r w:rsidR="00C34AEA">
        <w:t>”</w:t>
      </w:r>
      <w:r w:rsidRPr="00B34407">
        <w:t xml:space="preserve">).  Purchases of beneficial interests in the </w:t>
      </w:r>
      <w:r w:rsidR="00C7294C">
        <w:t>2024 Series C</w:t>
      </w:r>
      <w:r w:rsidR="005B3036">
        <w:t xml:space="preserve"> Bond</w:t>
      </w:r>
      <w:r w:rsidR="006C550F">
        <w:t>s</w:t>
      </w:r>
      <w:r w:rsidRPr="00B34407">
        <w:t xml:space="preserve"> may be made in book-entry-only form, in denominations of $5,000 or any integral multiple thereof.  Purchasers of beneficial interests in the </w:t>
      </w:r>
      <w:r w:rsidR="00C7294C">
        <w:t>2024 Series C</w:t>
      </w:r>
      <w:r w:rsidR="005B3036">
        <w:t xml:space="preserve"> Bond</w:t>
      </w:r>
      <w:r w:rsidR="006C550F">
        <w:t>s</w:t>
      </w:r>
      <w:r w:rsidRPr="00B34407">
        <w:t xml:space="preserve"> (the </w:t>
      </w:r>
      <w:r w:rsidR="00C34AEA">
        <w:t>“</w:t>
      </w:r>
      <w:r w:rsidRPr="00B34407">
        <w:rPr>
          <w:i/>
        </w:rPr>
        <w:t>Beneficial Owners</w:t>
      </w:r>
      <w:r w:rsidR="00C34AEA">
        <w:t>”</w:t>
      </w:r>
      <w:r w:rsidRPr="00B34407">
        <w:t>) will not receive physical delivery of certificates representing their interest</w:t>
      </w:r>
      <w:r w:rsidRPr="00B34407" w:rsidR="007608AB">
        <w:t>s</w:t>
      </w:r>
      <w:r w:rsidRPr="00B34407">
        <w:t xml:space="preserve"> in the </w:t>
      </w:r>
      <w:r w:rsidR="00C7294C">
        <w:t>2024 Series C</w:t>
      </w:r>
      <w:r w:rsidR="005B3036">
        <w:t xml:space="preserve"> Bond</w:t>
      </w:r>
      <w:r w:rsidR="006C550F">
        <w:t>s</w:t>
      </w:r>
      <w:r w:rsidRPr="00B34407" w:rsidR="00F56FEB">
        <w:t>.</w:t>
      </w:r>
    </w:p>
    <w:p w:rsidRPr="00B34407" w:rsidR="00AF72E5" w:rsidP="00466958" w:rsidRDefault="00CA4BAD" w14:paraId="152D3D82" w14:textId="4AC9A2AA">
      <w:pPr>
        <w:pStyle w:val="OSpage1paragraphnormal"/>
      </w:pPr>
      <w:bookmarkStart w:name="_DV_M14" w:id="9"/>
      <w:bookmarkEnd w:id="9"/>
      <w:r w:rsidRPr="00B34407">
        <w:t xml:space="preserve">The </w:t>
      </w:r>
      <w:r w:rsidR="00C7294C">
        <w:t>2024 Series C</w:t>
      </w:r>
      <w:r w:rsidR="005B3036">
        <w:t xml:space="preserve"> Bond</w:t>
      </w:r>
      <w:r w:rsidR="006C550F">
        <w:t>s</w:t>
      </w:r>
      <w:r w:rsidRPr="00B34407" w:rsidR="00AF72E5">
        <w:t xml:space="preserve"> will bear interest from the date of their delivery, payable on </w:t>
      </w:r>
      <w:r w:rsidRPr="00B34407" w:rsidR="00BB2DFB">
        <w:t xml:space="preserve">January 1 </w:t>
      </w:r>
      <w:r w:rsidRPr="00B34407" w:rsidR="00AF72E5">
        <w:t xml:space="preserve">and </w:t>
      </w:r>
      <w:r w:rsidRPr="00B34407" w:rsidR="00BB2DFB">
        <w:t>July 1</w:t>
      </w:r>
      <w:r w:rsidR="00C87199">
        <w:t xml:space="preserve"> of each year, commencing </w:t>
      </w:r>
      <w:r w:rsidRPr="00BF0A3B" w:rsidR="00C87199">
        <w:t xml:space="preserve">on </w:t>
      </w:r>
      <w:r w:rsidR="006E60FF">
        <w:t>January</w:t>
      </w:r>
      <w:r w:rsidR="001B311A">
        <w:t xml:space="preserve"> 1, 202</w:t>
      </w:r>
      <w:r w:rsidR="006E60FF">
        <w:t>5</w:t>
      </w:r>
      <w:r w:rsidRPr="00BF0A3B" w:rsidR="00F25979">
        <w:t xml:space="preserve"> </w:t>
      </w:r>
      <w:r w:rsidRPr="00BF0A3B" w:rsidR="00D2265F">
        <w:t xml:space="preserve">(each an </w:t>
      </w:r>
      <w:r w:rsidR="00C34AEA">
        <w:t>“</w:t>
      </w:r>
      <w:r w:rsidRPr="00B34407" w:rsidR="00D2265F">
        <w:rPr>
          <w:i/>
        </w:rPr>
        <w:t>Interest Payment Date</w:t>
      </w:r>
      <w:r w:rsidR="00C34AEA">
        <w:t>”</w:t>
      </w:r>
      <w:r w:rsidRPr="00B34407" w:rsidR="00D2265F">
        <w:t xml:space="preserve">) </w:t>
      </w:r>
      <w:r w:rsidRPr="00B34407" w:rsidR="00AF72E5">
        <w:t xml:space="preserve">at the rates set forth on the inside cover </w:t>
      </w:r>
      <w:r w:rsidRPr="00B34407" w:rsidR="00146A51">
        <w:t>page</w:t>
      </w:r>
      <w:r w:rsidR="00B15CA4">
        <w:t>s</w:t>
      </w:r>
      <w:r w:rsidRPr="00B34407" w:rsidR="00146A51">
        <w:t xml:space="preserve"> </w:t>
      </w:r>
      <w:r w:rsidRPr="00B34407" w:rsidR="00AF72E5">
        <w:t xml:space="preserve">hereof.  </w:t>
      </w:r>
      <w:r w:rsidRPr="00B34407" w:rsidR="00F56FEB">
        <w:t xml:space="preserve">The </w:t>
      </w:r>
      <w:r w:rsidR="00C7294C">
        <w:t>2024 Series C</w:t>
      </w:r>
      <w:r w:rsidR="005B3036">
        <w:t xml:space="preserve"> Bond</w:t>
      </w:r>
      <w:r w:rsidR="006C550F">
        <w:t>s</w:t>
      </w:r>
      <w:r w:rsidRPr="00B34407" w:rsidR="00F56FEB">
        <w:t xml:space="preserve"> shall mature on the dates set forth on the inside cover </w:t>
      </w:r>
      <w:r w:rsidRPr="00B34407" w:rsidR="00146A51">
        <w:t>page</w:t>
      </w:r>
      <w:r w:rsidR="00B15CA4">
        <w:t>s</w:t>
      </w:r>
      <w:r w:rsidRPr="00B34407" w:rsidR="00146A51">
        <w:t xml:space="preserve"> </w:t>
      </w:r>
      <w:r w:rsidRPr="00B34407" w:rsidR="00F56FEB">
        <w:t xml:space="preserve">hereof, subject to </w:t>
      </w:r>
      <w:r w:rsidRPr="00B34407" w:rsidR="00D6175A">
        <w:t xml:space="preserve">earlier </w:t>
      </w:r>
      <w:r w:rsidRPr="00B34407" w:rsidR="00F56FEB">
        <w:t xml:space="preserve">redemption, as more fully described herein (see </w:t>
      </w:r>
      <w:r w:rsidR="00C34AEA">
        <w:t>“</w:t>
      </w:r>
      <w:r w:rsidR="002D5975">
        <w:t xml:space="preserve">THE </w:t>
      </w:r>
      <w:r w:rsidR="00C7294C">
        <w:t xml:space="preserve">2024 </w:t>
      </w:r>
      <w:r w:rsidR="003F0BB6">
        <w:t xml:space="preserve">SERIES </w:t>
      </w:r>
      <w:r w:rsidR="00C7294C">
        <w:t>C</w:t>
      </w:r>
      <w:r w:rsidR="00424E8E">
        <w:t xml:space="preserve"> BOND</w:t>
      </w:r>
      <w:r w:rsidR="00247B16">
        <w:t>S</w:t>
      </w:r>
      <w:r w:rsidR="00C34AEA">
        <w:t>”</w:t>
      </w:r>
      <w:r w:rsidRPr="00B34407" w:rsidR="00F56FEB">
        <w:t xml:space="preserve"> herein).  </w:t>
      </w:r>
      <w:bookmarkStart w:name="_DV_M16" w:id="10"/>
      <w:bookmarkEnd w:id="10"/>
      <w:r w:rsidRPr="00B34407" w:rsidR="00AF72E5">
        <w:t xml:space="preserve">Interest on the </w:t>
      </w:r>
      <w:r w:rsidR="00C7294C">
        <w:t>2024 Series C</w:t>
      </w:r>
      <w:r w:rsidR="005B3036">
        <w:t xml:space="preserve"> Bond</w:t>
      </w:r>
      <w:r w:rsidR="006C550F">
        <w:t>s</w:t>
      </w:r>
      <w:r w:rsidRPr="00B34407" w:rsidR="00AF72E5">
        <w:t xml:space="preserve">, together with principal of and redemption premium, if any, on the </w:t>
      </w:r>
      <w:r w:rsidR="00C7294C">
        <w:t>2024 Series C</w:t>
      </w:r>
      <w:r w:rsidR="005B3036">
        <w:t xml:space="preserve"> Bond</w:t>
      </w:r>
      <w:r w:rsidR="006C550F">
        <w:t>s</w:t>
      </w:r>
      <w:r w:rsidRPr="00B34407" w:rsidR="00AF72E5">
        <w:t xml:space="preserve">, will be paid by the Trustee and Paying Agent (as defined herein), directly to DTC, so long as DTC or its nominee is the registered owner of the </w:t>
      </w:r>
      <w:r w:rsidR="00C7294C">
        <w:t>2024 Series C</w:t>
      </w:r>
      <w:r w:rsidR="005B3036">
        <w:t xml:space="preserve"> Bond</w:t>
      </w:r>
      <w:r w:rsidR="006C550F">
        <w:t>s</w:t>
      </w:r>
      <w:r w:rsidRPr="00B34407" w:rsidR="00AF72E5">
        <w:t xml:space="preserve">.  The disbursements of such payments to Beneficial Owners of the </w:t>
      </w:r>
      <w:r w:rsidR="00C7294C">
        <w:t>2024 Series C</w:t>
      </w:r>
      <w:r w:rsidR="005B3036">
        <w:t xml:space="preserve"> Bond</w:t>
      </w:r>
      <w:r w:rsidR="006C550F">
        <w:t>s</w:t>
      </w:r>
      <w:r w:rsidRPr="00B34407" w:rsidR="00AF72E5">
        <w:t xml:space="preserve"> will be the responsibility of the DTC Participants and Indirect Participants, all as more fully described herei</w:t>
      </w:r>
      <w:r w:rsidRPr="00B34407" w:rsidR="007812DC">
        <w:t xml:space="preserve">n.  See </w:t>
      </w:r>
      <w:r w:rsidR="00C34AEA">
        <w:t>“</w:t>
      </w:r>
      <w:r w:rsidRPr="00B34407" w:rsidR="007812DC">
        <w:t>BOOK-ENTRY-ONLY SYSTEM</w:t>
      </w:r>
      <w:r w:rsidR="00C34AEA">
        <w:t>”</w:t>
      </w:r>
      <w:r w:rsidRPr="00B34407" w:rsidR="00AF72E5">
        <w:t xml:space="preserve"> </w:t>
      </w:r>
      <w:r w:rsidRPr="00B34407" w:rsidR="007812DC">
        <w:t>herein.</w:t>
      </w:r>
      <w:r w:rsidRPr="00B34407" w:rsidR="00AF72E5">
        <w:t xml:space="preserve"> </w:t>
      </w:r>
      <w:r w:rsidR="004B61F9">
        <w:t xml:space="preserve"> </w:t>
      </w:r>
      <w:r w:rsidRPr="00B34407" w:rsidR="00D6175A">
        <w:t xml:space="preserve">If </w:t>
      </w:r>
      <w:r w:rsidRPr="00B34407" w:rsidR="00AF72E5">
        <w:t xml:space="preserve">the </w:t>
      </w:r>
      <w:r w:rsidR="00C7294C">
        <w:t>2024 Series C</w:t>
      </w:r>
      <w:r w:rsidR="005B3036">
        <w:t xml:space="preserve"> Bond</w:t>
      </w:r>
      <w:r w:rsidR="006C550F">
        <w:t>s</w:t>
      </w:r>
      <w:r w:rsidRPr="00B34407" w:rsidR="00AF72E5">
        <w:t xml:space="preserve"> are no longer held in book-entry-only form, principal of and redemption premium, if any, on the </w:t>
      </w:r>
      <w:r w:rsidR="00C7294C">
        <w:t>2024 Series C</w:t>
      </w:r>
      <w:r w:rsidR="005B3036">
        <w:t xml:space="preserve"> Bond</w:t>
      </w:r>
      <w:r w:rsidR="006C550F">
        <w:t>s</w:t>
      </w:r>
      <w:r w:rsidRPr="00B34407" w:rsidR="00AF72E5">
        <w:t xml:space="preserve"> will be payable at the corporate trust operations office of the Paying Agent.</w:t>
      </w:r>
    </w:p>
    <w:p w:rsidRPr="00B34407" w:rsidR="0064521D" w:rsidP="00466958" w:rsidRDefault="00AF72E5" w14:paraId="4887AB8D" w14:textId="73B0C65A">
      <w:pPr>
        <w:pStyle w:val="OSpage1paragraphnormal"/>
        <w:rPr>
          <w:b/>
        </w:rPr>
      </w:pPr>
      <w:bookmarkStart w:name="_DV_M17" w:id="11"/>
      <w:bookmarkEnd w:id="11"/>
      <w:r w:rsidRPr="00B34407">
        <w:t xml:space="preserve">The </w:t>
      </w:r>
      <w:r w:rsidR="00C7294C">
        <w:t>2024 Series C</w:t>
      </w:r>
      <w:r w:rsidR="00B4438E">
        <w:t xml:space="preserve"> Bond</w:t>
      </w:r>
      <w:r w:rsidRPr="00B34407" w:rsidR="0089533B">
        <w:t>s</w:t>
      </w:r>
      <w:r w:rsidRPr="00B34407">
        <w:t xml:space="preserve"> will be issued under </w:t>
      </w:r>
      <w:r w:rsidR="00E83E6E">
        <w:t xml:space="preserve">(a) </w:t>
      </w:r>
      <w:r w:rsidRPr="00B34407" w:rsidR="00D6175A">
        <w:t>a</w:t>
      </w:r>
      <w:r w:rsidRPr="00B34407" w:rsidR="00370C9C">
        <w:t xml:space="preserve"> 2016 </w:t>
      </w:r>
      <w:r w:rsidRPr="00B34407">
        <w:t xml:space="preserve">Amended and Restated Indenture of Trust dated as of </w:t>
      </w:r>
      <w:r w:rsidRPr="00B34407" w:rsidR="00370C9C">
        <w:t>June 1, 2016 (</w:t>
      </w:r>
      <w:r w:rsidRPr="00B34407">
        <w:t>as subsequently supplemented and amended</w:t>
      </w:r>
      <w:r w:rsidRPr="00B34407" w:rsidR="00370C9C">
        <w:t xml:space="preserve">, the </w:t>
      </w:r>
      <w:r w:rsidR="00C34AEA">
        <w:t>“</w:t>
      </w:r>
      <w:r w:rsidRPr="00B34407" w:rsidR="00370C9C">
        <w:rPr>
          <w:i/>
        </w:rPr>
        <w:t>Master Indenture</w:t>
      </w:r>
      <w:r w:rsidR="00C34AEA">
        <w:t>”</w:t>
      </w:r>
      <w:r w:rsidRPr="00B34407" w:rsidR="003F4A4C">
        <w:t>);</w:t>
      </w:r>
      <w:r w:rsidRPr="00B34407" w:rsidR="00BB2DFB">
        <w:t xml:space="preserve"> </w:t>
      </w:r>
      <w:r w:rsidRPr="00B34407" w:rsidR="00146A51">
        <w:t xml:space="preserve">and </w:t>
      </w:r>
      <w:r w:rsidRPr="00B34407" w:rsidR="00881AAE">
        <w:t xml:space="preserve">(b) </w:t>
      </w:r>
      <w:r w:rsidRPr="00B34407" w:rsidR="003F4A4C">
        <w:t xml:space="preserve">a </w:t>
      </w:r>
      <w:r w:rsidR="00C7294C">
        <w:t>2024 Series C</w:t>
      </w:r>
      <w:r w:rsidRPr="00B34407" w:rsidR="003F4A4C">
        <w:t xml:space="preserve"> Supplemental Indent</w:t>
      </w:r>
      <w:r w:rsidRPr="00B34407" w:rsidR="00734F4F">
        <w:t xml:space="preserve">ure dated as </w:t>
      </w:r>
      <w:r w:rsidR="00986451">
        <w:t>of</w:t>
      </w:r>
      <w:r w:rsidR="00F83817">
        <w:t xml:space="preserve"> </w:t>
      </w:r>
      <w:r w:rsidR="002D34C5">
        <w:t>August 1, 2024</w:t>
      </w:r>
      <w:r w:rsidRPr="00B34407" w:rsidR="00BA6836">
        <w:t xml:space="preserve"> </w:t>
      </w:r>
      <w:r w:rsidRPr="00B34407" w:rsidR="00BB2DFB">
        <w:t xml:space="preserve">(the </w:t>
      </w:r>
      <w:r w:rsidR="00C34AEA">
        <w:t>“</w:t>
      </w:r>
      <w:r w:rsidR="00C7294C">
        <w:rPr>
          <w:i/>
        </w:rPr>
        <w:t>2024 Series C</w:t>
      </w:r>
      <w:r w:rsidRPr="00B34407" w:rsidR="00BB2DFB">
        <w:rPr>
          <w:i/>
        </w:rPr>
        <w:t xml:space="preserve"> Supplement</w:t>
      </w:r>
      <w:r w:rsidR="00C34AEA">
        <w:t>”</w:t>
      </w:r>
      <w:r w:rsidR="00B4109C">
        <w:t xml:space="preserve"> </w:t>
      </w:r>
      <w:r w:rsidRPr="00B34407" w:rsidR="00B4109C">
        <w:t>and together with the</w:t>
      </w:r>
      <w:r w:rsidR="00B4109C">
        <w:t xml:space="preserve"> </w:t>
      </w:r>
      <w:r w:rsidRPr="00B34407" w:rsidR="00B4109C">
        <w:t xml:space="preserve">Master Indenture, the </w:t>
      </w:r>
      <w:r w:rsidR="00B4109C">
        <w:t>“</w:t>
      </w:r>
      <w:r w:rsidRPr="00B34407" w:rsidR="00B4109C">
        <w:rPr>
          <w:i/>
        </w:rPr>
        <w:t>Indenture</w:t>
      </w:r>
      <w:r w:rsidR="00B4109C">
        <w:t>”</w:t>
      </w:r>
      <w:r w:rsidRPr="00B34407" w:rsidR="00B4109C">
        <w:t>)</w:t>
      </w:r>
      <w:r w:rsidRPr="00B34407">
        <w:t xml:space="preserve">, between the Authority and The Bank of New York </w:t>
      </w:r>
      <w:r w:rsidR="00D3106A">
        <w:t>Mellon Trust Company, N.A.</w:t>
      </w:r>
      <w:r w:rsidRPr="00B34407">
        <w:t xml:space="preserve">, as Trustee (the </w:t>
      </w:r>
      <w:r w:rsidR="00C34AEA">
        <w:t>“</w:t>
      </w:r>
      <w:r w:rsidRPr="00B34407">
        <w:rPr>
          <w:i/>
        </w:rPr>
        <w:t>Trustee</w:t>
      </w:r>
      <w:r w:rsidR="00C34AEA">
        <w:t>”</w:t>
      </w:r>
      <w:r w:rsidRPr="00B34407">
        <w:t xml:space="preserve"> and </w:t>
      </w:r>
      <w:r w:rsidR="00C34AEA">
        <w:t>“</w:t>
      </w:r>
      <w:r w:rsidRPr="00B34407">
        <w:rPr>
          <w:i/>
        </w:rPr>
        <w:t>Paying Agent</w:t>
      </w:r>
      <w:r w:rsidR="00C34AEA">
        <w:t>”</w:t>
      </w:r>
      <w:r w:rsidRPr="00B34407">
        <w:t xml:space="preserve">). </w:t>
      </w:r>
      <w:r w:rsidR="005168C1">
        <w:t xml:space="preserve"> </w:t>
      </w:r>
    </w:p>
    <w:p w:rsidRPr="00B34407" w:rsidR="00AF72E5" w:rsidP="00466958" w:rsidRDefault="00AF72E5" w14:paraId="323CCBAF" w14:textId="7310583B">
      <w:pPr>
        <w:pStyle w:val="OSparaboldindent"/>
      </w:pPr>
      <w:bookmarkStart w:name="_DV_M18" w:id="12"/>
      <w:bookmarkEnd w:id="12"/>
      <w:r w:rsidRPr="00B34407">
        <w:t xml:space="preserve">The </w:t>
      </w:r>
      <w:r w:rsidR="00C7294C">
        <w:t>2024 Series C</w:t>
      </w:r>
      <w:r w:rsidR="005B3036">
        <w:t xml:space="preserve"> Bond</w:t>
      </w:r>
      <w:r w:rsidR="006C550F">
        <w:t>s</w:t>
      </w:r>
      <w:r w:rsidRPr="00B34407">
        <w:t xml:space="preserve"> </w:t>
      </w:r>
      <w:r w:rsidRPr="00B34407" w:rsidR="00D6175A">
        <w:t xml:space="preserve">together with all other bonds and notes issued or to be issued under the Master Indenture (collectively, the </w:t>
      </w:r>
      <w:r w:rsidR="00C34AEA">
        <w:t>“</w:t>
      </w:r>
      <w:r w:rsidRPr="00B34407" w:rsidR="00D6175A">
        <w:rPr>
          <w:i/>
        </w:rPr>
        <w:t>Bonds</w:t>
      </w:r>
      <w:r w:rsidR="00C34AEA">
        <w:t>”</w:t>
      </w:r>
      <w:r w:rsidRPr="00B34407" w:rsidR="00D6175A">
        <w:t xml:space="preserve">), </w:t>
      </w:r>
      <w:r w:rsidRPr="00B34407">
        <w:t>are special obligations of the Authority, payable solely from and secured exclusively by certain revenues and assets pledged to the payment thereof under the Indenture</w:t>
      </w:r>
      <w:r w:rsidRPr="00B34407" w:rsidR="00D6175A">
        <w:t xml:space="preserve"> and are equally and ratably secured on parity with any and all other Bonds</w:t>
      </w:r>
      <w:r w:rsidRPr="00B34407">
        <w:t>.  The State of Indiana</w:t>
      </w:r>
      <w:r w:rsidRPr="00B34407" w:rsidR="00D6175A">
        <w:t xml:space="preserve"> (the </w:t>
      </w:r>
      <w:r w:rsidR="00C34AEA">
        <w:t>“</w:t>
      </w:r>
      <w:r w:rsidRPr="00B34407" w:rsidR="00D6175A">
        <w:rPr>
          <w:i/>
        </w:rPr>
        <w:t>State</w:t>
      </w:r>
      <w:r w:rsidR="00C34AEA">
        <w:t>”</w:t>
      </w:r>
      <w:r w:rsidRPr="00B34407" w:rsidR="00D6175A">
        <w:t xml:space="preserve">) has no liability with respect to </w:t>
      </w:r>
      <w:r w:rsidRPr="00B34407">
        <w:t xml:space="preserve">the </w:t>
      </w:r>
      <w:r w:rsidRPr="00B34407" w:rsidR="0089533B">
        <w:t>Bonds</w:t>
      </w:r>
      <w:r w:rsidRPr="00B34407">
        <w:t xml:space="preserve"> and the </w:t>
      </w:r>
      <w:r w:rsidRPr="00B34407" w:rsidR="0089533B">
        <w:t>Bonds</w:t>
      </w:r>
      <w:r w:rsidRPr="00B34407">
        <w:t xml:space="preserve"> do not constitute a debt, liability or general, moral or other obligation of the State or any political subdivision or taxing authority thereof, and neither the faith and credit nor the taxing power of the State or any political subdivision or taxing authority thereof is pledged to the payment of the principal of or premium, if any, or interest on the Bonds.  The Authority has no taxing power.  See </w:t>
      </w:r>
      <w:r w:rsidR="00C34AEA">
        <w:t>“</w:t>
      </w:r>
      <w:r w:rsidRPr="00B34407">
        <w:t>SECURITY FOR BONDS</w:t>
      </w:r>
      <w:r w:rsidR="00C34AEA">
        <w:t>”</w:t>
      </w:r>
      <w:r w:rsidRPr="00B34407" w:rsidR="001509C4">
        <w:t xml:space="preserve"> herein.  </w:t>
      </w:r>
    </w:p>
    <w:p w:rsidRPr="00B34407" w:rsidR="00AF72E5" w:rsidP="00466958" w:rsidRDefault="00B15B60" w14:paraId="0CA9EA78" w14:textId="5BAA1D25">
      <w:pPr>
        <w:pStyle w:val="OSparaboldindent"/>
      </w:pPr>
      <w:bookmarkStart w:name="_DV_M19" w:id="13"/>
      <w:bookmarkEnd w:id="13"/>
      <w:r w:rsidRPr="00620DFE">
        <w:t xml:space="preserve">The </w:t>
      </w:r>
      <w:r w:rsidR="00C7294C">
        <w:t>2024 Series C</w:t>
      </w:r>
      <w:r w:rsidR="005B3036">
        <w:t xml:space="preserve"> Bond</w:t>
      </w:r>
      <w:r w:rsidR="006C550F">
        <w:t>s</w:t>
      </w:r>
      <w:r w:rsidRPr="00620DFE">
        <w:t xml:space="preserve"> </w:t>
      </w:r>
      <w:r w:rsidRPr="00620DFE" w:rsidR="00AF72E5">
        <w:t xml:space="preserve">are subject to mandatory, optional and special redemption prior to maturity, including redemption at par from prepayments, repayments and excess revenues attributable to the </w:t>
      </w:r>
      <w:r w:rsidR="00C7294C">
        <w:t>2024 Series C</w:t>
      </w:r>
      <w:r w:rsidR="005B3036">
        <w:t xml:space="preserve"> Bond</w:t>
      </w:r>
      <w:r w:rsidR="006C550F">
        <w:t>s</w:t>
      </w:r>
      <w:r w:rsidRPr="00620DFE" w:rsidR="00AF72E5">
        <w:t xml:space="preserve"> and other Bonds issued under the Indenture and from other sources, and redemption from certain unexpended amounts attributable to the </w:t>
      </w:r>
      <w:r w:rsidR="00C7294C">
        <w:t>2024 Series C</w:t>
      </w:r>
      <w:r w:rsidR="005B3036">
        <w:t xml:space="preserve"> Bond</w:t>
      </w:r>
      <w:r w:rsidR="006C550F">
        <w:t>s</w:t>
      </w:r>
      <w:r w:rsidRPr="00620DFE" w:rsidR="00AF72E5">
        <w:t xml:space="preserve">.  See </w:t>
      </w:r>
      <w:r w:rsidR="00C34AEA">
        <w:t>“</w:t>
      </w:r>
      <w:r w:rsidRPr="00620DFE" w:rsidR="00AF72E5">
        <w:t xml:space="preserve">REDEMPTION OF </w:t>
      </w:r>
      <w:r w:rsidR="00C7294C">
        <w:t xml:space="preserve">2024 </w:t>
      </w:r>
      <w:r w:rsidR="0020678E">
        <w:t>SERIES</w:t>
      </w:r>
      <w:r w:rsidR="00C7294C">
        <w:t xml:space="preserve"> C</w:t>
      </w:r>
      <w:r w:rsidR="00CE72F0">
        <w:t xml:space="preserve"> BONDS</w:t>
      </w:r>
      <w:r w:rsidR="00C34AEA">
        <w:t>”</w:t>
      </w:r>
      <w:r w:rsidRPr="00620DFE" w:rsidR="00AF72E5">
        <w:t xml:space="preserve"> and </w:t>
      </w:r>
      <w:r w:rsidR="00C34AEA">
        <w:t>“</w:t>
      </w:r>
      <w:r w:rsidRPr="00620DFE" w:rsidR="00AF72E5">
        <w:t>RISK FACTORS—Prepayments</w:t>
      </w:r>
      <w:r w:rsidR="00C34AEA">
        <w:t>”</w:t>
      </w:r>
      <w:r w:rsidRPr="00620DFE" w:rsidR="00070AF9">
        <w:t xml:space="preserve"> herein</w:t>
      </w:r>
      <w:r w:rsidRPr="00BE72D6" w:rsidR="00AF72E5">
        <w:t>.</w:t>
      </w:r>
    </w:p>
    <w:p w:rsidRPr="00D14621" w:rsidR="00D14621" w:rsidP="00D14621" w:rsidRDefault="00D14621" w14:paraId="18B0AC6F" w14:textId="0F4DC57E">
      <w:pPr>
        <w:pStyle w:val="OSpage1paragraph"/>
        <w:spacing w:after="0"/>
        <w:rPr>
          <w:sz w:val="18"/>
          <w:szCs w:val="18"/>
        </w:rPr>
      </w:pPr>
      <w:bookmarkStart w:name="_DV_M20" w:id="14"/>
      <w:bookmarkEnd w:id="14"/>
      <w:r w:rsidRPr="00D14621">
        <w:rPr>
          <w:sz w:val="18"/>
          <w:szCs w:val="18"/>
        </w:rPr>
        <w:t xml:space="preserve">The </w:t>
      </w:r>
      <w:r w:rsidR="00C7294C">
        <w:rPr>
          <w:sz w:val="18"/>
          <w:szCs w:val="18"/>
        </w:rPr>
        <w:t>2024 Series C</w:t>
      </w:r>
      <w:r w:rsidR="005B3036">
        <w:rPr>
          <w:sz w:val="18"/>
          <w:szCs w:val="18"/>
        </w:rPr>
        <w:t xml:space="preserve"> Bond</w:t>
      </w:r>
      <w:r w:rsidR="006C550F">
        <w:rPr>
          <w:sz w:val="18"/>
          <w:szCs w:val="18"/>
        </w:rPr>
        <w:t>s</w:t>
      </w:r>
      <w:r w:rsidRPr="00D14621">
        <w:rPr>
          <w:sz w:val="18"/>
          <w:szCs w:val="18"/>
        </w:rPr>
        <w:t xml:space="preserve"> have been designated as </w:t>
      </w:r>
      <w:r w:rsidR="00C34AEA">
        <w:rPr>
          <w:sz w:val="18"/>
          <w:szCs w:val="18"/>
        </w:rPr>
        <w:t>“</w:t>
      </w:r>
      <w:r w:rsidRPr="00D14621">
        <w:rPr>
          <w:sz w:val="18"/>
          <w:szCs w:val="18"/>
        </w:rPr>
        <w:t>Social Bonds.</w:t>
      </w:r>
      <w:r w:rsidR="00C34AEA">
        <w:rPr>
          <w:sz w:val="18"/>
          <w:szCs w:val="18"/>
        </w:rPr>
        <w:t>”</w:t>
      </w:r>
      <w:r w:rsidRPr="00D14621">
        <w:rPr>
          <w:sz w:val="18"/>
          <w:szCs w:val="18"/>
        </w:rPr>
        <w:t xml:space="preserve">  See </w:t>
      </w:r>
      <w:r w:rsidR="00C34AEA">
        <w:rPr>
          <w:sz w:val="18"/>
          <w:szCs w:val="18"/>
        </w:rPr>
        <w:t>“</w:t>
      </w:r>
      <w:r w:rsidRPr="00D14621">
        <w:rPr>
          <w:sz w:val="18"/>
          <w:szCs w:val="18"/>
        </w:rPr>
        <w:t xml:space="preserve">DESIGNATION OF THE </w:t>
      </w:r>
      <w:r w:rsidR="00C7294C">
        <w:rPr>
          <w:sz w:val="18"/>
          <w:szCs w:val="18"/>
        </w:rPr>
        <w:t xml:space="preserve">2024 </w:t>
      </w:r>
      <w:r w:rsidR="008223C3">
        <w:rPr>
          <w:sz w:val="18"/>
          <w:szCs w:val="18"/>
        </w:rPr>
        <w:t>SERIES</w:t>
      </w:r>
      <w:r w:rsidR="00C7294C">
        <w:rPr>
          <w:sz w:val="18"/>
          <w:szCs w:val="18"/>
        </w:rPr>
        <w:t xml:space="preserve"> C</w:t>
      </w:r>
      <w:r w:rsidR="00CE72F0">
        <w:rPr>
          <w:sz w:val="18"/>
          <w:szCs w:val="18"/>
        </w:rPr>
        <w:t xml:space="preserve"> BONDS</w:t>
      </w:r>
      <w:r w:rsidRPr="00D14621" w:rsidR="00787A16">
        <w:rPr>
          <w:sz w:val="18"/>
          <w:szCs w:val="18"/>
        </w:rPr>
        <w:t xml:space="preserve"> </w:t>
      </w:r>
      <w:r w:rsidRPr="00D14621">
        <w:rPr>
          <w:sz w:val="18"/>
          <w:szCs w:val="18"/>
        </w:rPr>
        <w:t>AS SOCIAL BONDS</w:t>
      </w:r>
      <w:r w:rsidR="00C34AEA">
        <w:rPr>
          <w:sz w:val="18"/>
          <w:szCs w:val="18"/>
        </w:rPr>
        <w:t>”</w:t>
      </w:r>
      <w:r w:rsidRPr="00D14621">
        <w:rPr>
          <w:sz w:val="18"/>
          <w:szCs w:val="18"/>
        </w:rPr>
        <w:t xml:space="preserve"> herein.</w:t>
      </w:r>
    </w:p>
    <w:p w:rsidR="00D14621" w:rsidP="001509C4" w:rsidRDefault="00D14621" w14:paraId="0AAFF816" w14:textId="77777777">
      <w:pPr>
        <w:pStyle w:val="OSpage1paragraph"/>
        <w:spacing w:after="0"/>
        <w:rPr>
          <w:sz w:val="18"/>
          <w:szCs w:val="18"/>
        </w:rPr>
      </w:pPr>
    </w:p>
    <w:p w:rsidRPr="00B34407" w:rsidR="00AF72E5" w:rsidP="001509C4" w:rsidRDefault="00AF72E5" w14:paraId="7D766467" w14:textId="2D6E6BDD">
      <w:pPr>
        <w:pStyle w:val="OSpage1paragraph"/>
        <w:spacing w:after="0"/>
        <w:rPr>
          <w:sz w:val="18"/>
          <w:szCs w:val="18"/>
        </w:rPr>
      </w:pPr>
      <w:r w:rsidRPr="00B34407">
        <w:rPr>
          <w:sz w:val="18"/>
          <w:szCs w:val="18"/>
        </w:rPr>
        <w:t>Th</w:t>
      </w:r>
      <w:r w:rsidR="00C55381">
        <w:rPr>
          <w:sz w:val="18"/>
          <w:szCs w:val="18"/>
        </w:rPr>
        <w:t>e</w:t>
      </w:r>
      <w:r w:rsidRPr="00B34407">
        <w:rPr>
          <w:sz w:val="18"/>
          <w:szCs w:val="18"/>
        </w:rPr>
        <w:t xml:space="preserve"> cover page contains information for quick reference only.  It is not a summary of this issue. </w:t>
      </w:r>
      <w:r w:rsidR="004B61F9">
        <w:rPr>
          <w:sz w:val="18"/>
          <w:szCs w:val="18"/>
        </w:rPr>
        <w:t xml:space="preserve"> </w:t>
      </w:r>
      <w:r w:rsidRPr="00B34407">
        <w:rPr>
          <w:sz w:val="18"/>
          <w:szCs w:val="18"/>
        </w:rPr>
        <w:t xml:space="preserve">Investors must read the entire Official Statement to obtain information essential to making an informed decision regarding investment in the </w:t>
      </w:r>
      <w:r w:rsidR="00C7294C">
        <w:rPr>
          <w:sz w:val="18"/>
          <w:szCs w:val="18"/>
        </w:rPr>
        <w:t>2024 Series C</w:t>
      </w:r>
      <w:r w:rsidR="005B3036">
        <w:rPr>
          <w:sz w:val="18"/>
          <w:szCs w:val="18"/>
        </w:rPr>
        <w:t xml:space="preserve"> Bond</w:t>
      </w:r>
      <w:r w:rsidR="006C550F">
        <w:rPr>
          <w:sz w:val="18"/>
          <w:szCs w:val="18"/>
        </w:rPr>
        <w:t>s</w:t>
      </w:r>
      <w:r w:rsidRPr="00B34407">
        <w:rPr>
          <w:sz w:val="18"/>
          <w:szCs w:val="18"/>
        </w:rPr>
        <w:t>.</w:t>
      </w:r>
    </w:p>
    <w:p w:rsidRPr="00B34407" w:rsidR="00E4312F" w:rsidP="001509C4" w:rsidRDefault="00E4312F" w14:paraId="41F6D142" w14:textId="77777777">
      <w:pPr>
        <w:pStyle w:val="OSpage1paragraph"/>
        <w:spacing w:after="0"/>
        <w:rPr>
          <w:sz w:val="18"/>
          <w:szCs w:val="18"/>
        </w:rPr>
      </w:pPr>
    </w:p>
    <w:p w:rsidR="00E73D62" w:rsidP="00620DFE" w:rsidRDefault="00AF72E5" w14:paraId="34C6A4F9" w14:textId="791B6CEC">
      <w:pPr>
        <w:pStyle w:val="OSpage1paragraphitalics"/>
      </w:pPr>
      <w:bookmarkStart w:name="_DV_M21" w:id="15"/>
      <w:bookmarkEnd w:id="15"/>
      <w:r w:rsidRPr="00B34407">
        <w:t xml:space="preserve">The </w:t>
      </w:r>
      <w:r w:rsidR="00C7294C">
        <w:t>2024 Series C</w:t>
      </w:r>
      <w:r w:rsidR="005B3036">
        <w:t xml:space="preserve"> Bond</w:t>
      </w:r>
      <w:r w:rsidR="006C550F">
        <w:t>s</w:t>
      </w:r>
      <w:r w:rsidRPr="00B34407">
        <w:t xml:space="preserve"> are offered when, as and if issued by the Authority and received, subject to the approval of legality by Ice Miller </w:t>
      </w:r>
      <w:r w:rsidRPr="00B34407" w:rsidR="007F3E10">
        <w:t xml:space="preserve">LLP, Indianapolis, </w:t>
      </w:r>
      <w:r w:rsidRPr="00A60FF3" w:rsidR="007F3E10">
        <w:t>Indiana</w:t>
      </w:r>
      <w:r w:rsidRPr="00B34407" w:rsidR="007F3E10">
        <w:t xml:space="preserve">, </w:t>
      </w:r>
      <w:r w:rsidRPr="00B34407">
        <w:t xml:space="preserve">Bond Counsel, and certain other conditions.  Certain legal matters will be passed upon for the Authority by its special counsel, </w:t>
      </w:r>
      <w:r w:rsidRPr="00B34407" w:rsidR="00900E5C">
        <w:t xml:space="preserve">Ice Miller LLP, Indianapolis, </w:t>
      </w:r>
      <w:r w:rsidRPr="00B34407">
        <w:t>Indiana, and for the Underwr</w:t>
      </w:r>
      <w:r w:rsidRPr="00B34407" w:rsidR="007812DC">
        <w:t>iters by their special counsel Barne</w:t>
      </w:r>
      <w:r w:rsidRPr="00B34407" w:rsidR="006E2BA6">
        <w:t xml:space="preserve">s &amp; Thornburg </w:t>
      </w:r>
      <w:r w:rsidRPr="00B34407" w:rsidR="007812DC">
        <w:t>LLP</w:t>
      </w:r>
      <w:r w:rsidRPr="00B34407" w:rsidR="00A57656">
        <w:t xml:space="preserve">, </w:t>
      </w:r>
      <w:bookmarkStart w:name="ElPgBr2" w:id="16"/>
      <w:bookmarkEnd w:id="16"/>
      <w:r w:rsidRPr="00B34407">
        <w:t xml:space="preserve">Indianapolis, Indiana.  It is expected that the </w:t>
      </w:r>
      <w:r w:rsidR="00C7294C">
        <w:t>2024 Series C</w:t>
      </w:r>
      <w:r w:rsidR="005B3036">
        <w:t xml:space="preserve"> Bond</w:t>
      </w:r>
      <w:r w:rsidR="006C550F">
        <w:t>s</w:t>
      </w:r>
      <w:r w:rsidRPr="00B34407">
        <w:t xml:space="preserve"> in definitive form will be available for delivery in New York, New York, on or </w:t>
      </w:r>
      <w:r w:rsidRPr="00EE4FA0">
        <w:t>about</w:t>
      </w:r>
      <w:r w:rsidR="00BA07D2">
        <w:t xml:space="preserve"> </w:t>
      </w:r>
      <w:r w:rsidR="0042296B">
        <w:t>August</w:t>
      </w:r>
      <w:r w:rsidR="00AF57A6">
        <w:t xml:space="preserve"> 2</w:t>
      </w:r>
      <w:r w:rsidR="00C15C9A">
        <w:t>0</w:t>
      </w:r>
      <w:r w:rsidR="00AF57A6">
        <w:t>, 2024</w:t>
      </w:r>
      <w:r w:rsidRPr="00EE4FA0">
        <w:t>.</w:t>
      </w:r>
    </w:p>
    <w:p w:rsidRPr="00AC5111" w:rsidR="00031D31" w:rsidP="00AC5111" w:rsidRDefault="00AC5111" w14:paraId="49A3C33A" w14:textId="0473C716">
      <w:pPr>
        <w:tabs>
          <w:tab w:val="center" w:pos="2790"/>
          <w:tab w:val="center" w:pos="5040"/>
          <w:tab w:val="left" w:pos="6030"/>
        </w:tabs>
        <w:jc w:val="center"/>
        <w:rPr>
          <w:b/>
          <w:sz w:val="22"/>
          <w:szCs w:val="22"/>
        </w:rPr>
      </w:pPr>
      <w:r w:rsidRPr="00AC5111">
        <w:rPr>
          <w:b/>
          <w:sz w:val="22"/>
          <w:szCs w:val="22"/>
        </w:rPr>
        <w:lastRenderedPageBreak/>
        <w:t xml:space="preserve">RBC Capital Markets </w:t>
      </w:r>
      <w:r w:rsidRPr="00AC5111">
        <w:rPr>
          <w:b/>
          <w:sz w:val="22"/>
          <w:szCs w:val="22"/>
        </w:rPr>
        <w:tab/>
      </w:r>
      <w:r w:rsidRPr="00AC5111">
        <w:rPr>
          <w:b/>
          <w:sz w:val="22"/>
          <w:szCs w:val="22"/>
        </w:rPr>
        <w:tab/>
        <w:t>J.P. Morgan</w:t>
      </w:r>
    </w:p>
    <w:p w:rsidRPr="00AC5111" w:rsidR="00031D31" w:rsidP="00031D31" w:rsidRDefault="00031D31" w14:paraId="6A2F7629" w14:textId="39D4E966">
      <w:pPr>
        <w:tabs>
          <w:tab w:val="center" w:pos="1980"/>
          <w:tab w:val="center" w:pos="5580"/>
          <w:tab w:val="center" w:pos="9000"/>
        </w:tabs>
        <w:rPr>
          <w:b/>
          <w:sz w:val="16"/>
          <w:szCs w:val="22"/>
        </w:rPr>
      </w:pPr>
    </w:p>
    <w:p w:rsidRPr="00031D31" w:rsidR="00031D31" w:rsidP="00E16B81" w:rsidRDefault="00AF57A6" w14:paraId="380AB41D" w14:textId="56D5D85A">
      <w:pPr>
        <w:tabs>
          <w:tab w:val="center" w:pos="2880"/>
          <w:tab w:val="center" w:pos="4950"/>
          <w:tab w:val="left" w:pos="6480"/>
        </w:tabs>
        <w:jc w:val="center"/>
        <w:rPr>
          <w:b/>
          <w:sz w:val="22"/>
          <w:szCs w:val="22"/>
        </w:rPr>
      </w:pPr>
      <w:r>
        <w:rPr>
          <w:b/>
          <w:sz w:val="22"/>
          <w:szCs w:val="22"/>
        </w:rPr>
        <w:t xml:space="preserve">Barclays </w:t>
      </w:r>
      <w:r>
        <w:rPr>
          <w:b/>
          <w:sz w:val="22"/>
          <w:szCs w:val="22"/>
        </w:rPr>
        <w:tab/>
      </w:r>
      <w:r w:rsidRPr="00AC5111" w:rsidR="00836109">
        <w:rPr>
          <w:b/>
          <w:sz w:val="22"/>
          <w:szCs w:val="22"/>
        </w:rPr>
        <w:t>Hilltop</w:t>
      </w:r>
      <w:r w:rsidR="009F0B33">
        <w:rPr>
          <w:b/>
          <w:sz w:val="22"/>
          <w:szCs w:val="22"/>
        </w:rPr>
        <w:t xml:space="preserve"> </w:t>
      </w:r>
      <w:r w:rsidRPr="00AC5111" w:rsidR="00031D31">
        <w:rPr>
          <w:b/>
          <w:sz w:val="22"/>
          <w:szCs w:val="22"/>
        </w:rPr>
        <w:t>Securities</w:t>
      </w:r>
      <w:r w:rsidR="009F0B33">
        <w:rPr>
          <w:b/>
          <w:sz w:val="22"/>
          <w:szCs w:val="22"/>
        </w:rPr>
        <w:t xml:space="preserve"> Inc.</w:t>
      </w:r>
      <w:r w:rsidRPr="00AC5111" w:rsidR="00BE611C">
        <w:rPr>
          <w:b/>
          <w:sz w:val="22"/>
          <w:szCs w:val="22"/>
        </w:rPr>
        <w:tab/>
        <w:t xml:space="preserve">Jefferies </w:t>
      </w:r>
      <w:r w:rsidRPr="00AC5111" w:rsidR="00BE611C">
        <w:rPr>
          <w:b/>
          <w:sz w:val="22"/>
          <w:szCs w:val="22"/>
        </w:rPr>
        <w:tab/>
      </w:r>
      <w:r w:rsidRPr="00AC5111" w:rsidR="00522854">
        <w:rPr>
          <w:b/>
          <w:sz w:val="22"/>
          <w:szCs w:val="22"/>
        </w:rPr>
        <w:t>TD Securities</w:t>
      </w:r>
    </w:p>
    <w:p w:rsidRPr="00466958" w:rsidR="00E17B86" w:rsidP="00AA223A" w:rsidRDefault="00E17B86" w14:paraId="047785A4" w14:textId="040DE1F4">
      <w:pPr>
        <w:rPr>
          <w:sz w:val="12"/>
          <w:szCs w:val="12"/>
        </w:rPr>
      </w:pPr>
    </w:p>
    <w:p w:rsidRPr="00B34407" w:rsidR="00CE1B13" w:rsidP="007D4467" w:rsidRDefault="00CE1B13" w14:paraId="224819B4" w14:textId="2D36A7B4">
      <w:pPr>
        <w:sectPr w:rsidRPr="00B34407" w:rsidR="00CE1B13" w:rsidSect="00045607">
          <w:headerReference w:type="even" r:id="rId8"/>
          <w:headerReference w:type="default" r:id="rId9"/>
          <w:footerReference w:type="even" r:id="rId10"/>
          <w:footerReference w:type="default" r:id="rId11"/>
          <w:headerReference w:type="first" r:id="rId12"/>
          <w:footerReference w:type="first" r:id="rId13"/>
          <w:pgSz w:w="12240" w:h="15840"/>
          <w:pgMar w:top="576" w:right="720" w:bottom="360" w:left="1152" w:header="144" w:footer="144" w:gutter="0"/>
          <w:cols w:space="720"/>
          <w:titlePg/>
        </w:sectPr>
      </w:pPr>
      <w:bookmarkStart w:name="_DV_M22" w:id="17"/>
      <w:bookmarkStart w:name="_DV_M23" w:id="18"/>
      <w:bookmarkEnd w:id="17"/>
      <w:bookmarkEnd w:id="18"/>
    </w:p>
    <w:p w:rsidRPr="00B34407" w:rsidR="00AF72E5" w:rsidP="00506828" w:rsidRDefault="00B83582" w14:paraId="430ED7BF" w14:textId="00DD5765">
      <w:pPr>
        <w:pStyle w:val="atitle"/>
        <w:widowControl/>
        <w:tabs>
          <w:tab w:val="center" w:pos="5100"/>
        </w:tabs>
      </w:pPr>
      <w:bookmarkStart w:name="_DV_M29" w:id="19"/>
      <w:bookmarkStart w:name="ElPgBr3" w:id="20"/>
      <w:bookmarkEnd w:id="19"/>
      <w:bookmarkEnd w:id="20"/>
      <w:r>
        <w:lastRenderedPageBreak/>
        <w:t>$</w:t>
      </w:r>
      <w:r w:rsidR="00702569">
        <w:t>99,245,000</w:t>
      </w:r>
      <w:r w:rsidRPr="00B34407" w:rsidR="00AF72E5">
        <w:br/>
        <w:t>INDIANA HOUSING AND COMMUNITY DEVELOPMENT AUTHORITY</w:t>
      </w:r>
      <w:r w:rsidRPr="00B34407" w:rsidR="00AF72E5">
        <w:br/>
        <w:t>Single Family Mortgage Revenue Bonds</w:t>
      </w:r>
      <w:r w:rsidRPr="00B34407" w:rsidR="00AF72E5">
        <w:br/>
      </w:r>
      <w:r w:rsidR="00C7294C">
        <w:t>2024 Series C</w:t>
      </w:r>
      <w:r w:rsidR="004503BB">
        <w:t xml:space="preserve">-1 </w:t>
      </w:r>
      <w:r w:rsidRPr="00045607" w:rsidR="004503BB">
        <w:t>(</w:t>
      </w:r>
      <w:r w:rsidR="004503BB">
        <w:t>Social Bonds)</w:t>
      </w:r>
      <w:r w:rsidR="004503BB">
        <w:br/>
      </w:r>
      <w:r w:rsidRPr="00B34407" w:rsidR="004503BB">
        <w:t>(Non-</w:t>
      </w:r>
      <w:r w:rsidR="004503BB">
        <w:t>AMT</w:t>
      </w:r>
      <w:r w:rsidRPr="00045607" w:rsidR="004503BB">
        <w:t>)</w:t>
      </w:r>
      <w:r w:rsidR="00D441CD">
        <w:br/>
      </w:r>
      <w:r w:rsidRPr="00B34407" w:rsidR="00AF72E5">
        <w:br/>
        <w:t>Maturity Schedule</w:t>
      </w:r>
      <w:bookmarkStart w:name="_DV_M31" w:id="21"/>
      <w:bookmarkStart w:name="_DV_M33" w:id="22"/>
      <w:bookmarkEnd w:id="21"/>
      <w:bookmarkEnd w:id="22"/>
    </w:p>
    <w:p w:rsidR="00506828" w:rsidP="00506828" w:rsidRDefault="00506828" w14:paraId="06BBFACE" w14:textId="77777777">
      <w:pPr>
        <w:pStyle w:val="atitle"/>
        <w:widowControl/>
        <w:tabs>
          <w:tab w:val="center" w:pos="5100"/>
        </w:tabs>
        <w:spacing w:after="0"/>
        <w:jc w:val="both"/>
      </w:pPr>
      <w:r>
        <w:t xml:space="preserve">                                      </w:t>
      </w:r>
    </w:p>
    <w:p w:rsidRPr="002B0E77" w:rsidR="002B0E77" w:rsidP="008C7280" w:rsidRDefault="00506828" w14:paraId="272D3989" w14:textId="18A9B370">
      <w:pPr>
        <w:pStyle w:val="atitle"/>
        <w:widowControl/>
        <w:tabs>
          <w:tab w:val="center" w:pos="5100"/>
        </w:tabs>
        <w:spacing w:after="0"/>
        <w:rPr>
          <w:b w:val="0"/>
        </w:rPr>
      </w:pPr>
      <w:r w:rsidRPr="00E66A9E">
        <w:rPr>
          <w:b w:val="0"/>
        </w:rPr>
        <w:t>$</w:t>
      </w:r>
      <w:r w:rsidR="00581747">
        <w:rPr>
          <w:b w:val="0"/>
        </w:rPr>
        <w:t>3,770,000</w:t>
      </w:r>
      <w:r w:rsidRPr="00E66A9E">
        <w:rPr>
          <w:b w:val="0"/>
        </w:rPr>
        <w:t xml:space="preserve"> Serial Bonds</w:t>
      </w:r>
    </w:p>
    <w:p w:rsidRPr="00B34407" w:rsidR="00506828" w:rsidP="00506828" w:rsidRDefault="00506828" w14:paraId="2A9F4DA0" w14:textId="77777777">
      <w:pPr>
        <w:pStyle w:val="atitle"/>
        <w:widowControl/>
        <w:tabs>
          <w:tab w:val="center" w:pos="5100"/>
        </w:tabs>
        <w:spacing w:after="0"/>
        <w:jc w:val="both"/>
      </w:pPr>
    </w:p>
    <w:tbl>
      <w:tblPr>
        <w:tblStyle w:val="TableGrid"/>
        <w:tblW w:w="0" w:type="auto"/>
        <w:tblInd w:w="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0"/>
        <w:gridCol w:w="1800"/>
        <w:gridCol w:w="1277"/>
        <w:gridCol w:w="1277"/>
        <w:gridCol w:w="1277"/>
      </w:tblGrid>
      <w:tr w:rsidR="008C50CC" w:rsidTr="001C0908" w14:paraId="3C31CBF7" w14:textId="77777777">
        <w:tc>
          <w:tcPr>
            <w:tcW w:w="1800" w:type="dxa"/>
            <w:vAlign w:val="bottom"/>
          </w:tcPr>
          <w:p w:rsidRPr="00F30E7E" w:rsidR="008C50CC" w:rsidP="003A45A8" w:rsidRDefault="007D4467" w14:paraId="2106CA99" w14:textId="0F847CF6">
            <w:pPr>
              <w:jc w:val="center"/>
            </w:pPr>
            <w:r>
              <w:rPr>
                <w:u w:val="single"/>
              </w:rPr>
              <w:t>Maturity</w:t>
            </w:r>
          </w:p>
        </w:tc>
        <w:tc>
          <w:tcPr>
            <w:tcW w:w="1800" w:type="dxa"/>
            <w:vAlign w:val="bottom"/>
          </w:tcPr>
          <w:p w:rsidR="008C50CC" w:rsidP="003A45A8" w:rsidRDefault="007D4467" w14:paraId="1C971E09" w14:textId="196B72D8">
            <w:pPr>
              <w:tabs>
                <w:tab w:val="decimal" w:pos="1005"/>
              </w:tabs>
              <w:jc w:val="center"/>
            </w:pPr>
            <w:r>
              <w:rPr>
                <w:u w:val="single"/>
              </w:rPr>
              <w:t>Amount</w:t>
            </w:r>
          </w:p>
        </w:tc>
        <w:tc>
          <w:tcPr>
            <w:tcW w:w="1277" w:type="dxa"/>
            <w:vAlign w:val="bottom"/>
          </w:tcPr>
          <w:p w:rsidR="008C50CC" w:rsidP="003A45A8" w:rsidRDefault="008C50CC" w14:paraId="6C67F990" w14:textId="5138C4CF">
            <w:pPr>
              <w:jc w:val="center"/>
            </w:pPr>
            <w:r w:rsidRPr="00AA223A">
              <w:rPr>
                <w:u w:val="single"/>
              </w:rPr>
              <w:t>Interest Rate</w:t>
            </w:r>
          </w:p>
        </w:tc>
        <w:tc>
          <w:tcPr>
            <w:tcW w:w="1277" w:type="dxa"/>
          </w:tcPr>
          <w:p w:rsidRPr="00AA223A" w:rsidR="008C50CC" w:rsidP="003A45A8" w:rsidRDefault="001C0908" w14:paraId="0900D68C" w14:textId="2120654E">
            <w:pPr>
              <w:jc w:val="center"/>
              <w:rPr>
                <w:u w:val="single"/>
              </w:rPr>
            </w:pPr>
            <w:r>
              <w:rPr>
                <w:u w:val="single"/>
              </w:rPr>
              <w:t>Price</w:t>
            </w:r>
          </w:p>
        </w:tc>
        <w:tc>
          <w:tcPr>
            <w:tcW w:w="1277" w:type="dxa"/>
            <w:vAlign w:val="bottom"/>
          </w:tcPr>
          <w:p w:rsidR="008C50CC" w:rsidP="003A45A8" w:rsidRDefault="008C50CC" w14:paraId="6BDDEF4A" w14:textId="4F7BFDE1">
            <w:pPr>
              <w:jc w:val="center"/>
            </w:pPr>
            <w:r w:rsidRPr="00AA223A">
              <w:rPr>
                <w:u w:val="single"/>
              </w:rPr>
              <w:t>CUSIP</w:t>
            </w:r>
            <w:r w:rsidRPr="004254D9" w:rsidR="004254D9">
              <w:rPr>
                <w:rStyle w:val="FootnoteReference"/>
                <w:u w:val="single"/>
                <w:vertAlign w:val="superscript"/>
              </w:rPr>
              <w:footnoteReference w:id="1"/>
            </w:r>
          </w:p>
        </w:tc>
      </w:tr>
      <w:tr w:rsidR="008C50CC" w:rsidTr="001C0908" w14:paraId="0D164DAF" w14:textId="58EE9E79">
        <w:tc>
          <w:tcPr>
            <w:tcW w:w="1800" w:type="dxa"/>
            <w:vAlign w:val="bottom"/>
          </w:tcPr>
          <w:p w:rsidR="008C50CC" w:rsidP="007C7C45" w:rsidRDefault="008C50CC" w14:paraId="1993CAB6" w14:textId="30353829">
            <w:pPr>
              <w:jc w:val="center"/>
            </w:pPr>
          </w:p>
        </w:tc>
        <w:tc>
          <w:tcPr>
            <w:tcW w:w="1800" w:type="dxa"/>
          </w:tcPr>
          <w:p w:rsidR="008C50CC" w:rsidP="001C0908" w:rsidRDefault="008C50CC" w14:paraId="55D45E97" w14:textId="3C73594A">
            <w:pPr>
              <w:tabs>
                <w:tab w:val="decimal" w:pos="1148"/>
              </w:tabs>
            </w:pPr>
          </w:p>
        </w:tc>
        <w:tc>
          <w:tcPr>
            <w:tcW w:w="1277" w:type="dxa"/>
          </w:tcPr>
          <w:p w:rsidR="008C50CC" w:rsidP="007C7C45" w:rsidRDefault="008C50CC" w14:paraId="0A983AD9" w14:textId="77777777"/>
        </w:tc>
        <w:tc>
          <w:tcPr>
            <w:tcW w:w="1277" w:type="dxa"/>
          </w:tcPr>
          <w:p w:rsidR="008C50CC" w:rsidP="007C7C45" w:rsidRDefault="008C50CC" w14:paraId="031B4C6F" w14:textId="77777777"/>
        </w:tc>
        <w:tc>
          <w:tcPr>
            <w:tcW w:w="1277" w:type="dxa"/>
          </w:tcPr>
          <w:p w:rsidR="008C50CC" w:rsidP="007C7C45" w:rsidRDefault="008C50CC" w14:paraId="554273A1" w14:textId="119B04FE"/>
        </w:tc>
      </w:tr>
      <w:tr w:rsidR="007D4467" w:rsidTr="00A62C6A" w14:paraId="40ABC91B" w14:textId="77777777">
        <w:tc>
          <w:tcPr>
            <w:tcW w:w="1800" w:type="dxa"/>
            <w:vAlign w:val="bottom"/>
          </w:tcPr>
          <w:p w:rsidRPr="00E66A9E" w:rsidR="007D4467" w:rsidP="007D4467" w:rsidRDefault="007D4467" w14:paraId="62D0F98C" w14:textId="57D4F32E">
            <w:pPr>
              <w:jc w:val="center"/>
            </w:pPr>
            <w:r w:rsidRPr="006F0459">
              <w:t>1/1/2035</w:t>
            </w:r>
          </w:p>
        </w:tc>
        <w:tc>
          <w:tcPr>
            <w:tcW w:w="1800" w:type="dxa"/>
            <w:tcBorders>
              <w:top w:val="nil"/>
              <w:left w:val="nil"/>
              <w:bottom w:val="nil"/>
              <w:right w:val="nil"/>
            </w:tcBorders>
            <w:shd w:val="clear" w:color="auto" w:fill="auto"/>
            <w:vAlign w:val="bottom"/>
          </w:tcPr>
          <w:p w:rsidRPr="00581747" w:rsidR="007D4467" w:rsidP="007D4467" w:rsidRDefault="007D4467" w14:paraId="06025F48" w14:textId="5D5A7E85">
            <w:pPr>
              <w:ind w:right="232"/>
              <w:jc w:val="right"/>
            </w:pPr>
            <w:r>
              <w:rPr>
                <w:color w:val="000000"/>
              </w:rPr>
              <w:t>$</w:t>
            </w:r>
            <w:r w:rsidRPr="006F0459">
              <w:rPr>
                <w:color w:val="000000"/>
              </w:rPr>
              <w:t>890,000</w:t>
            </w:r>
          </w:p>
        </w:tc>
        <w:tc>
          <w:tcPr>
            <w:tcW w:w="1277" w:type="dxa"/>
            <w:vAlign w:val="bottom"/>
          </w:tcPr>
          <w:p w:rsidR="007D4467" w:rsidP="007D4467" w:rsidRDefault="007D4467" w14:paraId="240E0475" w14:textId="46949A0C">
            <w:r w:rsidRPr="006F0459">
              <w:t>3.900</w:t>
            </w:r>
            <w:r>
              <w:t>%</w:t>
            </w:r>
          </w:p>
        </w:tc>
        <w:tc>
          <w:tcPr>
            <w:tcW w:w="1277" w:type="dxa"/>
            <w:vAlign w:val="bottom"/>
          </w:tcPr>
          <w:p w:rsidR="007D4467" w:rsidP="007D4467" w:rsidRDefault="007D4467" w14:paraId="48CDB1ED" w14:textId="20F4C0EF">
            <w:r w:rsidRPr="006F0459">
              <w:t>100.000</w:t>
            </w:r>
            <w:r>
              <w:t>%</w:t>
            </w:r>
          </w:p>
        </w:tc>
        <w:tc>
          <w:tcPr>
            <w:tcW w:w="1277" w:type="dxa"/>
          </w:tcPr>
          <w:p w:rsidR="007D4467" w:rsidP="007D4467" w:rsidRDefault="007D4467" w14:paraId="162FBE7F" w14:textId="5569B386">
            <w:r w:rsidRPr="006F0459">
              <w:t>45505T2P5</w:t>
            </w:r>
          </w:p>
        </w:tc>
      </w:tr>
      <w:tr w:rsidR="007D4467" w:rsidTr="00A62C6A" w14:paraId="334C780E" w14:textId="77777777">
        <w:tc>
          <w:tcPr>
            <w:tcW w:w="1800" w:type="dxa"/>
            <w:vAlign w:val="bottom"/>
          </w:tcPr>
          <w:p w:rsidRPr="00E66A9E" w:rsidR="007D4467" w:rsidP="007D4467" w:rsidRDefault="007D4467" w14:paraId="67763AA0" w14:textId="02FF596B">
            <w:pPr>
              <w:jc w:val="center"/>
            </w:pPr>
            <w:r w:rsidRPr="006F0459">
              <w:t>7/1/2035</w:t>
            </w:r>
          </w:p>
        </w:tc>
        <w:tc>
          <w:tcPr>
            <w:tcW w:w="1800" w:type="dxa"/>
            <w:tcBorders>
              <w:top w:val="nil"/>
              <w:left w:val="nil"/>
              <w:bottom w:val="nil"/>
              <w:right w:val="nil"/>
            </w:tcBorders>
            <w:shd w:val="clear" w:color="auto" w:fill="auto"/>
            <w:vAlign w:val="bottom"/>
          </w:tcPr>
          <w:p w:rsidRPr="00581747" w:rsidR="007D4467" w:rsidP="007D4467" w:rsidRDefault="007D4467" w14:paraId="3DB40429" w14:textId="7F50CD3E">
            <w:pPr>
              <w:ind w:right="232"/>
              <w:jc w:val="right"/>
            </w:pPr>
            <w:r w:rsidRPr="006F0459">
              <w:rPr>
                <w:color w:val="000000"/>
              </w:rPr>
              <w:t>925,000</w:t>
            </w:r>
          </w:p>
        </w:tc>
        <w:tc>
          <w:tcPr>
            <w:tcW w:w="1277" w:type="dxa"/>
            <w:vAlign w:val="bottom"/>
          </w:tcPr>
          <w:p w:rsidR="007D4467" w:rsidP="007D4467" w:rsidRDefault="007D4467" w14:paraId="3E107249" w14:textId="59DEC932">
            <w:r w:rsidRPr="006F0459">
              <w:t>3.900</w:t>
            </w:r>
          </w:p>
        </w:tc>
        <w:tc>
          <w:tcPr>
            <w:tcW w:w="1277" w:type="dxa"/>
            <w:vAlign w:val="bottom"/>
          </w:tcPr>
          <w:p w:rsidR="007D4467" w:rsidP="007D4467" w:rsidRDefault="007D4467" w14:paraId="17FD28BF" w14:textId="52D95ECD">
            <w:r w:rsidRPr="006F0459">
              <w:t>100.000</w:t>
            </w:r>
          </w:p>
        </w:tc>
        <w:tc>
          <w:tcPr>
            <w:tcW w:w="1277" w:type="dxa"/>
          </w:tcPr>
          <w:p w:rsidR="007D4467" w:rsidP="007D4467" w:rsidRDefault="007D4467" w14:paraId="6610F323" w14:textId="7816BDEE">
            <w:r w:rsidRPr="006F0459">
              <w:t>45505T2Q3</w:t>
            </w:r>
          </w:p>
        </w:tc>
      </w:tr>
      <w:tr w:rsidR="007D4467" w:rsidTr="00A62C6A" w14:paraId="3F24E37D" w14:textId="77777777">
        <w:tc>
          <w:tcPr>
            <w:tcW w:w="1800" w:type="dxa"/>
            <w:vAlign w:val="bottom"/>
          </w:tcPr>
          <w:p w:rsidRPr="00E66A9E" w:rsidR="007D4467" w:rsidP="007D4467" w:rsidRDefault="007D4467" w14:paraId="1D300FE2" w14:textId="480F5990">
            <w:pPr>
              <w:jc w:val="center"/>
            </w:pPr>
            <w:r w:rsidRPr="006F0459">
              <w:t>1/1/2036</w:t>
            </w:r>
          </w:p>
        </w:tc>
        <w:tc>
          <w:tcPr>
            <w:tcW w:w="1800" w:type="dxa"/>
            <w:tcBorders>
              <w:top w:val="nil"/>
              <w:left w:val="nil"/>
              <w:bottom w:val="nil"/>
              <w:right w:val="nil"/>
            </w:tcBorders>
            <w:shd w:val="clear" w:color="auto" w:fill="auto"/>
            <w:vAlign w:val="bottom"/>
          </w:tcPr>
          <w:p w:rsidRPr="00581747" w:rsidR="007D4467" w:rsidP="007D4467" w:rsidRDefault="007D4467" w14:paraId="57DE0E52" w14:textId="606E7A93">
            <w:pPr>
              <w:ind w:right="232"/>
              <w:jc w:val="right"/>
            </w:pPr>
            <w:r w:rsidRPr="006F0459">
              <w:rPr>
                <w:color w:val="000000"/>
              </w:rPr>
              <w:t>960,000</w:t>
            </w:r>
          </w:p>
        </w:tc>
        <w:tc>
          <w:tcPr>
            <w:tcW w:w="1277" w:type="dxa"/>
            <w:vAlign w:val="bottom"/>
          </w:tcPr>
          <w:p w:rsidR="007D4467" w:rsidP="007D4467" w:rsidRDefault="007D4467" w14:paraId="7CD839A0" w14:textId="09614142">
            <w:r>
              <w:t>3.95</w:t>
            </w:r>
            <w:r w:rsidRPr="006F0459">
              <w:t>0</w:t>
            </w:r>
          </w:p>
        </w:tc>
        <w:tc>
          <w:tcPr>
            <w:tcW w:w="1277" w:type="dxa"/>
            <w:vAlign w:val="bottom"/>
          </w:tcPr>
          <w:p w:rsidR="007D4467" w:rsidP="007D4467" w:rsidRDefault="007D4467" w14:paraId="0E27A72A" w14:textId="73112B02">
            <w:r w:rsidRPr="006F0459">
              <w:t>100.000</w:t>
            </w:r>
          </w:p>
        </w:tc>
        <w:tc>
          <w:tcPr>
            <w:tcW w:w="1277" w:type="dxa"/>
          </w:tcPr>
          <w:p w:rsidR="007D4467" w:rsidP="007D4467" w:rsidRDefault="007D4467" w14:paraId="2244A970" w14:textId="74ABE81B">
            <w:r w:rsidRPr="006F0459">
              <w:t>45505T2R1</w:t>
            </w:r>
          </w:p>
        </w:tc>
      </w:tr>
      <w:tr w:rsidR="007D4467" w:rsidTr="00A62C6A" w14:paraId="6DEAEAB0" w14:textId="77777777">
        <w:tc>
          <w:tcPr>
            <w:tcW w:w="1800" w:type="dxa"/>
            <w:vAlign w:val="bottom"/>
          </w:tcPr>
          <w:p w:rsidRPr="00E66A9E" w:rsidR="007D4467" w:rsidP="007D4467" w:rsidRDefault="007D4467" w14:paraId="5CB4ADCB" w14:textId="128A6865">
            <w:pPr>
              <w:jc w:val="center"/>
            </w:pPr>
            <w:r w:rsidRPr="006F0459">
              <w:t>7/1/2036</w:t>
            </w:r>
          </w:p>
        </w:tc>
        <w:tc>
          <w:tcPr>
            <w:tcW w:w="1800" w:type="dxa"/>
            <w:tcBorders>
              <w:top w:val="nil"/>
              <w:left w:val="nil"/>
              <w:bottom w:val="nil"/>
              <w:right w:val="nil"/>
            </w:tcBorders>
            <w:shd w:val="clear" w:color="auto" w:fill="auto"/>
            <w:vAlign w:val="bottom"/>
          </w:tcPr>
          <w:p w:rsidRPr="00581747" w:rsidR="007D4467" w:rsidP="007D4467" w:rsidRDefault="007D4467" w14:paraId="1A7C2601" w14:textId="6D984713">
            <w:pPr>
              <w:ind w:right="232"/>
              <w:jc w:val="right"/>
            </w:pPr>
            <w:r w:rsidRPr="006F0459">
              <w:rPr>
                <w:color w:val="000000"/>
              </w:rPr>
              <w:t>995,000</w:t>
            </w:r>
          </w:p>
        </w:tc>
        <w:tc>
          <w:tcPr>
            <w:tcW w:w="1277" w:type="dxa"/>
            <w:vAlign w:val="bottom"/>
          </w:tcPr>
          <w:p w:rsidR="007D4467" w:rsidP="007D4467" w:rsidRDefault="007D4467" w14:paraId="27CAC55D" w14:textId="05EB9C9E">
            <w:r>
              <w:t>3.95</w:t>
            </w:r>
            <w:r w:rsidRPr="006F0459">
              <w:t>0</w:t>
            </w:r>
          </w:p>
        </w:tc>
        <w:tc>
          <w:tcPr>
            <w:tcW w:w="1277" w:type="dxa"/>
            <w:vAlign w:val="bottom"/>
          </w:tcPr>
          <w:p w:rsidR="007D4467" w:rsidP="007D4467" w:rsidRDefault="007D4467" w14:paraId="290241D3" w14:textId="3AE3FE7D">
            <w:r w:rsidRPr="006F0459">
              <w:t>100.000</w:t>
            </w:r>
          </w:p>
        </w:tc>
        <w:tc>
          <w:tcPr>
            <w:tcW w:w="1277" w:type="dxa"/>
          </w:tcPr>
          <w:p w:rsidR="007D4467" w:rsidP="007D4467" w:rsidRDefault="007D4467" w14:paraId="56A4089A" w14:textId="57A6D7E0">
            <w:r w:rsidRPr="006F0459">
              <w:t>45505T2S9</w:t>
            </w:r>
          </w:p>
        </w:tc>
      </w:tr>
    </w:tbl>
    <w:p w:rsidRPr="00A762F4" w:rsidR="000721D2" w:rsidP="000721D2" w:rsidRDefault="000721D2" w14:paraId="5CE3BEF2" w14:textId="77777777">
      <w:pPr>
        <w:jc w:val="center"/>
      </w:pPr>
    </w:p>
    <w:p w:rsidRPr="00F83817" w:rsidR="000721D2" w:rsidP="000721D2" w:rsidRDefault="000721D2" w14:paraId="76A0EBEF" w14:textId="70802ED7">
      <w:pPr>
        <w:jc w:val="center"/>
      </w:pPr>
      <w:r w:rsidRPr="00F83817">
        <w:t>$</w:t>
      </w:r>
      <w:r w:rsidR="007D4467">
        <w:rPr>
          <w:color w:val="000000"/>
        </w:rPr>
        <w:t>2,350,000</w:t>
      </w:r>
      <w:r w:rsidR="00E1205D">
        <w:t xml:space="preserve"> </w:t>
      </w:r>
      <w:r w:rsidR="003621E9">
        <w:t xml:space="preserve">   </w:t>
      </w:r>
      <w:r w:rsidR="007D4467">
        <w:t>4.100</w:t>
      </w:r>
      <w:r w:rsidRPr="00F83817">
        <w:t xml:space="preserve">%  </w:t>
      </w:r>
      <w:r w:rsidR="00C7294C">
        <w:t>2024 Series C</w:t>
      </w:r>
      <w:r w:rsidR="00E5359F">
        <w:t xml:space="preserve">-1 </w:t>
      </w:r>
      <w:r w:rsidRPr="003E63FD" w:rsidR="00A2387B">
        <w:t>Term Bonds</w:t>
      </w:r>
      <w:r w:rsidR="00A2387B">
        <w:t xml:space="preserve"> due </w:t>
      </w:r>
      <w:r w:rsidR="00E66A9E">
        <w:t>July 1, 20</w:t>
      </w:r>
      <w:r w:rsidR="00581747">
        <w:t>39</w:t>
      </w:r>
      <w:r w:rsidR="00E1205D">
        <w:t xml:space="preserve"> </w:t>
      </w:r>
      <w:r w:rsidRPr="00F83817">
        <w:t>(CUSIP</w:t>
      </w:r>
      <w:r w:rsidRPr="00F83817">
        <w:rPr>
          <w:vertAlign w:val="superscript"/>
        </w:rPr>
        <w:t>1</w:t>
      </w:r>
      <w:r w:rsidR="00723EC0">
        <w:t>:</w:t>
      </w:r>
      <w:r w:rsidRPr="007D4467" w:rsidR="007D4467">
        <w:rPr>
          <w:bCs/>
        </w:rPr>
        <w:t xml:space="preserve"> </w:t>
      </w:r>
      <w:r w:rsidR="007D4467">
        <w:rPr>
          <w:bCs/>
        </w:rPr>
        <w:t>45505T2T7</w:t>
      </w:r>
      <w:r w:rsidR="00723EC0">
        <w:t xml:space="preserve">)  -  Price </w:t>
      </w:r>
      <w:r w:rsidR="007D4467">
        <w:t>100.000</w:t>
      </w:r>
      <w:r w:rsidRPr="00F83817">
        <w:t>%</w:t>
      </w:r>
    </w:p>
    <w:p w:rsidRPr="005134B7" w:rsidR="000721D2" w:rsidP="000721D2" w:rsidRDefault="00D52615" w14:paraId="16882BFC" w14:textId="6C7F4BD0">
      <w:pPr>
        <w:jc w:val="center"/>
      </w:pPr>
      <w:r>
        <w:t xml:space="preserve"> </w:t>
      </w:r>
      <w:r w:rsidR="006F1DD7">
        <w:t xml:space="preserve">   </w:t>
      </w:r>
      <w:r w:rsidRPr="00F83817" w:rsidR="000721D2">
        <w:t>$</w:t>
      </w:r>
      <w:r w:rsidR="00581747">
        <w:rPr>
          <w:color w:val="000000"/>
        </w:rPr>
        <w:t>5,000,000</w:t>
      </w:r>
      <w:r w:rsidR="00AF684C">
        <w:t xml:space="preserve"> </w:t>
      </w:r>
      <w:r w:rsidRPr="003621E9" w:rsidR="003621E9">
        <w:t xml:space="preserve">   </w:t>
      </w:r>
      <w:r w:rsidR="007D4467">
        <w:t>5.000</w:t>
      </w:r>
      <w:r w:rsidR="00AF684C">
        <w:t>%</w:t>
      </w:r>
      <w:r w:rsidR="00A2387B">
        <w:t xml:space="preserve">  </w:t>
      </w:r>
      <w:r w:rsidR="00C7294C">
        <w:t xml:space="preserve">2024 </w:t>
      </w:r>
      <w:r w:rsidRPr="005134B7" w:rsidR="00C7294C">
        <w:t>Series C</w:t>
      </w:r>
      <w:r w:rsidRPr="005134B7" w:rsidR="003E63FD">
        <w:t xml:space="preserve">-1 </w:t>
      </w:r>
      <w:r w:rsidRPr="005134B7" w:rsidR="00A2387B">
        <w:t xml:space="preserve">Term Bonds due </w:t>
      </w:r>
      <w:r w:rsidRPr="005134B7" w:rsidR="00E66A9E">
        <w:t>July 1, 20</w:t>
      </w:r>
      <w:r w:rsidRPr="005134B7" w:rsidR="00581747">
        <w:t>39</w:t>
      </w:r>
      <w:r w:rsidRPr="005134B7" w:rsidR="00E1205D">
        <w:t xml:space="preserve"> </w:t>
      </w:r>
      <w:r w:rsidRPr="005134B7" w:rsidR="000721D2">
        <w:t>(CUSIP</w:t>
      </w:r>
      <w:r w:rsidRPr="005134B7" w:rsidR="000721D2">
        <w:rPr>
          <w:vertAlign w:val="superscript"/>
        </w:rPr>
        <w:t>1</w:t>
      </w:r>
      <w:r w:rsidRPr="005134B7" w:rsidR="00723EC0">
        <w:t>:</w:t>
      </w:r>
      <w:r w:rsidRPr="007D4467" w:rsidR="007D4467">
        <w:rPr>
          <w:bCs/>
        </w:rPr>
        <w:t xml:space="preserve"> </w:t>
      </w:r>
      <w:r w:rsidR="007D4467">
        <w:rPr>
          <w:bCs/>
        </w:rPr>
        <w:t>45505T2U4</w:t>
      </w:r>
      <w:r w:rsidRPr="005134B7" w:rsidR="00723EC0">
        <w:t xml:space="preserve">)  -  Price </w:t>
      </w:r>
      <w:r w:rsidR="007D4467">
        <w:t>108.907</w:t>
      </w:r>
      <w:r w:rsidRPr="005134B7" w:rsidR="000721D2">
        <w:t>%</w:t>
      </w:r>
      <w:r w:rsidRPr="005134B7" w:rsidR="00886562">
        <w:t xml:space="preserve"> </w:t>
      </w:r>
    </w:p>
    <w:p w:rsidRPr="005134B7" w:rsidR="0071678C" w:rsidP="0071678C" w:rsidRDefault="00D52615" w14:paraId="2BEA579B" w14:textId="19212C8D">
      <w:pPr>
        <w:jc w:val="center"/>
      </w:pPr>
      <w:r w:rsidRPr="005134B7">
        <w:t xml:space="preserve"> </w:t>
      </w:r>
      <w:r w:rsidRPr="005134B7" w:rsidR="006F1DD7">
        <w:t xml:space="preserve">   </w:t>
      </w:r>
      <w:r w:rsidRPr="005134B7" w:rsidR="0071678C">
        <w:t>$</w:t>
      </w:r>
      <w:r w:rsidR="007D4467">
        <w:rPr>
          <w:color w:val="000000"/>
        </w:rPr>
        <w:t>10</w:t>
      </w:r>
      <w:r w:rsidRPr="005134B7" w:rsidR="00581747">
        <w:rPr>
          <w:color w:val="000000"/>
        </w:rPr>
        <w:t>,155,000</w:t>
      </w:r>
      <w:r w:rsidRPr="005134B7" w:rsidR="0071678C">
        <w:t xml:space="preserve"> </w:t>
      </w:r>
      <w:r w:rsidRPr="005134B7" w:rsidR="003621E9">
        <w:t xml:space="preserve">   </w:t>
      </w:r>
      <w:r w:rsidR="007D4467">
        <w:t>4.550</w:t>
      </w:r>
      <w:r w:rsidRPr="005134B7" w:rsidR="009E26DB">
        <w:t xml:space="preserve">%  </w:t>
      </w:r>
      <w:r w:rsidRPr="005134B7" w:rsidR="00C7294C">
        <w:t>2024 Series C</w:t>
      </w:r>
      <w:r w:rsidRPr="005134B7" w:rsidR="003E63FD">
        <w:t xml:space="preserve">-1 </w:t>
      </w:r>
      <w:r w:rsidRPr="005134B7" w:rsidR="009E26DB">
        <w:t xml:space="preserve">Term Bonds due </w:t>
      </w:r>
      <w:r w:rsidRPr="005134B7" w:rsidR="00E66A9E">
        <w:t>July 1, 20</w:t>
      </w:r>
      <w:r w:rsidRPr="005134B7" w:rsidR="00581747">
        <w:t>44</w:t>
      </w:r>
      <w:r w:rsidRPr="005134B7" w:rsidR="0071678C">
        <w:t xml:space="preserve"> (CUSIP</w:t>
      </w:r>
      <w:r w:rsidRPr="005134B7" w:rsidR="0071678C">
        <w:rPr>
          <w:vertAlign w:val="superscript"/>
        </w:rPr>
        <w:t>1</w:t>
      </w:r>
      <w:r w:rsidR="007D4467">
        <w:t xml:space="preserve">: </w:t>
      </w:r>
      <w:r w:rsidR="007D4467">
        <w:rPr>
          <w:bCs/>
        </w:rPr>
        <w:t>45505T2V2</w:t>
      </w:r>
      <w:r w:rsidR="007D4467">
        <w:t>)  -  Price 100.000</w:t>
      </w:r>
      <w:r w:rsidRPr="005134B7" w:rsidR="0071678C">
        <w:t>%</w:t>
      </w:r>
    </w:p>
    <w:p w:rsidRPr="005134B7" w:rsidR="00604334" w:rsidP="00604334" w:rsidRDefault="00F20F96" w14:paraId="4712CCCC" w14:textId="08902600">
      <w:pPr>
        <w:jc w:val="center"/>
      </w:pPr>
      <w:r w:rsidRPr="005134B7">
        <w:t xml:space="preserve">    </w:t>
      </w:r>
      <w:r w:rsidRPr="005134B7" w:rsidR="00604334">
        <w:t>$</w:t>
      </w:r>
      <w:r w:rsidR="007D4467">
        <w:rPr>
          <w:color w:val="000000"/>
        </w:rPr>
        <w:t>5,000,000</w:t>
      </w:r>
      <w:r w:rsidRPr="005134B7" w:rsidR="00604334">
        <w:t xml:space="preserve">    </w:t>
      </w:r>
      <w:r w:rsidR="007D4467">
        <w:t>5.000</w:t>
      </w:r>
      <w:r w:rsidRPr="005134B7" w:rsidR="00604334">
        <w:t xml:space="preserve">%  </w:t>
      </w:r>
      <w:r w:rsidRPr="005134B7" w:rsidR="00C7294C">
        <w:t>2024 Series C</w:t>
      </w:r>
      <w:r w:rsidRPr="005134B7" w:rsidR="00166F1F">
        <w:t xml:space="preserve">-1 </w:t>
      </w:r>
      <w:r w:rsidRPr="005134B7" w:rsidR="00604334">
        <w:t xml:space="preserve">Term Bonds due </w:t>
      </w:r>
      <w:r w:rsidRPr="005134B7" w:rsidR="00E66A9E">
        <w:t>July 1, 20</w:t>
      </w:r>
      <w:r w:rsidRPr="005134B7" w:rsidR="00581747">
        <w:t>44</w:t>
      </w:r>
      <w:r w:rsidRPr="005134B7" w:rsidR="00604334">
        <w:t xml:space="preserve"> (CUSIP</w:t>
      </w:r>
      <w:r w:rsidRPr="005134B7" w:rsidR="00604334">
        <w:rPr>
          <w:vertAlign w:val="superscript"/>
        </w:rPr>
        <w:t>1</w:t>
      </w:r>
      <w:r w:rsidRPr="005134B7" w:rsidR="00604334">
        <w:t>:</w:t>
      </w:r>
      <w:r w:rsidRPr="007D4467" w:rsidR="007D4467">
        <w:rPr>
          <w:bCs/>
        </w:rPr>
        <w:t xml:space="preserve"> </w:t>
      </w:r>
      <w:r w:rsidR="007D4467">
        <w:rPr>
          <w:bCs/>
        </w:rPr>
        <w:t>45505T2W0</w:t>
      </w:r>
      <w:r w:rsidRPr="005134B7" w:rsidR="00604334">
        <w:t xml:space="preserve">)  -  Price </w:t>
      </w:r>
      <w:r w:rsidR="007D4467">
        <w:t>106.177</w:t>
      </w:r>
      <w:r w:rsidRPr="005134B7" w:rsidR="00604334">
        <w:t>%</w:t>
      </w:r>
    </w:p>
    <w:p w:rsidRPr="005134B7" w:rsidR="00581747" w:rsidP="00581747" w:rsidRDefault="00581747" w14:paraId="46636AED" w14:textId="6BD764A9">
      <w:pPr>
        <w:jc w:val="center"/>
      </w:pPr>
      <w:r w:rsidRPr="005134B7">
        <w:t>$</w:t>
      </w:r>
      <w:r w:rsidR="007D4467">
        <w:rPr>
          <w:color w:val="000000"/>
        </w:rPr>
        <w:t>21,785,000</w:t>
      </w:r>
      <w:r w:rsidRPr="005134B7">
        <w:t xml:space="preserve">   </w:t>
      </w:r>
      <w:r w:rsidR="007D4467">
        <w:t xml:space="preserve"> 4.700</w:t>
      </w:r>
      <w:r w:rsidRPr="005134B7">
        <w:t xml:space="preserve">%  2024 Series </w:t>
      </w:r>
      <w:r w:rsidR="007D4467">
        <w:t>C-1 Term Bonds due July 1, 2049</w:t>
      </w:r>
      <w:r w:rsidRPr="005134B7">
        <w:t xml:space="preserve"> (CUSIP</w:t>
      </w:r>
      <w:r w:rsidRPr="005134B7">
        <w:rPr>
          <w:vertAlign w:val="superscript"/>
        </w:rPr>
        <w:t>1</w:t>
      </w:r>
      <w:r w:rsidRPr="005134B7">
        <w:t>:</w:t>
      </w:r>
      <w:r w:rsidRPr="007D4467" w:rsidR="007D4467">
        <w:rPr>
          <w:bCs/>
        </w:rPr>
        <w:t xml:space="preserve"> </w:t>
      </w:r>
      <w:r w:rsidR="007D4467">
        <w:rPr>
          <w:bCs/>
        </w:rPr>
        <w:t>45505T2X8</w:t>
      </w:r>
      <w:r w:rsidR="007D4467">
        <w:t>)  -  Price 100.000</w:t>
      </w:r>
      <w:r w:rsidRPr="005134B7">
        <w:t>%</w:t>
      </w:r>
    </w:p>
    <w:p w:rsidR="00581747" w:rsidP="00581747" w:rsidRDefault="00581747" w14:paraId="6617EBEE" w14:textId="5691D89E">
      <w:pPr>
        <w:jc w:val="center"/>
      </w:pPr>
      <w:r>
        <w:t xml:space="preserve">    </w:t>
      </w:r>
      <w:r w:rsidRPr="00F83817">
        <w:t>$</w:t>
      </w:r>
      <w:r w:rsidR="00A62C6A">
        <w:rPr>
          <w:color w:val="000000"/>
        </w:rPr>
        <w:t>51,185</w:t>
      </w:r>
      <w:r w:rsidR="00847FBF">
        <w:rPr>
          <w:color w:val="000000"/>
        </w:rPr>
        <w:t>,000</w:t>
      </w:r>
      <w:r w:rsidRPr="003621E9">
        <w:t xml:space="preserve"> </w:t>
      </w:r>
      <w:r>
        <w:t xml:space="preserve">   </w:t>
      </w:r>
      <w:r w:rsidR="004254D9">
        <w:t>4.800</w:t>
      </w:r>
      <w:r>
        <w:t>%  2024 Series C-1 Term Bond</w:t>
      </w:r>
      <w:r w:rsidR="00847FBF">
        <w:t>s due July 1, 205</w:t>
      </w:r>
      <w:r w:rsidR="004254D9">
        <w:t>4</w:t>
      </w:r>
      <w:r>
        <w:t xml:space="preserve"> </w:t>
      </w:r>
      <w:r w:rsidRPr="00F83817">
        <w:t>(CUSIP</w:t>
      </w:r>
      <w:r w:rsidRPr="00F83817">
        <w:rPr>
          <w:vertAlign w:val="superscript"/>
        </w:rPr>
        <w:t>1</w:t>
      </w:r>
      <w:r>
        <w:t>:</w:t>
      </w:r>
      <w:r w:rsidRPr="004254D9" w:rsidR="004254D9">
        <w:rPr>
          <w:bCs/>
        </w:rPr>
        <w:t xml:space="preserve"> </w:t>
      </w:r>
      <w:r w:rsidR="004254D9">
        <w:rPr>
          <w:bCs/>
        </w:rPr>
        <w:t>45505T2Z3</w:t>
      </w:r>
      <w:r>
        <w:t xml:space="preserve">)  -  Price </w:t>
      </w:r>
      <w:r w:rsidR="004254D9">
        <w:t>100.000</w:t>
      </w:r>
      <w:r w:rsidRPr="00F83817">
        <w:t>%</w:t>
      </w:r>
    </w:p>
    <w:p w:rsidRPr="00F83817" w:rsidR="000235A4" w:rsidP="00604334" w:rsidRDefault="00581747" w14:paraId="77E748FA" w14:textId="1986FF29">
      <w:pPr>
        <w:jc w:val="center"/>
      </w:pPr>
      <w:r>
        <w:t xml:space="preserve">    </w:t>
      </w:r>
    </w:p>
    <w:p w:rsidRPr="00F83817" w:rsidR="000721D2" w:rsidP="000721D2" w:rsidRDefault="00990783" w14:paraId="4798F725" w14:textId="5CF8EEAD">
      <w:pPr>
        <w:jc w:val="center"/>
      </w:pPr>
      <w:r>
        <w:t xml:space="preserve">    </w:t>
      </w:r>
      <w:r w:rsidR="00CF0B88">
        <w:t xml:space="preserve"> </w:t>
      </w:r>
      <w:r w:rsidR="006F1DD7">
        <w:t xml:space="preserve"> </w:t>
      </w:r>
    </w:p>
    <w:p w:rsidRPr="00F83817" w:rsidR="000721D2" w:rsidP="000721D2" w:rsidRDefault="000721D2" w14:paraId="524E22AE" w14:textId="77777777">
      <w:pPr>
        <w:tabs>
          <w:tab w:val="left" w:pos="1736"/>
        </w:tabs>
      </w:pPr>
    </w:p>
    <w:p w:rsidR="00F83817" w:rsidP="00F83817" w:rsidRDefault="00F83817" w14:paraId="06AED250" w14:textId="1ADDA59A">
      <w:pPr>
        <w:tabs>
          <w:tab w:val="left" w:pos="1736"/>
        </w:tabs>
      </w:pPr>
    </w:p>
    <w:p w:rsidR="00A919F6" w:rsidP="002F168A" w:rsidRDefault="00A919F6" w14:paraId="6647E504" w14:textId="77777777">
      <w:pPr>
        <w:pStyle w:val="E-mailSignature"/>
        <w:widowControl/>
        <w:autoSpaceDE/>
        <w:autoSpaceDN/>
        <w:adjustRightInd/>
        <w:spacing w:after="160" w:line="259" w:lineRule="auto"/>
      </w:pPr>
      <w:r>
        <w:br w:type="page"/>
      </w:r>
    </w:p>
    <w:p w:rsidRPr="00B34407" w:rsidR="00F730FE" w:rsidP="00F730FE" w:rsidRDefault="00F730FE" w14:paraId="01B91B8F" w14:textId="03F82EC7">
      <w:pPr>
        <w:pStyle w:val="atitle"/>
        <w:widowControl/>
        <w:tabs>
          <w:tab w:val="center" w:pos="5100"/>
        </w:tabs>
      </w:pPr>
      <w:bookmarkStart w:name="ElPgBr4" w:id="23"/>
      <w:bookmarkEnd w:id="23"/>
      <w:r>
        <w:lastRenderedPageBreak/>
        <w:t>$</w:t>
      </w:r>
      <w:r w:rsidR="00702569">
        <w:t>98,655,000</w:t>
      </w:r>
      <w:r w:rsidRPr="00B34407">
        <w:br/>
        <w:t>INDIANA HOUSING AND COMMUNITY DEVELOPMENT AUTHORITY</w:t>
      </w:r>
      <w:r w:rsidRPr="00B34407">
        <w:br/>
        <w:t>Single Family Mortgage Revenue Bonds</w:t>
      </w:r>
      <w:r w:rsidRPr="00B34407">
        <w:br/>
      </w:r>
      <w:r w:rsidR="00C7294C">
        <w:t>2024 Series C</w:t>
      </w:r>
      <w:r w:rsidR="006A1FF0">
        <w:t>-2</w:t>
      </w:r>
      <w:r>
        <w:t xml:space="preserve"> </w:t>
      </w:r>
      <w:r w:rsidR="003B5773">
        <w:t xml:space="preserve">(Social Bonds) </w:t>
      </w:r>
      <w:r w:rsidR="00F52DBE">
        <w:br/>
      </w:r>
      <w:r>
        <w:t>(Taxable)</w:t>
      </w:r>
      <w:r w:rsidR="00F52DBE">
        <w:br/>
      </w:r>
      <w:r w:rsidRPr="00B34407">
        <w:br/>
        <w:t>Maturity Schedule</w:t>
      </w:r>
    </w:p>
    <w:p w:rsidR="00F730FE" w:rsidP="00F83817" w:rsidRDefault="00F730FE" w14:paraId="4426BD37" w14:textId="2944AFB6">
      <w:pPr>
        <w:tabs>
          <w:tab w:val="left" w:pos="1736"/>
        </w:tabs>
      </w:pPr>
    </w:p>
    <w:p w:rsidRPr="002B0E77" w:rsidR="00A919F6" w:rsidP="008C7280" w:rsidRDefault="00A919F6" w14:paraId="19799E72" w14:textId="300AEDE5">
      <w:pPr>
        <w:pStyle w:val="atitle"/>
        <w:widowControl/>
        <w:tabs>
          <w:tab w:val="center" w:pos="5100"/>
        </w:tabs>
        <w:spacing w:after="0"/>
        <w:rPr>
          <w:b w:val="0"/>
        </w:rPr>
      </w:pPr>
      <w:r w:rsidRPr="000F450B">
        <w:rPr>
          <w:b w:val="0"/>
        </w:rPr>
        <w:t>$</w:t>
      </w:r>
      <w:r w:rsidR="00847FBF">
        <w:rPr>
          <w:b w:val="0"/>
        </w:rPr>
        <w:t>25,970,000</w:t>
      </w:r>
      <w:r w:rsidRPr="002B0E77">
        <w:rPr>
          <w:b w:val="0"/>
        </w:rPr>
        <w:t xml:space="preserve"> Serial Bonds</w:t>
      </w:r>
    </w:p>
    <w:p w:rsidRPr="00B34407" w:rsidR="00A919F6" w:rsidP="00A919F6" w:rsidRDefault="00A919F6" w14:paraId="69C04C2F" w14:textId="77777777">
      <w:pPr>
        <w:pStyle w:val="atitle"/>
        <w:widowControl/>
        <w:tabs>
          <w:tab w:val="center" w:pos="5100"/>
        </w:tabs>
        <w:spacing w:after="0"/>
        <w:jc w:val="both"/>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0"/>
        <w:gridCol w:w="1800"/>
        <w:gridCol w:w="1277"/>
        <w:gridCol w:w="1277"/>
        <w:gridCol w:w="1277"/>
      </w:tblGrid>
      <w:tr w:rsidR="00A919F6" w:rsidTr="005134B7" w14:paraId="2EDC18A6" w14:textId="77777777">
        <w:trPr>
          <w:jc w:val="center"/>
        </w:trPr>
        <w:tc>
          <w:tcPr>
            <w:tcW w:w="1800" w:type="dxa"/>
            <w:vAlign w:val="bottom"/>
          </w:tcPr>
          <w:p w:rsidRPr="00F30E7E" w:rsidR="00A919F6" w:rsidP="002C56D4" w:rsidRDefault="004254D9" w14:paraId="11379FF0" w14:textId="5A281649">
            <w:pPr>
              <w:jc w:val="center"/>
            </w:pPr>
            <w:r>
              <w:rPr>
                <w:u w:val="single"/>
              </w:rPr>
              <w:t>Maturity</w:t>
            </w:r>
          </w:p>
        </w:tc>
        <w:tc>
          <w:tcPr>
            <w:tcW w:w="1800" w:type="dxa"/>
            <w:vAlign w:val="bottom"/>
          </w:tcPr>
          <w:p w:rsidR="00A919F6" w:rsidP="002C56D4" w:rsidRDefault="00A919F6" w14:paraId="1DFF6D24" w14:textId="2ACF5FC8">
            <w:pPr>
              <w:tabs>
                <w:tab w:val="decimal" w:pos="1005"/>
              </w:tabs>
              <w:jc w:val="center"/>
            </w:pPr>
            <w:r w:rsidRPr="00AA223A">
              <w:rPr>
                <w:u w:val="single"/>
              </w:rPr>
              <w:t>A</w:t>
            </w:r>
            <w:r w:rsidR="004254D9">
              <w:rPr>
                <w:u w:val="single"/>
              </w:rPr>
              <w:t>mount</w:t>
            </w:r>
          </w:p>
        </w:tc>
        <w:tc>
          <w:tcPr>
            <w:tcW w:w="1277" w:type="dxa"/>
            <w:vAlign w:val="bottom"/>
          </w:tcPr>
          <w:p w:rsidR="00A919F6" w:rsidP="002C56D4" w:rsidRDefault="00A919F6" w14:paraId="6B0AC555" w14:textId="77777777">
            <w:pPr>
              <w:jc w:val="center"/>
            </w:pPr>
            <w:r w:rsidRPr="00AA223A">
              <w:rPr>
                <w:u w:val="single"/>
              </w:rPr>
              <w:t>Interest Rate</w:t>
            </w:r>
          </w:p>
        </w:tc>
        <w:tc>
          <w:tcPr>
            <w:tcW w:w="1277" w:type="dxa"/>
          </w:tcPr>
          <w:p w:rsidRPr="00AA223A" w:rsidR="00A919F6" w:rsidP="002C56D4" w:rsidRDefault="00A919F6" w14:paraId="1741441E" w14:textId="77777777">
            <w:pPr>
              <w:jc w:val="center"/>
              <w:rPr>
                <w:u w:val="single"/>
              </w:rPr>
            </w:pPr>
            <w:r>
              <w:rPr>
                <w:u w:val="single"/>
              </w:rPr>
              <w:t>Price</w:t>
            </w:r>
          </w:p>
        </w:tc>
        <w:tc>
          <w:tcPr>
            <w:tcW w:w="1277" w:type="dxa"/>
            <w:vAlign w:val="bottom"/>
          </w:tcPr>
          <w:p w:rsidR="00A919F6" w:rsidP="002C56D4" w:rsidRDefault="00A919F6" w14:paraId="3DDEFEA7" w14:textId="4F5CBBD9">
            <w:pPr>
              <w:jc w:val="center"/>
            </w:pPr>
            <w:r w:rsidRPr="00AA223A">
              <w:rPr>
                <w:u w:val="single"/>
              </w:rPr>
              <w:t>CUSIP</w:t>
            </w:r>
            <w:r w:rsidRPr="004254D9" w:rsidR="004254D9">
              <w:rPr>
                <w:rStyle w:val="FootnoteReference"/>
                <w:u w:val="single"/>
                <w:vertAlign w:val="superscript"/>
              </w:rPr>
              <w:footnoteReference w:id="2"/>
            </w:r>
          </w:p>
        </w:tc>
      </w:tr>
      <w:tr w:rsidR="00A919F6" w:rsidTr="005134B7" w14:paraId="46278E71" w14:textId="77777777">
        <w:trPr>
          <w:jc w:val="center"/>
        </w:trPr>
        <w:tc>
          <w:tcPr>
            <w:tcW w:w="1800" w:type="dxa"/>
            <w:vAlign w:val="bottom"/>
          </w:tcPr>
          <w:p w:rsidR="00A919F6" w:rsidP="002C56D4" w:rsidRDefault="00A919F6" w14:paraId="4CAA52D3" w14:textId="77777777">
            <w:pPr>
              <w:jc w:val="center"/>
            </w:pPr>
          </w:p>
        </w:tc>
        <w:tc>
          <w:tcPr>
            <w:tcW w:w="1800" w:type="dxa"/>
          </w:tcPr>
          <w:p w:rsidR="00A919F6" w:rsidP="002C56D4" w:rsidRDefault="00A919F6" w14:paraId="3D383D2C" w14:textId="77777777">
            <w:pPr>
              <w:tabs>
                <w:tab w:val="decimal" w:pos="1148"/>
              </w:tabs>
            </w:pPr>
          </w:p>
        </w:tc>
        <w:tc>
          <w:tcPr>
            <w:tcW w:w="1277" w:type="dxa"/>
          </w:tcPr>
          <w:p w:rsidR="00A919F6" w:rsidP="002C56D4" w:rsidRDefault="00A919F6" w14:paraId="318F96A1" w14:textId="77777777"/>
        </w:tc>
        <w:tc>
          <w:tcPr>
            <w:tcW w:w="1277" w:type="dxa"/>
          </w:tcPr>
          <w:p w:rsidR="00A919F6" w:rsidP="002C56D4" w:rsidRDefault="00A919F6" w14:paraId="6C926990" w14:textId="77777777"/>
        </w:tc>
        <w:tc>
          <w:tcPr>
            <w:tcW w:w="1277" w:type="dxa"/>
          </w:tcPr>
          <w:p w:rsidR="00A919F6" w:rsidP="002C56D4" w:rsidRDefault="00A919F6" w14:paraId="47E8B9AA" w14:textId="77777777"/>
        </w:tc>
      </w:tr>
      <w:tr w:rsidR="004254D9" w:rsidTr="00A62C6A" w14:paraId="0BC78B71"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76905D2A" w14:textId="2FE2AB5D">
            <w:pPr>
              <w:jc w:val="center"/>
            </w:pPr>
            <w:r w:rsidRPr="00847FBF">
              <w:rPr>
                <w:color w:val="000000"/>
              </w:rPr>
              <w:t>1/1/2025</w:t>
            </w:r>
          </w:p>
        </w:tc>
        <w:tc>
          <w:tcPr>
            <w:tcW w:w="1800" w:type="dxa"/>
            <w:tcBorders>
              <w:top w:val="nil"/>
              <w:left w:val="nil"/>
              <w:bottom w:val="nil"/>
              <w:right w:val="nil"/>
            </w:tcBorders>
            <w:shd w:val="clear" w:color="auto" w:fill="auto"/>
            <w:vAlign w:val="bottom"/>
          </w:tcPr>
          <w:p w:rsidRPr="00847FBF" w:rsidR="004254D9" w:rsidP="004254D9" w:rsidRDefault="004254D9" w14:paraId="1B53057A" w14:textId="0CE47DFA">
            <w:pPr>
              <w:tabs>
                <w:tab w:val="decimal" w:pos="1260"/>
              </w:tabs>
              <w:jc w:val="center"/>
            </w:pPr>
            <w:r>
              <w:rPr>
                <w:color w:val="000000"/>
              </w:rPr>
              <w:t>$</w:t>
            </w:r>
            <w:r w:rsidRPr="0077103B">
              <w:rPr>
                <w:color w:val="000000"/>
              </w:rPr>
              <w:t>215,000</w:t>
            </w:r>
          </w:p>
        </w:tc>
        <w:tc>
          <w:tcPr>
            <w:tcW w:w="1277" w:type="dxa"/>
            <w:vAlign w:val="bottom"/>
          </w:tcPr>
          <w:p w:rsidR="004254D9" w:rsidP="004254D9" w:rsidRDefault="004254D9" w14:paraId="5B05DE7A" w14:textId="6D8CB5C7">
            <w:pPr>
              <w:pStyle w:val="FootnoteText"/>
              <w:spacing w:after="0"/>
            </w:pPr>
            <w:r w:rsidRPr="0077103B">
              <w:rPr>
                <w:color w:val="000000"/>
              </w:rPr>
              <w:t>4.839</w:t>
            </w:r>
            <w:r>
              <w:rPr>
                <w:color w:val="000000"/>
              </w:rPr>
              <w:t>%</w:t>
            </w:r>
          </w:p>
        </w:tc>
        <w:tc>
          <w:tcPr>
            <w:tcW w:w="1277" w:type="dxa"/>
            <w:vAlign w:val="bottom"/>
          </w:tcPr>
          <w:p w:rsidR="004254D9" w:rsidP="004254D9" w:rsidRDefault="004254D9" w14:paraId="0B34E144" w14:textId="6C3D3359">
            <w:r w:rsidRPr="0077103B">
              <w:rPr>
                <w:color w:val="000000"/>
              </w:rPr>
              <w:t>100.000</w:t>
            </w:r>
            <w:r>
              <w:rPr>
                <w:color w:val="000000"/>
              </w:rPr>
              <w:t>%</w:t>
            </w:r>
          </w:p>
        </w:tc>
        <w:tc>
          <w:tcPr>
            <w:tcW w:w="1277" w:type="dxa"/>
          </w:tcPr>
          <w:p w:rsidR="004254D9" w:rsidP="004254D9" w:rsidRDefault="004254D9" w14:paraId="06B2933F" w14:textId="6FE326D6">
            <w:r w:rsidRPr="0077103B">
              <w:t>45505T3A7</w:t>
            </w:r>
          </w:p>
        </w:tc>
      </w:tr>
      <w:tr w:rsidR="004254D9" w:rsidTr="00A62C6A" w14:paraId="112972BD"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013D2055" w14:textId="25D4CB41">
            <w:pPr>
              <w:jc w:val="center"/>
            </w:pPr>
            <w:r w:rsidRPr="00847FBF">
              <w:rPr>
                <w:color w:val="000000"/>
              </w:rPr>
              <w:t>7/1/2025</w:t>
            </w:r>
          </w:p>
        </w:tc>
        <w:tc>
          <w:tcPr>
            <w:tcW w:w="1800" w:type="dxa"/>
            <w:tcBorders>
              <w:top w:val="nil"/>
              <w:left w:val="nil"/>
              <w:bottom w:val="nil"/>
              <w:right w:val="nil"/>
            </w:tcBorders>
            <w:shd w:val="clear" w:color="auto" w:fill="auto"/>
            <w:vAlign w:val="bottom"/>
          </w:tcPr>
          <w:p w:rsidRPr="00847FBF" w:rsidR="004254D9" w:rsidP="004254D9" w:rsidRDefault="004254D9" w14:paraId="210E0BC9" w14:textId="10B9AFD8">
            <w:pPr>
              <w:tabs>
                <w:tab w:val="decimal" w:pos="1260"/>
              </w:tabs>
              <w:jc w:val="center"/>
            </w:pPr>
            <w:r w:rsidRPr="0077103B">
              <w:rPr>
                <w:color w:val="000000"/>
              </w:rPr>
              <w:t>870,000</w:t>
            </w:r>
          </w:p>
        </w:tc>
        <w:tc>
          <w:tcPr>
            <w:tcW w:w="1277" w:type="dxa"/>
            <w:vAlign w:val="bottom"/>
          </w:tcPr>
          <w:p w:rsidR="004254D9" w:rsidP="004254D9" w:rsidRDefault="004254D9" w14:paraId="32E6EC9F" w14:textId="3E9BB26F">
            <w:r w:rsidRPr="0077103B">
              <w:rPr>
                <w:color w:val="000000"/>
              </w:rPr>
              <w:t>4.839</w:t>
            </w:r>
          </w:p>
        </w:tc>
        <w:tc>
          <w:tcPr>
            <w:tcW w:w="1277" w:type="dxa"/>
            <w:vAlign w:val="bottom"/>
          </w:tcPr>
          <w:p w:rsidR="004254D9" w:rsidP="004254D9" w:rsidRDefault="004254D9" w14:paraId="6010637E" w14:textId="7619124E">
            <w:r w:rsidRPr="0077103B">
              <w:rPr>
                <w:color w:val="000000"/>
              </w:rPr>
              <w:t>100.000</w:t>
            </w:r>
          </w:p>
        </w:tc>
        <w:tc>
          <w:tcPr>
            <w:tcW w:w="1277" w:type="dxa"/>
          </w:tcPr>
          <w:p w:rsidR="004254D9" w:rsidP="004254D9" w:rsidRDefault="004254D9" w14:paraId="6FC5C528" w14:textId="3AE02D34">
            <w:r w:rsidRPr="0077103B">
              <w:t>45505T3B5</w:t>
            </w:r>
          </w:p>
        </w:tc>
      </w:tr>
      <w:tr w:rsidR="004254D9" w:rsidTr="00A62C6A" w14:paraId="1096B5FB"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7E238304" w14:textId="6F86467D">
            <w:pPr>
              <w:jc w:val="center"/>
            </w:pPr>
            <w:r w:rsidRPr="00847FBF">
              <w:rPr>
                <w:color w:val="000000"/>
              </w:rPr>
              <w:t>1/1/2026</w:t>
            </w:r>
          </w:p>
        </w:tc>
        <w:tc>
          <w:tcPr>
            <w:tcW w:w="1800" w:type="dxa"/>
            <w:tcBorders>
              <w:top w:val="nil"/>
              <w:left w:val="nil"/>
              <w:bottom w:val="nil"/>
              <w:right w:val="nil"/>
            </w:tcBorders>
            <w:shd w:val="clear" w:color="auto" w:fill="auto"/>
            <w:vAlign w:val="bottom"/>
          </w:tcPr>
          <w:p w:rsidRPr="00847FBF" w:rsidR="004254D9" w:rsidP="004254D9" w:rsidRDefault="004254D9" w14:paraId="33661FCC" w14:textId="4D1DA48F">
            <w:pPr>
              <w:pStyle w:val="aendof"/>
              <w:tabs>
                <w:tab w:val="decimal" w:pos="1260"/>
              </w:tabs>
              <w:spacing w:before="0"/>
            </w:pPr>
            <w:r w:rsidRPr="0077103B">
              <w:rPr>
                <w:color w:val="000000"/>
              </w:rPr>
              <w:t>925,000</w:t>
            </w:r>
          </w:p>
        </w:tc>
        <w:tc>
          <w:tcPr>
            <w:tcW w:w="1277" w:type="dxa"/>
            <w:vAlign w:val="bottom"/>
          </w:tcPr>
          <w:p w:rsidR="004254D9" w:rsidP="004254D9" w:rsidRDefault="004254D9" w14:paraId="6FDEABF3" w14:textId="053ED619">
            <w:r w:rsidRPr="0077103B">
              <w:rPr>
                <w:color w:val="000000"/>
              </w:rPr>
              <w:t>4.889</w:t>
            </w:r>
          </w:p>
        </w:tc>
        <w:tc>
          <w:tcPr>
            <w:tcW w:w="1277" w:type="dxa"/>
            <w:vAlign w:val="bottom"/>
          </w:tcPr>
          <w:p w:rsidR="004254D9" w:rsidP="004254D9" w:rsidRDefault="004254D9" w14:paraId="4C77771F" w14:textId="56A82FE2">
            <w:r w:rsidRPr="0077103B">
              <w:rPr>
                <w:color w:val="000000"/>
              </w:rPr>
              <w:t>100.000</w:t>
            </w:r>
          </w:p>
        </w:tc>
        <w:tc>
          <w:tcPr>
            <w:tcW w:w="1277" w:type="dxa"/>
          </w:tcPr>
          <w:p w:rsidR="004254D9" w:rsidP="004254D9" w:rsidRDefault="004254D9" w14:paraId="1E21C531" w14:textId="0D41D0CA">
            <w:r w:rsidRPr="0077103B">
              <w:t>45505T3C3</w:t>
            </w:r>
          </w:p>
        </w:tc>
      </w:tr>
      <w:tr w:rsidR="004254D9" w:rsidTr="00A62C6A" w14:paraId="3F47B994"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00D0151C" w14:textId="0D4B2D5D">
            <w:pPr>
              <w:jc w:val="center"/>
            </w:pPr>
            <w:r w:rsidRPr="00847FBF">
              <w:rPr>
                <w:color w:val="000000"/>
              </w:rPr>
              <w:t>7/1/2026</w:t>
            </w:r>
          </w:p>
        </w:tc>
        <w:tc>
          <w:tcPr>
            <w:tcW w:w="1800" w:type="dxa"/>
            <w:tcBorders>
              <w:top w:val="nil"/>
              <w:left w:val="nil"/>
              <w:bottom w:val="nil"/>
              <w:right w:val="nil"/>
            </w:tcBorders>
            <w:shd w:val="clear" w:color="auto" w:fill="auto"/>
            <w:vAlign w:val="bottom"/>
          </w:tcPr>
          <w:p w:rsidRPr="00847FBF" w:rsidR="004254D9" w:rsidP="004254D9" w:rsidRDefault="004254D9" w14:paraId="49C68C1E" w14:textId="09941492">
            <w:pPr>
              <w:tabs>
                <w:tab w:val="decimal" w:pos="1260"/>
              </w:tabs>
              <w:jc w:val="center"/>
            </w:pPr>
            <w:r w:rsidRPr="0077103B">
              <w:rPr>
                <w:color w:val="000000"/>
              </w:rPr>
              <w:t>960,000</w:t>
            </w:r>
          </w:p>
        </w:tc>
        <w:tc>
          <w:tcPr>
            <w:tcW w:w="1277" w:type="dxa"/>
            <w:vAlign w:val="bottom"/>
          </w:tcPr>
          <w:p w:rsidR="004254D9" w:rsidP="004254D9" w:rsidRDefault="004254D9" w14:paraId="60FA3689" w14:textId="10E5EA20">
            <w:r w:rsidRPr="0077103B">
              <w:rPr>
                <w:color w:val="000000"/>
              </w:rPr>
              <w:t>4.859</w:t>
            </w:r>
          </w:p>
        </w:tc>
        <w:tc>
          <w:tcPr>
            <w:tcW w:w="1277" w:type="dxa"/>
            <w:vAlign w:val="bottom"/>
          </w:tcPr>
          <w:p w:rsidR="004254D9" w:rsidP="004254D9" w:rsidRDefault="004254D9" w14:paraId="7A0B10B0" w14:textId="5F53933B">
            <w:r w:rsidRPr="0077103B">
              <w:rPr>
                <w:color w:val="000000"/>
              </w:rPr>
              <w:t>100.000</w:t>
            </w:r>
          </w:p>
        </w:tc>
        <w:tc>
          <w:tcPr>
            <w:tcW w:w="1277" w:type="dxa"/>
          </w:tcPr>
          <w:p w:rsidR="004254D9" w:rsidP="004254D9" w:rsidRDefault="004254D9" w14:paraId="158C37DC" w14:textId="244434D3">
            <w:r w:rsidRPr="0077103B">
              <w:t>45505T3D1</w:t>
            </w:r>
          </w:p>
        </w:tc>
      </w:tr>
      <w:tr w:rsidR="004254D9" w:rsidTr="00A62C6A" w14:paraId="60C34FBF"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3DA7479F" w14:textId="1817F752">
            <w:pPr>
              <w:jc w:val="center"/>
            </w:pPr>
            <w:r w:rsidRPr="00847FBF">
              <w:rPr>
                <w:color w:val="000000"/>
              </w:rPr>
              <w:t>1/1/2027</w:t>
            </w:r>
          </w:p>
        </w:tc>
        <w:tc>
          <w:tcPr>
            <w:tcW w:w="1800" w:type="dxa"/>
            <w:tcBorders>
              <w:top w:val="nil"/>
              <w:left w:val="nil"/>
              <w:bottom w:val="nil"/>
              <w:right w:val="nil"/>
            </w:tcBorders>
            <w:shd w:val="clear" w:color="auto" w:fill="auto"/>
            <w:vAlign w:val="bottom"/>
          </w:tcPr>
          <w:p w:rsidRPr="00847FBF" w:rsidR="004254D9" w:rsidP="004254D9" w:rsidRDefault="004254D9" w14:paraId="557364F8" w14:textId="2E3CE22E">
            <w:pPr>
              <w:tabs>
                <w:tab w:val="decimal" w:pos="1260"/>
              </w:tabs>
              <w:jc w:val="center"/>
            </w:pPr>
            <w:r w:rsidRPr="0077103B">
              <w:rPr>
                <w:color w:val="000000"/>
              </w:rPr>
              <w:t>995,000</w:t>
            </w:r>
          </w:p>
        </w:tc>
        <w:tc>
          <w:tcPr>
            <w:tcW w:w="1277" w:type="dxa"/>
            <w:vAlign w:val="bottom"/>
          </w:tcPr>
          <w:p w:rsidR="004254D9" w:rsidP="004254D9" w:rsidRDefault="004254D9" w14:paraId="46F55F80" w14:textId="70BDC238">
            <w:r w:rsidRPr="0077103B">
              <w:rPr>
                <w:color w:val="000000"/>
              </w:rPr>
              <w:t>4.657</w:t>
            </w:r>
          </w:p>
        </w:tc>
        <w:tc>
          <w:tcPr>
            <w:tcW w:w="1277" w:type="dxa"/>
            <w:vAlign w:val="bottom"/>
          </w:tcPr>
          <w:p w:rsidR="004254D9" w:rsidP="004254D9" w:rsidRDefault="004254D9" w14:paraId="4E5D906F" w14:textId="3AD0D16F">
            <w:r w:rsidRPr="0077103B">
              <w:rPr>
                <w:color w:val="000000"/>
              </w:rPr>
              <w:t>100.000</w:t>
            </w:r>
          </w:p>
        </w:tc>
        <w:tc>
          <w:tcPr>
            <w:tcW w:w="1277" w:type="dxa"/>
          </w:tcPr>
          <w:p w:rsidR="004254D9" w:rsidP="004254D9" w:rsidRDefault="004254D9" w14:paraId="767AD17B" w14:textId="77FF6929">
            <w:r w:rsidRPr="0077103B">
              <w:t>45505T3E9</w:t>
            </w:r>
          </w:p>
        </w:tc>
      </w:tr>
      <w:tr w:rsidR="004254D9" w:rsidTr="00A62C6A" w14:paraId="5FC31B4C"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3FD73A2A" w14:textId="6A77B08C">
            <w:pPr>
              <w:jc w:val="center"/>
            </w:pPr>
            <w:r w:rsidRPr="00847FBF">
              <w:rPr>
                <w:color w:val="000000"/>
              </w:rPr>
              <w:t>7/1/2027</w:t>
            </w:r>
          </w:p>
        </w:tc>
        <w:tc>
          <w:tcPr>
            <w:tcW w:w="1800" w:type="dxa"/>
            <w:tcBorders>
              <w:top w:val="nil"/>
              <w:left w:val="nil"/>
              <w:bottom w:val="nil"/>
              <w:right w:val="nil"/>
            </w:tcBorders>
            <w:shd w:val="clear" w:color="auto" w:fill="auto"/>
            <w:vAlign w:val="bottom"/>
          </w:tcPr>
          <w:p w:rsidRPr="00847FBF" w:rsidR="004254D9" w:rsidP="004254D9" w:rsidRDefault="004254D9" w14:paraId="3EDF26B0" w14:textId="66582100">
            <w:pPr>
              <w:tabs>
                <w:tab w:val="decimal" w:pos="1260"/>
              </w:tabs>
              <w:jc w:val="center"/>
              <w:rPr>
                <w:color w:val="000000"/>
              </w:rPr>
            </w:pPr>
            <w:r w:rsidRPr="0077103B">
              <w:rPr>
                <w:color w:val="000000"/>
              </w:rPr>
              <w:t>1,030,000</w:t>
            </w:r>
          </w:p>
        </w:tc>
        <w:tc>
          <w:tcPr>
            <w:tcW w:w="1277" w:type="dxa"/>
            <w:vAlign w:val="bottom"/>
          </w:tcPr>
          <w:p w:rsidR="004254D9" w:rsidP="004254D9" w:rsidRDefault="004254D9" w14:paraId="11DC0814" w14:textId="5DF6D929">
            <w:r w:rsidRPr="0077103B">
              <w:rPr>
                <w:color w:val="000000"/>
              </w:rPr>
              <w:t>4.657</w:t>
            </w:r>
          </w:p>
        </w:tc>
        <w:tc>
          <w:tcPr>
            <w:tcW w:w="1277" w:type="dxa"/>
            <w:vAlign w:val="bottom"/>
          </w:tcPr>
          <w:p w:rsidR="004254D9" w:rsidP="004254D9" w:rsidRDefault="004254D9" w14:paraId="412EAE73" w14:textId="61F5E3C4">
            <w:r w:rsidRPr="0077103B">
              <w:rPr>
                <w:color w:val="000000"/>
              </w:rPr>
              <w:t>100.000</w:t>
            </w:r>
          </w:p>
        </w:tc>
        <w:tc>
          <w:tcPr>
            <w:tcW w:w="1277" w:type="dxa"/>
          </w:tcPr>
          <w:p w:rsidR="004254D9" w:rsidP="004254D9" w:rsidRDefault="004254D9" w14:paraId="36E73AAF" w14:textId="312FC94B">
            <w:r w:rsidRPr="0077103B">
              <w:t>45505T3F6</w:t>
            </w:r>
          </w:p>
        </w:tc>
      </w:tr>
      <w:tr w:rsidR="004254D9" w:rsidTr="00A62C6A" w14:paraId="11FCF0BA"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56DACBC0" w14:textId="0CBCC7B3">
            <w:pPr>
              <w:jc w:val="center"/>
            </w:pPr>
            <w:r w:rsidRPr="00847FBF">
              <w:rPr>
                <w:color w:val="000000"/>
              </w:rPr>
              <w:t>1/1/2028</w:t>
            </w:r>
          </w:p>
        </w:tc>
        <w:tc>
          <w:tcPr>
            <w:tcW w:w="1800" w:type="dxa"/>
            <w:tcBorders>
              <w:top w:val="nil"/>
              <w:left w:val="nil"/>
              <w:bottom w:val="nil"/>
              <w:right w:val="nil"/>
            </w:tcBorders>
            <w:shd w:val="clear" w:color="auto" w:fill="auto"/>
            <w:vAlign w:val="bottom"/>
          </w:tcPr>
          <w:p w:rsidRPr="00847FBF" w:rsidR="004254D9" w:rsidP="004254D9" w:rsidRDefault="004254D9" w14:paraId="22C77478" w14:textId="632449AA">
            <w:pPr>
              <w:tabs>
                <w:tab w:val="decimal" w:pos="1260"/>
              </w:tabs>
              <w:jc w:val="center"/>
              <w:rPr>
                <w:color w:val="000000"/>
              </w:rPr>
            </w:pPr>
            <w:r w:rsidRPr="0077103B">
              <w:rPr>
                <w:color w:val="000000"/>
              </w:rPr>
              <w:t>1,070,000</w:t>
            </w:r>
          </w:p>
        </w:tc>
        <w:tc>
          <w:tcPr>
            <w:tcW w:w="1277" w:type="dxa"/>
            <w:vAlign w:val="bottom"/>
          </w:tcPr>
          <w:p w:rsidR="004254D9" w:rsidP="004254D9" w:rsidRDefault="004254D9" w14:paraId="58CBF2C3" w14:textId="022AD827">
            <w:r w:rsidRPr="0077103B">
              <w:rPr>
                <w:color w:val="000000"/>
              </w:rPr>
              <w:t>4.554</w:t>
            </w:r>
          </w:p>
        </w:tc>
        <w:tc>
          <w:tcPr>
            <w:tcW w:w="1277" w:type="dxa"/>
            <w:vAlign w:val="bottom"/>
          </w:tcPr>
          <w:p w:rsidR="004254D9" w:rsidP="004254D9" w:rsidRDefault="004254D9" w14:paraId="232D1482" w14:textId="40B2F808">
            <w:r w:rsidRPr="0077103B">
              <w:rPr>
                <w:color w:val="000000"/>
              </w:rPr>
              <w:t>100.000</w:t>
            </w:r>
          </w:p>
        </w:tc>
        <w:tc>
          <w:tcPr>
            <w:tcW w:w="1277" w:type="dxa"/>
          </w:tcPr>
          <w:p w:rsidR="004254D9" w:rsidP="004254D9" w:rsidRDefault="004254D9" w14:paraId="137887C3" w14:textId="2CE216AA">
            <w:r w:rsidRPr="0077103B">
              <w:t>45505T3G4</w:t>
            </w:r>
          </w:p>
        </w:tc>
      </w:tr>
      <w:tr w:rsidR="004254D9" w:rsidTr="00A62C6A" w14:paraId="306BF1B7"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2FABBB7B" w14:textId="4145D387">
            <w:pPr>
              <w:jc w:val="center"/>
            </w:pPr>
            <w:r w:rsidRPr="00847FBF">
              <w:rPr>
                <w:color w:val="000000"/>
              </w:rPr>
              <w:t>7/1/2028</w:t>
            </w:r>
          </w:p>
        </w:tc>
        <w:tc>
          <w:tcPr>
            <w:tcW w:w="1800" w:type="dxa"/>
            <w:tcBorders>
              <w:top w:val="nil"/>
              <w:left w:val="nil"/>
              <w:bottom w:val="nil"/>
              <w:right w:val="nil"/>
            </w:tcBorders>
            <w:shd w:val="clear" w:color="auto" w:fill="auto"/>
            <w:vAlign w:val="bottom"/>
          </w:tcPr>
          <w:p w:rsidRPr="00847FBF" w:rsidR="004254D9" w:rsidP="004254D9" w:rsidRDefault="004254D9" w14:paraId="6A442217" w14:textId="35C21EB1">
            <w:pPr>
              <w:tabs>
                <w:tab w:val="decimal" w:pos="1260"/>
              </w:tabs>
              <w:jc w:val="center"/>
              <w:rPr>
                <w:color w:val="000000"/>
              </w:rPr>
            </w:pPr>
            <w:r w:rsidRPr="0077103B">
              <w:rPr>
                <w:color w:val="000000"/>
              </w:rPr>
              <w:t>1,105,000</w:t>
            </w:r>
          </w:p>
        </w:tc>
        <w:tc>
          <w:tcPr>
            <w:tcW w:w="1277" w:type="dxa"/>
            <w:vAlign w:val="bottom"/>
          </w:tcPr>
          <w:p w:rsidR="004254D9" w:rsidP="004254D9" w:rsidRDefault="004254D9" w14:paraId="52DCC657" w14:textId="732041A4">
            <w:r w:rsidRPr="0077103B">
              <w:rPr>
                <w:color w:val="000000"/>
              </w:rPr>
              <w:t>4.554</w:t>
            </w:r>
          </w:p>
        </w:tc>
        <w:tc>
          <w:tcPr>
            <w:tcW w:w="1277" w:type="dxa"/>
            <w:vAlign w:val="bottom"/>
          </w:tcPr>
          <w:p w:rsidR="004254D9" w:rsidP="004254D9" w:rsidRDefault="004254D9" w14:paraId="7AB1C65A" w14:textId="37832C83">
            <w:r w:rsidRPr="0077103B">
              <w:rPr>
                <w:color w:val="000000"/>
              </w:rPr>
              <w:t>100.000</w:t>
            </w:r>
          </w:p>
        </w:tc>
        <w:tc>
          <w:tcPr>
            <w:tcW w:w="1277" w:type="dxa"/>
          </w:tcPr>
          <w:p w:rsidR="004254D9" w:rsidP="004254D9" w:rsidRDefault="004254D9" w14:paraId="1113673B" w14:textId="3E4F61DA">
            <w:r w:rsidRPr="0077103B">
              <w:t>45505T3H2</w:t>
            </w:r>
          </w:p>
        </w:tc>
      </w:tr>
      <w:tr w:rsidR="004254D9" w:rsidTr="00A62C6A" w14:paraId="59BADD87"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4BB77C20" w14:textId="2ED0B00B">
            <w:pPr>
              <w:jc w:val="center"/>
            </w:pPr>
            <w:r w:rsidRPr="00847FBF">
              <w:rPr>
                <w:color w:val="000000"/>
              </w:rPr>
              <w:t>1/1/2029</w:t>
            </w:r>
          </w:p>
        </w:tc>
        <w:tc>
          <w:tcPr>
            <w:tcW w:w="1800" w:type="dxa"/>
            <w:tcBorders>
              <w:top w:val="nil"/>
              <w:left w:val="nil"/>
              <w:bottom w:val="nil"/>
              <w:right w:val="nil"/>
            </w:tcBorders>
            <w:shd w:val="clear" w:color="auto" w:fill="auto"/>
            <w:vAlign w:val="bottom"/>
          </w:tcPr>
          <w:p w:rsidRPr="00847FBF" w:rsidR="004254D9" w:rsidP="004254D9" w:rsidRDefault="004254D9" w14:paraId="5921B3DC" w14:textId="1F4067BB">
            <w:pPr>
              <w:tabs>
                <w:tab w:val="decimal" w:pos="1260"/>
              </w:tabs>
              <w:jc w:val="center"/>
              <w:rPr>
                <w:color w:val="000000"/>
              </w:rPr>
            </w:pPr>
            <w:r w:rsidRPr="0077103B">
              <w:rPr>
                <w:color w:val="000000"/>
              </w:rPr>
              <w:t>1,150,000</w:t>
            </w:r>
          </w:p>
        </w:tc>
        <w:tc>
          <w:tcPr>
            <w:tcW w:w="1277" w:type="dxa"/>
            <w:vAlign w:val="bottom"/>
          </w:tcPr>
          <w:p w:rsidR="004254D9" w:rsidP="004254D9" w:rsidRDefault="004254D9" w14:paraId="7CFDEFC3" w14:textId="04D8465B">
            <w:r w:rsidRPr="0077103B">
              <w:rPr>
                <w:color w:val="000000"/>
              </w:rPr>
              <w:t>4.604</w:t>
            </w:r>
          </w:p>
        </w:tc>
        <w:tc>
          <w:tcPr>
            <w:tcW w:w="1277" w:type="dxa"/>
            <w:vAlign w:val="bottom"/>
          </w:tcPr>
          <w:p w:rsidR="004254D9" w:rsidP="004254D9" w:rsidRDefault="004254D9" w14:paraId="34E3FACF" w14:textId="780FC73B">
            <w:r w:rsidRPr="0077103B">
              <w:rPr>
                <w:color w:val="000000"/>
              </w:rPr>
              <w:t>100.000</w:t>
            </w:r>
          </w:p>
        </w:tc>
        <w:tc>
          <w:tcPr>
            <w:tcW w:w="1277" w:type="dxa"/>
          </w:tcPr>
          <w:p w:rsidR="004254D9" w:rsidP="004254D9" w:rsidRDefault="004254D9" w14:paraId="2919B17D" w14:textId="105B08CA">
            <w:r w:rsidRPr="0077103B">
              <w:t>45505T3J8</w:t>
            </w:r>
          </w:p>
        </w:tc>
      </w:tr>
      <w:tr w:rsidR="004254D9" w:rsidTr="00A62C6A" w14:paraId="0EA4772C"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70D16B11" w14:textId="16FE7336">
            <w:pPr>
              <w:jc w:val="center"/>
            </w:pPr>
            <w:r w:rsidRPr="00847FBF">
              <w:rPr>
                <w:color w:val="000000"/>
              </w:rPr>
              <w:t>7/1/2029</w:t>
            </w:r>
          </w:p>
        </w:tc>
        <w:tc>
          <w:tcPr>
            <w:tcW w:w="1800" w:type="dxa"/>
            <w:tcBorders>
              <w:top w:val="nil"/>
              <w:left w:val="nil"/>
              <w:bottom w:val="nil"/>
              <w:right w:val="nil"/>
            </w:tcBorders>
            <w:shd w:val="clear" w:color="auto" w:fill="auto"/>
            <w:vAlign w:val="bottom"/>
          </w:tcPr>
          <w:p w:rsidRPr="00847FBF" w:rsidR="004254D9" w:rsidP="004254D9" w:rsidRDefault="004254D9" w14:paraId="2D056203" w14:textId="5FB32151">
            <w:pPr>
              <w:tabs>
                <w:tab w:val="decimal" w:pos="1260"/>
              </w:tabs>
              <w:jc w:val="center"/>
              <w:rPr>
                <w:color w:val="000000"/>
              </w:rPr>
            </w:pPr>
            <w:r w:rsidRPr="0077103B">
              <w:rPr>
                <w:color w:val="000000"/>
              </w:rPr>
              <w:t>1,195,000</w:t>
            </w:r>
          </w:p>
        </w:tc>
        <w:tc>
          <w:tcPr>
            <w:tcW w:w="1277" w:type="dxa"/>
            <w:vAlign w:val="bottom"/>
          </w:tcPr>
          <w:p w:rsidR="004254D9" w:rsidP="004254D9" w:rsidRDefault="004254D9" w14:paraId="428DEA3A" w14:textId="7611FE9C">
            <w:r w:rsidRPr="0077103B">
              <w:rPr>
                <w:color w:val="000000"/>
              </w:rPr>
              <w:t>4.694</w:t>
            </w:r>
          </w:p>
        </w:tc>
        <w:tc>
          <w:tcPr>
            <w:tcW w:w="1277" w:type="dxa"/>
            <w:vAlign w:val="bottom"/>
          </w:tcPr>
          <w:p w:rsidR="004254D9" w:rsidP="004254D9" w:rsidRDefault="004254D9" w14:paraId="595F8471" w14:textId="2B618CE0">
            <w:r w:rsidRPr="0077103B">
              <w:rPr>
                <w:color w:val="000000"/>
              </w:rPr>
              <w:t>100.000</w:t>
            </w:r>
          </w:p>
        </w:tc>
        <w:tc>
          <w:tcPr>
            <w:tcW w:w="1277" w:type="dxa"/>
          </w:tcPr>
          <w:p w:rsidR="004254D9" w:rsidP="004254D9" w:rsidRDefault="004254D9" w14:paraId="4068C6EE" w14:textId="58663DEC">
            <w:r w:rsidRPr="0077103B">
              <w:t>45505T3K5</w:t>
            </w:r>
          </w:p>
        </w:tc>
      </w:tr>
      <w:tr w:rsidR="004254D9" w:rsidTr="00A62C6A" w14:paraId="35068BCE"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567C9D3D" w14:textId="3A969098">
            <w:pPr>
              <w:jc w:val="center"/>
            </w:pPr>
            <w:r w:rsidRPr="00847FBF">
              <w:rPr>
                <w:color w:val="000000"/>
              </w:rPr>
              <w:t>1/1/2030</w:t>
            </w:r>
          </w:p>
        </w:tc>
        <w:tc>
          <w:tcPr>
            <w:tcW w:w="1800" w:type="dxa"/>
            <w:tcBorders>
              <w:top w:val="nil"/>
              <w:left w:val="nil"/>
              <w:bottom w:val="nil"/>
              <w:right w:val="nil"/>
            </w:tcBorders>
            <w:shd w:val="clear" w:color="auto" w:fill="auto"/>
            <w:vAlign w:val="bottom"/>
          </w:tcPr>
          <w:p w:rsidRPr="00847FBF" w:rsidR="004254D9" w:rsidP="004254D9" w:rsidRDefault="004254D9" w14:paraId="05A9073A" w14:textId="0BA3C79E">
            <w:pPr>
              <w:tabs>
                <w:tab w:val="decimal" w:pos="1260"/>
              </w:tabs>
              <w:jc w:val="center"/>
              <w:rPr>
                <w:color w:val="000000"/>
              </w:rPr>
            </w:pPr>
            <w:r w:rsidRPr="0077103B">
              <w:rPr>
                <w:color w:val="000000"/>
              </w:rPr>
              <w:t>1,235,000</w:t>
            </w:r>
          </w:p>
        </w:tc>
        <w:tc>
          <w:tcPr>
            <w:tcW w:w="1277" w:type="dxa"/>
            <w:vAlign w:val="bottom"/>
          </w:tcPr>
          <w:p w:rsidR="004254D9" w:rsidP="004254D9" w:rsidRDefault="004254D9" w14:paraId="4086FC49" w14:textId="252DBE89">
            <w:r w:rsidRPr="0077103B">
              <w:rPr>
                <w:color w:val="000000"/>
              </w:rPr>
              <w:t>4.729</w:t>
            </w:r>
          </w:p>
        </w:tc>
        <w:tc>
          <w:tcPr>
            <w:tcW w:w="1277" w:type="dxa"/>
            <w:vAlign w:val="bottom"/>
          </w:tcPr>
          <w:p w:rsidR="004254D9" w:rsidP="004254D9" w:rsidRDefault="004254D9" w14:paraId="1589498C" w14:textId="66F341D8">
            <w:r w:rsidRPr="0077103B">
              <w:rPr>
                <w:color w:val="000000"/>
              </w:rPr>
              <w:t>100.000</w:t>
            </w:r>
          </w:p>
        </w:tc>
        <w:tc>
          <w:tcPr>
            <w:tcW w:w="1277" w:type="dxa"/>
          </w:tcPr>
          <w:p w:rsidR="004254D9" w:rsidP="004254D9" w:rsidRDefault="004254D9" w14:paraId="4ED74F35" w14:textId="1D31DE87">
            <w:r w:rsidRPr="0077103B">
              <w:t>45505T3L3</w:t>
            </w:r>
          </w:p>
        </w:tc>
      </w:tr>
      <w:tr w:rsidR="004254D9" w:rsidTr="00A62C6A" w14:paraId="737E7A8E"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1B16B949" w14:textId="3D35F6FA">
            <w:pPr>
              <w:jc w:val="center"/>
            </w:pPr>
            <w:r w:rsidRPr="00847FBF">
              <w:rPr>
                <w:color w:val="000000"/>
              </w:rPr>
              <w:t>7/1/2030</w:t>
            </w:r>
          </w:p>
        </w:tc>
        <w:tc>
          <w:tcPr>
            <w:tcW w:w="1800" w:type="dxa"/>
            <w:tcBorders>
              <w:top w:val="nil"/>
              <w:left w:val="nil"/>
              <w:bottom w:val="nil"/>
              <w:right w:val="nil"/>
            </w:tcBorders>
            <w:shd w:val="clear" w:color="auto" w:fill="auto"/>
            <w:vAlign w:val="bottom"/>
          </w:tcPr>
          <w:p w:rsidRPr="00847FBF" w:rsidR="004254D9" w:rsidP="004254D9" w:rsidRDefault="004254D9" w14:paraId="51CEECA0" w14:textId="39363B74">
            <w:pPr>
              <w:tabs>
                <w:tab w:val="decimal" w:pos="1260"/>
              </w:tabs>
              <w:jc w:val="center"/>
              <w:rPr>
                <w:color w:val="000000"/>
              </w:rPr>
            </w:pPr>
            <w:r w:rsidRPr="0077103B">
              <w:rPr>
                <w:color w:val="000000"/>
              </w:rPr>
              <w:t>1,280,000</w:t>
            </w:r>
          </w:p>
        </w:tc>
        <w:tc>
          <w:tcPr>
            <w:tcW w:w="1277" w:type="dxa"/>
            <w:vAlign w:val="bottom"/>
          </w:tcPr>
          <w:p w:rsidR="004254D9" w:rsidP="004254D9" w:rsidRDefault="004254D9" w14:paraId="0A589E6E" w14:textId="7093A715">
            <w:r w:rsidRPr="0077103B">
              <w:rPr>
                <w:color w:val="000000"/>
              </w:rPr>
              <w:t>4.779</w:t>
            </w:r>
          </w:p>
        </w:tc>
        <w:tc>
          <w:tcPr>
            <w:tcW w:w="1277" w:type="dxa"/>
            <w:vAlign w:val="bottom"/>
          </w:tcPr>
          <w:p w:rsidR="004254D9" w:rsidP="004254D9" w:rsidRDefault="004254D9" w14:paraId="04C28F72" w14:textId="6B7DB794">
            <w:pPr>
              <w:pStyle w:val="FootnoteText"/>
              <w:spacing w:after="0"/>
            </w:pPr>
            <w:r w:rsidRPr="0077103B">
              <w:rPr>
                <w:color w:val="000000"/>
              </w:rPr>
              <w:t>100.000</w:t>
            </w:r>
          </w:p>
        </w:tc>
        <w:tc>
          <w:tcPr>
            <w:tcW w:w="1277" w:type="dxa"/>
          </w:tcPr>
          <w:p w:rsidR="004254D9" w:rsidP="004254D9" w:rsidRDefault="004254D9" w14:paraId="3705C5B5" w14:textId="50F898C8">
            <w:r w:rsidRPr="0077103B">
              <w:t>45505T3M1</w:t>
            </w:r>
          </w:p>
        </w:tc>
      </w:tr>
      <w:tr w:rsidR="004254D9" w:rsidTr="00A62C6A" w14:paraId="5A2F1668"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44CB06B1" w14:textId="5A50B3E7">
            <w:pPr>
              <w:jc w:val="center"/>
            </w:pPr>
            <w:r w:rsidRPr="00847FBF">
              <w:rPr>
                <w:color w:val="000000"/>
              </w:rPr>
              <w:t>1/1/2031</w:t>
            </w:r>
          </w:p>
        </w:tc>
        <w:tc>
          <w:tcPr>
            <w:tcW w:w="1800" w:type="dxa"/>
            <w:tcBorders>
              <w:top w:val="nil"/>
              <w:left w:val="nil"/>
              <w:bottom w:val="nil"/>
              <w:right w:val="nil"/>
            </w:tcBorders>
            <w:shd w:val="clear" w:color="auto" w:fill="auto"/>
            <w:vAlign w:val="bottom"/>
          </w:tcPr>
          <w:p w:rsidRPr="00847FBF" w:rsidR="004254D9" w:rsidP="004254D9" w:rsidRDefault="004254D9" w14:paraId="3BCC80CE" w14:textId="5B71D714">
            <w:pPr>
              <w:tabs>
                <w:tab w:val="decimal" w:pos="1260"/>
              </w:tabs>
              <w:jc w:val="center"/>
              <w:rPr>
                <w:color w:val="000000"/>
              </w:rPr>
            </w:pPr>
            <w:r w:rsidRPr="0077103B">
              <w:rPr>
                <w:color w:val="000000"/>
              </w:rPr>
              <w:t>1,330,000</w:t>
            </w:r>
          </w:p>
        </w:tc>
        <w:tc>
          <w:tcPr>
            <w:tcW w:w="1277" w:type="dxa"/>
            <w:vAlign w:val="bottom"/>
          </w:tcPr>
          <w:p w:rsidR="004254D9" w:rsidP="004254D9" w:rsidRDefault="004254D9" w14:paraId="2F7623C5" w14:textId="395506B0">
            <w:r w:rsidRPr="0077103B">
              <w:rPr>
                <w:color w:val="000000"/>
              </w:rPr>
              <w:t>4.819</w:t>
            </w:r>
          </w:p>
        </w:tc>
        <w:tc>
          <w:tcPr>
            <w:tcW w:w="1277" w:type="dxa"/>
            <w:vAlign w:val="bottom"/>
          </w:tcPr>
          <w:p w:rsidR="004254D9" w:rsidP="004254D9" w:rsidRDefault="004254D9" w14:paraId="62471A9A" w14:textId="0DEE6169">
            <w:pPr>
              <w:pStyle w:val="FootnoteText"/>
              <w:spacing w:after="0"/>
            </w:pPr>
            <w:r w:rsidRPr="0077103B">
              <w:rPr>
                <w:color w:val="000000"/>
              </w:rPr>
              <w:t>100.000</w:t>
            </w:r>
          </w:p>
        </w:tc>
        <w:tc>
          <w:tcPr>
            <w:tcW w:w="1277" w:type="dxa"/>
          </w:tcPr>
          <w:p w:rsidR="004254D9" w:rsidP="004254D9" w:rsidRDefault="004254D9" w14:paraId="5CD45E36" w14:textId="0D1BB9F6">
            <w:r w:rsidRPr="0077103B">
              <w:t>45505T3N9</w:t>
            </w:r>
          </w:p>
        </w:tc>
      </w:tr>
      <w:tr w:rsidR="004254D9" w:rsidTr="00A62C6A" w14:paraId="2BC0F283"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6CE265B7" w14:textId="65129203">
            <w:pPr>
              <w:jc w:val="center"/>
            </w:pPr>
            <w:r w:rsidRPr="00847FBF">
              <w:rPr>
                <w:color w:val="000000"/>
              </w:rPr>
              <w:t>7/1/2031</w:t>
            </w:r>
          </w:p>
        </w:tc>
        <w:tc>
          <w:tcPr>
            <w:tcW w:w="1800" w:type="dxa"/>
            <w:tcBorders>
              <w:top w:val="nil"/>
              <w:left w:val="nil"/>
              <w:bottom w:val="nil"/>
              <w:right w:val="nil"/>
            </w:tcBorders>
            <w:shd w:val="clear" w:color="auto" w:fill="auto"/>
            <w:vAlign w:val="bottom"/>
          </w:tcPr>
          <w:p w:rsidRPr="00847FBF" w:rsidR="004254D9" w:rsidP="004254D9" w:rsidRDefault="004254D9" w14:paraId="44651DD5" w14:textId="21971941">
            <w:pPr>
              <w:tabs>
                <w:tab w:val="decimal" w:pos="1260"/>
              </w:tabs>
              <w:jc w:val="center"/>
              <w:rPr>
                <w:color w:val="000000"/>
              </w:rPr>
            </w:pPr>
            <w:r w:rsidRPr="0077103B">
              <w:rPr>
                <w:color w:val="000000"/>
              </w:rPr>
              <w:t>1,380,000</w:t>
            </w:r>
          </w:p>
        </w:tc>
        <w:tc>
          <w:tcPr>
            <w:tcW w:w="1277" w:type="dxa"/>
            <w:vAlign w:val="bottom"/>
          </w:tcPr>
          <w:p w:rsidR="004254D9" w:rsidP="004254D9" w:rsidRDefault="004254D9" w14:paraId="7636540F" w14:textId="3CB096E0">
            <w:r w:rsidRPr="0077103B">
              <w:rPr>
                <w:color w:val="000000"/>
              </w:rPr>
              <w:t>4.859</w:t>
            </w:r>
          </w:p>
        </w:tc>
        <w:tc>
          <w:tcPr>
            <w:tcW w:w="1277" w:type="dxa"/>
            <w:vAlign w:val="bottom"/>
          </w:tcPr>
          <w:p w:rsidR="004254D9" w:rsidP="004254D9" w:rsidRDefault="004254D9" w14:paraId="1D43C1EE" w14:textId="5D98D50F">
            <w:pPr>
              <w:pStyle w:val="FootnoteText"/>
              <w:spacing w:after="0"/>
            </w:pPr>
            <w:r w:rsidRPr="0077103B">
              <w:rPr>
                <w:color w:val="000000"/>
              </w:rPr>
              <w:t>100.000</w:t>
            </w:r>
          </w:p>
        </w:tc>
        <w:tc>
          <w:tcPr>
            <w:tcW w:w="1277" w:type="dxa"/>
          </w:tcPr>
          <w:p w:rsidR="004254D9" w:rsidP="004254D9" w:rsidRDefault="004254D9" w14:paraId="4B739250" w14:textId="4B327771">
            <w:r w:rsidRPr="0077103B">
              <w:t>45505T3P4</w:t>
            </w:r>
          </w:p>
        </w:tc>
      </w:tr>
      <w:tr w:rsidR="004254D9" w:rsidTr="00A62C6A" w14:paraId="2D4581E7"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7990701B" w14:textId="147868EA">
            <w:pPr>
              <w:jc w:val="center"/>
            </w:pPr>
            <w:r w:rsidRPr="00847FBF">
              <w:rPr>
                <w:color w:val="000000"/>
              </w:rPr>
              <w:t>1/1/2032</w:t>
            </w:r>
          </w:p>
        </w:tc>
        <w:tc>
          <w:tcPr>
            <w:tcW w:w="1800" w:type="dxa"/>
            <w:tcBorders>
              <w:top w:val="nil"/>
              <w:left w:val="nil"/>
              <w:bottom w:val="nil"/>
              <w:right w:val="nil"/>
            </w:tcBorders>
            <w:shd w:val="clear" w:color="auto" w:fill="auto"/>
            <w:vAlign w:val="bottom"/>
          </w:tcPr>
          <w:p w:rsidRPr="00847FBF" w:rsidR="004254D9" w:rsidP="004254D9" w:rsidRDefault="004254D9" w14:paraId="3529B93D" w14:textId="75817B21">
            <w:pPr>
              <w:tabs>
                <w:tab w:val="decimal" w:pos="1260"/>
              </w:tabs>
              <w:jc w:val="center"/>
              <w:rPr>
                <w:color w:val="000000"/>
              </w:rPr>
            </w:pPr>
            <w:r w:rsidRPr="0077103B">
              <w:rPr>
                <w:color w:val="000000"/>
              </w:rPr>
              <w:t>1,425,000</w:t>
            </w:r>
          </w:p>
        </w:tc>
        <w:tc>
          <w:tcPr>
            <w:tcW w:w="1277" w:type="dxa"/>
            <w:vAlign w:val="bottom"/>
          </w:tcPr>
          <w:p w:rsidR="004254D9" w:rsidP="004254D9" w:rsidRDefault="004254D9" w14:paraId="1CB435B3" w14:textId="035D8758">
            <w:r w:rsidRPr="0077103B">
              <w:rPr>
                <w:color w:val="000000"/>
              </w:rPr>
              <w:t>4.979</w:t>
            </w:r>
          </w:p>
        </w:tc>
        <w:tc>
          <w:tcPr>
            <w:tcW w:w="1277" w:type="dxa"/>
            <w:vAlign w:val="bottom"/>
          </w:tcPr>
          <w:p w:rsidR="004254D9" w:rsidP="004254D9" w:rsidRDefault="004254D9" w14:paraId="487CD404" w14:textId="361DF33E">
            <w:pPr>
              <w:pStyle w:val="FootnoteText"/>
              <w:spacing w:after="0"/>
            </w:pPr>
            <w:r w:rsidRPr="0077103B">
              <w:rPr>
                <w:color w:val="000000"/>
              </w:rPr>
              <w:t>100.000</w:t>
            </w:r>
          </w:p>
        </w:tc>
        <w:tc>
          <w:tcPr>
            <w:tcW w:w="1277" w:type="dxa"/>
          </w:tcPr>
          <w:p w:rsidR="004254D9" w:rsidP="004254D9" w:rsidRDefault="004254D9" w14:paraId="77DE7BEF" w14:textId="360954CF">
            <w:r w:rsidRPr="0077103B">
              <w:t>45505T3Q2</w:t>
            </w:r>
          </w:p>
        </w:tc>
      </w:tr>
      <w:tr w:rsidR="004254D9" w:rsidTr="00A62C6A" w14:paraId="65906BF8"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777DCDB2" w14:textId="6A5D9B18">
            <w:pPr>
              <w:jc w:val="center"/>
            </w:pPr>
            <w:r w:rsidRPr="00847FBF">
              <w:rPr>
                <w:color w:val="000000"/>
              </w:rPr>
              <w:t>7/1/2032</w:t>
            </w:r>
          </w:p>
        </w:tc>
        <w:tc>
          <w:tcPr>
            <w:tcW w:w="1800" w:type="dxa"/>
            <w:tcBorders>
              <w:top w:val="nil"/>
              <w:left w:val="nil"/>
              <w:bottom w:val="nil"/>
              <w:right w:val="nil"/>
            </w:tcBorders>
            <w:shd w:val="clear" w:color="auto" w:fill="auto"/>
            <w:vAlign w:val="bottom"/>
          </w:tcPr>
          <w:p w:rsidRPr="00847FBF" w:rsidR="004254D9" w:rsidP="004254D9" w:rsidRDefault="004254D9" w14:paraId="30490FEA" w14:textId="7A1600CD">
            <w:pPr>
              <w:tabs>
                <w:tab w:val="decimal" w:pos="1260"/>
              </w:tabs>
              <w:jc w:val="center"/>
              <w:rPr>
                <w:color w:val="000000"/>
              </w:rPr>
            </w:pPr>
            <w:r w:rsidRPr="0077103B">
              <w:rPr>
                <w:color w:val="000000"/>
              </w:rPr>
              <w:t>1,485,000</w:t>
            </w:r>
          </w:p>
        </w:tc>
        <w:tc>
          <w:tcPr>
            <w:tcW w:w="1277" w:type="dxa"/>
            <w:vAlign w:val="bottom"/>
          </w:tcPr>
          <w:p w:rsidR="004254D9" w:rsidP="004254D9" w:rsidRDefault="004254D9" w14:paraId="7DF44D5C" w14:textId="3929AF62">
            <w:r w:rsidRPr="0077103B">
              <w:rPr>
                <w:color w:val="000000"/>
              </w:rPr>
              <w:t>5.039</w:t>
            </w:r>
          </w:p>
        </w:tc>
        <w:tc>
          <w:tcPr>
            <w:tcW w:w="1277" w:type="dxa"/>
            <w:vAlign w:val="bottom"/>
          </w:tcPr>
          <w:p w:rsidR="004254D9" w:rsidP="004254D9" w:rsidRDefault="004254D9" w14:paraId="2048BBF5" w14:textId="0F3A26A2">
            <w:pPr>
              <w:pStyle w:val="FootnoteText"/>
              <w:spacing w:after="0"/>
            </w:pPr>
            <w:r w:rsidRPr="0077103B">
              <w:rPr>
                <w:color w:val="000000"/>
              </w:rPr>
              <w:t>100.000</w:t>
            </w:r>
          </w:p>
        </w:tc>
        <w:tc>
          <w:tcPr>
            <w:tcW w:w="1277" w:type="dxa"/>
          </w:tcPr>
          <w:p w:rsidR="004254D9" w:rsidP="004254D9" w:rsidRDefault="004254D9" w14:paraId="215F7175" w14:textId="44E8DB22">
            <w:r w:rsidRPr="0077103B">
              <w:t>45505T3R0</w:t>
            </w:r>
          </w:p>
        </w:tc>
      </w:tr>
      <w:tr w:rsidR="004254D9" w:rsidTr="00A62C6A" w14:paraId="21C876CF"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31B4C843" w14:textId="2413C981">
            <w:pPr>
              <w:jc w:val="center"/>
            </w:pPr>
            <w:r w:rsidRPr="00847FBF">
              <w:rPr>
                <w:color w:val="000000"/>
              </w:rPr>
              <w:t>1/1/2033</w:t>
            </w:r>
          </w:p>
        </w:tc>
        <w:tc>
          <w:tcPr>
            <w:tcW w:w="1800" w:type="dxa"/>
            <w:tcBorders>
              <w:top w:val="nil"/>
              <w:left w:val="nil"/>
              <w:bottom w:val="nil"/>
              <w:right w:val="nil"/>
            </w:tcBorders>
            <w:shd w:val="clear" w:color="auto" w:fill="auto"/>
            <w:vAlign w:val="bottom"/>
          </w:tcPr>
          <w:p w:rsidRPr="00847FBF" w:rsidR="004254D9" w:rsidP="004254D9" w:rsidRDefault="004254D9" w14:paraId="7F73825C" w14:textId="0635AD63">
            <w:pPr>
              <w:tabs>
                <w:tab w:val="decimal" w:pos="1260"/>
              </w:tabs>
              <w:jc w:val="center"/>
              <w:rPr>
                <w:color w:val="000000"/>
              </w:rPr>
            </w:pPr>
            <w:r w:rsidRPr="0077103B">
              <w:rPr>
                <w:color w:val="000000"/>
              </w:rPr>
              <w:t>1,535,000</w:t>
            </w:r>
          </w:p>
        </w:tc>
        <w:tc>
          <w:tcPr>
            <w:tcW w:w="1277" w:type="dxa"/>
            <w:vAlign w:val="bottom"/>
          </w:tcPr>
          <w:p w:rsidR="004254D9" w:rsidP="004254D9" w:rsidRDefault="004254D9" w14:paraId="0D5D0354" w14:textId="54496822">
            <w:r w:rsidRPr="0077103B">
              <w:rPr>
                <w:color w:val="000000"/>
              </w:rPr>
              <w:t>5.069</w:t>
            </w:r>
          </w:p>
        </w:tc>
        <w:tc>
          <w:tcPr>
            <w:tcW w:w="1277" w:type="dxa"/>
            <w:vAlign w:val="bottom"/>
          </w:tcPr>
          <w:p w:rsidR="004254D9" w:rsidP="004254D9" w:rsidRDefault="004254D9" w14:paraId="44556364" w14:textId="1F2CD0E5">
            <w:pPr>
              <w:pStyle w:val="FootnoteText"/>
              <w:spacing w:after="0"/>
            </w:pPr>
            <w:r w:rsidRPr="0077103B">
              <w:rPr>
                <w:color w:val="000000"/>
              </w:rPr>
              <w:t>100.000</w:t>
            </w:r>
          </w:p>
        </w:tc>
        <w:tc>
          <w:tcPr>
            <w:tcW w:w="1277" w:type="dxa"/>
          </w:tcPr>
          <w:p w:rsidR="004254D9" w:rsidP="004254D9" w:rsidRDefault="004254D9" w14:paraId="1AD2BDCF" w14:textId="1556B44A">
            <w:r w:rsidRPr="0077103B">
              <w:t>45505T3S8</w:t>
            </w:r>
          </w:p>
        </w:tc>
      </w:tr>
      <w:tr w:rsidR="004254D9" w:rsidTr="00A62C6A" w14:paraId="33AE2243"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38598DE6" w14:textId="26260EEA">
            <w:pPr>
              <w:jc w:val="center"/>
            </w:pPr>
            <w:r w:rsidRPr="00847FBF">
              <w:rPr>
                <w:color w:val="000000"/>
              </w:rPr>
              <w:t>7/1/2033</w:t>
            </w:r>
          </w:p>
        </w:tc>
        <w:tc>
          <w:tcPr>
            <w:tcW w:w="1800" w:type="dxa"/>
            <w:tcBorders>
              <w:top w:val="nil"/>
              <w:left w:val="nil"/>
              <w:bottom w:val="nil"/>
              <w:right w:val="nil"/>
            </w:tcBorders>
            <w:shd w:val="clear" w:color="auto" w:fill="auto"/>
            <w:vAlign w:val="bottom"/>
          </w:tcPr>
          <w:p w:rsidRPr="00847FBF" w:rsidR="004254D9" w:rsidP="004254D9" w:rsidRDefault="004254D9" w14:paraId="5EA57C9B" w14:textId="0D391400">
            <w:pPr>
              <w:tabs>
                <w:tab w:val="decimal" w:pos="1260"/>
              </w:tabs>
              <w:jc w:val="center"/>
              <w:rPr>
                <w:color w:val="000000"/>
              </w:rPr>
            </w:pPr>
            <w:r w:rsidRPr="0077103B">
              <w:rPr>
                <w:color w:val="000000"/>
              </w:rPr>
              <w:t>1,595,000</w:t>
            </w:r>
          </w:p>
        </w:tc>
        <w:tc>
          <w:tcPr>
            <w:tcW w:w="1277" w:type="dxa"/>
            <w:vAlign w:val="bottom"/>
          </w:tcPr>
          <w:p w:rsidR="004254D9" w:rsidP="004254D9" w:rsidRDefault="004254D9" w14:paraId="0DAA2E2A" w14:textId="61C0F081">
            <w:r w:rsidRPr="0077103B">
              <w:rPr>
                <w:color w:val="000000"/>
              </w:rPr>
              <w:t>5.129</w:t>
            </w:r>
          </w:p>
        </w:tc>
        <w:tc>
          <w:tcPr>
            <w:tcW w:w="1277" w:type="dxa"/>
            <w:vAlign w:val="bottom"/>
          </w:tcPr>
          <w:p w:rsidR="004254D9" w:rsidP="004254D9" w:rsidRDefault="004254D9" w14:paraId="54B9AB4B" w14:textId="41D78105">
            <w:pPr>
              <w:pStyle w:val="FootnoteText"/>
              <w:spacing w:after="0"/>
            </w:pPr>
            <w:r w:rsidRPr="0077103B">
              <w:rPr>
                <w:color w:val="000000"/>
              </w:rPr>
              <w:t>100.000</w:t>
            </w:r>
          </w:p>
        </w:tc>
        <w:tc>
          <w:tcPr>
            <w:tcW w:w="1277" w:type="dxa"/>
          </w:tcPr>
          <w:p w:rsidR="004254D9" w:rsidP="004254D9" w:rsidRDefault="004254D9" w14:paraId="71ED3243" w14:textId="037D75D6">
            <w:r w:rsidRPr="0077103B">
              <w:t>45505T3T6</w:t>
            </w:r>
          </w:p>
        </w:tc>
      </w:tr>
      <w:tr w:rsidR="004254D9" w:rsidTr="00A62C6A" w14:paraId="0169700A"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56309691" w14:textId="1D16F190">
            <w:pPr>
              <w:jc w:val="center"/>
            </w:pPr>
            <w:r w:rsidRPr="00847FBF">
              <w:rPr>
                <w:color w:val="000000"/>
              </w:rPr>
              <w:t>1/1/2034</w:t>
            </w:r>
          </w:p>
        </w:tc>
        <w:tc>
          <w:tcPr>
            <w:tcW w:w="1800" w:type="dxa"/>
            <w:tcBorders>
              <w:top w:val="nil"/>
              <w:left w:val="nil"/>
              <w:bottom w:val="nil"/>
              <w:right w:val="nil"/>
            </w:tcBorders>
            <w:shd w:val="clear" w:color="auto" w:fill="auto"/>
            <w:vAlign w:val="bottom"/>
          </w:tcPr>
          <w:p w:rsidRPr="00847FBF" w:rsidR="004254D9" w:rsidP="004254D9" w:rsidRDefault="004254D9" w14:paraId="210D119E" w14:textId="464231FC">
            <w:pPr>
              <w:tabs>
                <w:tab w:val="decimal" w:pos="1260"/>
              </w:tabs>
              <w:jc w:val="center"/>
              <w:rPr>
                <w:color w:val="000000"/>
              </w:rPr>
            </w:pPr>
            <w:r w:rsidRPr="0077103B">
              <w:rPr>
                <w:color w:val="000000"/>
              </w:rPr>
              <w:t>1,650,000</w:t>
            </w:r>
          </w:p>
        </w:tc>
        <w:tc>
          <w:tcPr>
            <w:tcW w:w="1277" w:type="dxa"/>
            <w:vAlign w:val="bottom"/>
          </w:tcPr>
          <w:p w:rsidR="004254D9" w:rsidP="004254D9" w:rsidRDefault="004254D9" w14:paraId="0D69A52E" w14:textId="74845ACC">
            <w:r w:rsidRPr="0077103B">
              <w:rPr>
                <w:color w:val="000000"/>
              </w:rPr>
              <w:t>5.179</w:t>
            </w:r>
          </w:p>
        </w:tc>
        <w:tc>
          <w:tcPr>
            <w:tcW w:w="1277" w:type="dxa"/>
            <w:vAlign w:val="bottom"/>
          </w:tcPr>
          <w:p w:rsidR="004254D9" w:rsidP="004254D9" w:rsidRDefault="004254D9" w14:paraId="28F293D4" w14:textId="149C448A">
            <w:r w:rsidRPr="0077103B">
              <w:rPr>
                <w:color w:val="000000"/>
              </w:rPr>
              <w:t>100.000</w:t>
            </w:r>
          </w:p>
        </w:tc>
        <w:tc>
          <w:tcPr>
            <w:tcW w:w="1277" w:type="dxa"/>
          </w:tcPr>
          <w:p w:rsidR="004254D9" w:rsidP="004254D9" w:rsidRDefault="004254D9" w14:paraId="7D1DF5BE" w14:textId="49FE227F">
            <w:r w:rsidRPr="0077103B">
              <w:t>45505T3U3</w:t>
            </w:r>
          </w:p>
        </w:tc>
      </w:tr>
      <w:tr w:rsidR="004254D9" w:rsidTr="00A62C6A" w14:paraId="188D34D6"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44FBE668" w14:textId="143DF0E4">
            <w:pPr>
              <w:jc w:val="center"/>
            </w:pPr>
            <w:r w:rsidRPr="00847FBF">
              <w:rPr>
                <w:color w:val="000000"/>
              </w:rPr>
              <w:t>7/1/2034</w:t>
            </w:r>
          </w:p>
        </w:tc>
        <w:tc>
          <w:tcPr>
            <w:tcW w:w="1800" w:type="dxa"/>
            <w:tcBorders>
              <w:top w:val="nil"/>
              <w:left w:val="nil"/>
              <w:bottom w:val="nil"/>
              <w:right w:val="nil"/>
            </w:tcBorders>
            <w:shd w:val="clear" w:color="auto" w:fill="auto"/>
            <w:vAlign w:val="bottom"/>
          </w:tcPr>
          <w:p w:rsidRPr="00847FBF" w:rsidR="004254D9" w:rsidP="004254D9" w:rsidRDefault="004254D9" w14:paraId="0EC2F528" w14:textId="46FAD58D">
            <w:pPr>
              <w:tabs>
                <w:tab w:val="decimal" w:pos="1260"/>
              </w:tabs>
              <w:jc w:val="center"/>
              <w:rPr>
                <w:color w:val="000000"/>
              </w:rPr>
            </w:pPr>
            <w:r w:rsidRPr="0077103B">
              <w:rPr>
                <w:color w:val="000000"/>
              </w:rPr>
              <w:t>1,715,000</w:t>
            </w:r>
          </w:p>
        </w:tc>
        <w:tc>
          <w:tcPr>
            <w:tcW w:w="1277" w:type="dxa"/>
            <w:vAlign w:val="bottom"/>
          </w:tcPr>
          <w:p w:rsidR="004254D9" w:rsidP="004254D9" w:rsidRDefault="004254D9" w14:paraId="6843C882" w14:textId="1FDF6A86">
            <w:r w:rsidRPr="0077103B">
              <w:rPr>
                <w:color w:val="000000"/>
              </w:rPr>
              <w:t>5.219</w:t>
            </w:r>
          </w:p>
        </w:tc>
        <w:tc>
          <w:tcPr>
            <w:tcW w:w="1277" w:type="dxa"/>
            <w:vAlign w:val="bottom"/>
          </w:tcPr>
          <w:p w:rsidR="004254D9" w:rsidP="004254D9" w:rsidRDefault="004254D9" w14:paraId="0B702049" w14:textId="59066A86">
            <w:r w:rsidRPr="0077103B">
              <w:rPr>
                <w:color w:val="000000"/>
              </w:rPr>
              <w:t>100.000</w:t>
            </w:r>
          </w:p>
        </w:tc>
        <w:tc>
          <w:tcPr>
            <w:tcW w:w="1277" w:type="dxa"/>
          </w:tcPr>
          <w:p w:rsidR="004254D9" w:rsidP="004254D9" w:rsidRDefault="004254D9" w14:paraId="67934A10" w14:textId="66317A55">
            <w:r w:rsidRPr="0077103B">
              <w:t>45505T3V1</w:t>
            </w:r>
          </w:p>
        </w:tc>
      </w:tr>
      <w:tr w:rsidR="004254D9" w:rsidTr="00A62C6A" w14:paraId="530BC30F"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7C30B43B" w14:textId="274F0A8F">
            <w:pPr>
              <w:jc w:val="center"/>
            </w:pPr>
            <w:r w:rsidRPr="00847FBF">
              <w:rPr>
                <w:color w:val="000000"/>
              </w:rPr>
              <w:t>1/1/2035</w:t>
            </w:r>
          </w:p>
        </w:tc>
        <w:tc>
          <w:tcPr>
            <w:tcW w:w="1800" w:type="dxa"/>
            <w:tcBorders>
              <w:top w:val="nil"/>
              <w:left w:val="nil"/>
              <w:bottom w:val="nil"/>
              <w:right w:val="nil"/>
            </w:tcBorders>
            <w:shd w:val="clear" w:color="auto" w:fill="auto"/>
            <w:vAlign w:val="bottom"/>
          </w:tcPr>
          <w:p w:rsidRPr="00847FBF" w:rsidR="004254D9" w:rsidP="004254D9" w:rsidRDefault="004254D9" w14:paraId="737F2800" w14:textId="0CFB45FB">
            <w:pPr>
              <w:tabs>
                <w:tab w:val="decimal" w:pos="1260"/>
              </w:tabs>
              <w:jc w:val="center"/>
              <w:rPr>
                <w:color w:val="000000"/>
              </w:rPr>
            </w:pPr>
            <w:r w:rsidRPr="0077103B">
              <w:rPr>
                <w:color w:val="000000"/>
              </w:rPr>
              <w:t>885,000</w:t>
            </w:r>
          </w:p>
        </w:tc>
        <w:tc>
          <w:tcPr>
            <w:tcW w:w="1277" w:type="dxa"/>
            <w:vAlign w:val="bottom"/>
          </w:tcPr>
          <w:p w:rsidR="004254D9" w:rsidP="004254D9" w:rsidRDefault="004254D9" w14:paraId="702E8FD8" w14:textId="1EB860C3">
            <w:r w:rsidRPr="0077103B">
              <w:rPr>
                <w:color w:val="000000"/>
              </w:rPr>
              <w:t>5.289</w:t>
            </w:r>
          </w:p>
        </w:tc>
        <w:tc>
          <w:tcPr>
            <w:tcW w:w="1277" w:type="dxa"/>
            <w:vAlign w:val="bottom"/>
          </w:tcPr>
          <w:p w:rsidR="004254D9" w:rsidP="004254D9" w:rsidRDefault="004254D9" w14:paraId="45513772" w14:textId="2264E39F">
            <w:r w:rsidRPr="0077103B">
              <w:rPr>
                <w:color w:val="000000"/>
              </w:rPr>
              <w:t>100.000</w:t>
            </w:r>
          </w:p>
        </w:tc>
        <w:tc>
          <w:tcPr>
            <w:tcW w:w="1277" w:type="dxa"/>
          </w:tcPr>
          <w:p w:rsidR="004254D9" w:rsidP="004254D9" w:rsidRDefault="004254D9" w14:paraId="57C8F27E" w14:textId="137D08E1">
            <w:r w:rsidRPr="0077103B">
              <w:t>45505T3W9</w:t>
            </w:r>
          </w:p>
        </w:tc>
      </w:tr>
      <w:tr w:rsidR="004254D9" w:rsidTr="00A62C6A" w14:paraId="4D0484F5" w14:textId="77777777">
        <w:trPr>
          <w:jc w:val="center"/>
        </w:trPr>
        <w:tc>
          <w:tcPr>
            <w:tcW w:w="1800" w:type="dxa"/>
            <w:tcBorders>
              <w:top w:val="nil"/>
              <w:left w:val="nil"/>
              <w:bottom w:val="nil"/>
              <w:right w:val="nil"/>
            </w:tcBorders>
            <w:shd w:val="clear" w:color="auto" w:fill="auto"/>
            <w:vAlign w:val="bottom"/>
          </w:tcPr>
          <w:p w:rsidRPr="00847FBF" w:rsidR="004254D9" w:rsidP="004254D9" w:rsidRDefault="004254D9" w14:paraId="16B8E5E0" w14:textId="1E54DE7A">
            <w:pPr>
              <w:jc w:val="center"/>
            </w:pPr>
            <w:r w:rsidRPr="00847FBF">
              <w:rPr>
                <w:color w:val="000000"/>
              </w:rPr>
              <w:t>7/1/2035</w:t>
            </w:r>
          </w:p>
        </w:tc>
        <w:tc>
          <w:tcPr>
            <w:tcW w:w="1800" w:type="dxa"/>
            <w:tcBorders>
              <w:top w:val="nil"/>
              <w:left w:val="nil"/>
              <w:bottom w:val="nil"/>
              <w:right w:val="nil"/>
            </w:tcBorders>
            <w:shd w:val="clear" w:color="auto" w:fill="auto"/>
            <w:vAlign w:val="bottom"/>
          </w:tcPr>
          <w:p w:rsidRPr="00847FBF" w:rsidR="004254D9" w:rsidP="004254D9" w:rsidRDefault="004254D9" w14:paraId="4E57788C" w14:textId="763CF03D">
            <w:pPr>
              <w:tabs>
                <w:tab w:val="decimal" w:pos="1260"/>
              </w:tabs>
              <w:jc w:val="center"/>
              <w:rPr>
                <w:color w:val="000000"/>
              </w:rPr>
            </w:pPr>
            <w:r w:rsidRPr="0077103B">
              <w:rPr>
                <w:color w:val="000000"/>
              </w:rPr>
              <w:t>940,000</w:t>
            </w:r>
          </w:p>
        </w:tc>
        <w:tc>
          <w:tcPr>
            <w:tcW w:w="1277" w:type="dxa"/>
            <w:vAlign w:val="bottom"/>
          </w:tcPr>
          <w:p w:rsidR="004254D9" w:rsidP="004254D9" w:rsidRDefault="004254D9" w14:paraId="0CB87937" w14:textId="1AD95796">
            <w:r w:rsidRPr="0077103B">
              <w:rPr>
                <w:color w:val="000000"/>
              </w:rPr>
              <w:t>5.319</w:t>
            </w:r>
          </w:p>
        </w:tc>
        <w:tc>
          <w:tcPr>
            <w:tcW w:w="1277" w:type="dxa"/>
            <w:vAlign w:val="bottom"/>
          </w:tcPr>
          <w:p w:rsidR="004254D9" w:rsidP="004254D9" w:rsidRDefault="004254D9" w14:paraId="1C0EEB1B" w14:textId="1F01E00C">
            <w:r w:rsidRPr="0077103B">
              <w:rPr>
                <w:color w:val="000000"/>
              </w:rPr>
              <w:t>100.000</w:t>
            </w:r>
          </w:p>
        </w:tc>
        <w:tc>
          <w:tcPr>
            <w:tcW w:w="1277" w:type="dxa"/>
          </w:tcPr>
          <w:p w:rsidR="004254D9" w:rsidP="004254D9" w:rsidRDefault="004254D9" w14:paraId="035E2029" w14:textId="25FCFBEF">
            <w:r w:rsidRPr="0077103B">
              <w:t>45505T3X7</w:t>
            </w:r>
          </w:p>
        </w:tc>
      </w:tr>
    </w:tbl>
    <w:p w:rsidRPr="00A762F4" w:rsidR="00A919F6" w:rsidP="00A919F6" w:rsidRDefault="00A919F6" w14:paraId="5AFB16A3" w14:textId="77777777">
      <w:pPr>
        <w:jc w:val="center"/>
      </w:pPr>
    </w:p>
    <w:p w:rsidR="00A919F6" w:rsidP="00F83817" w:rsidRDefault="00A919F6" w14:paraId="4B15AC23" w14:textId="77777777">
      <w:pPr>
        <w:tabs>
          <w:tab w:val="left" w:pos="1736"/>
        </w:tabs>
      </w:pPr>
    </w:p>
    <w:p w:rsidRPr="00F83817" w:rsidR="00847FBF" w:rsidP="00847FBF" w:rsidRDefault="00847FBF" w14:paraId="7D14DDED" w14:textId="3EA0A6A5">
      <w:pPr>
        <w:jc w:val="center"/>
      </w:pPr>
      <w:r w:rsidRPr="00F83817">
        <w:t>$</w:t>
      </w:r>
      <w:r w:rsidR="00C15C9A">
        <w:rPr>
          <w:color w:val="000000"/>
        </w:rPr>
        <w:t>8,</w:t>
      </w:r>
      <w:r>
        <w:rPr>
          <w:color w:val="000000"/>
        </w:rPr>
        <w:t>670,000</w:t>
      </w:r>
      <w:r>
        <w:t xml:space="preserve">    </w:t>
      </w:r>
      <w:r w:rsidR="004254D9">
        <w:t>5.449</w:t>
      </w:r>
      <w:r w:rsidRPr="00F83817">
        <w:t xml:space="preserve">%  </w:t>
      </w:r>
      <w:r>
        <w:t xml:space="preserve">2024 Series C-2 </w:t>
      </w:r>
      <w:r w:rsidRPr="003E63FD">
        <w:t>Term Bonds</w:t>
      </w:r>
      <w:r w:rsidR="004254D9">
        <w:t xml:space="preserve"> due July 1, 2039</w:t>
      </w:r>
      <w:r>
        <w:t xml:space="preserve"> </w:t>
      </w:r>
      <w:r w:rsidRPr="00F83817">
        <w:t>(CUSIP</w:t>
      </w:r>
      <w:r w:rsidRPr="00F83817">
        <w:rPr>
          <w:vertAlign w:val="superscript"/>
        </w:rPr>
        <w:t>1</w:t>
      </w:r>
      <w:r>
        <w:t>:</w:t>
      </w:r>
      <w:r w:rsidRPr="004254D9" w:rsidR="004254D9">
        <w:t xml:space="preserve"> </w:t>
      </w:r>
      <w:r w:rsidR="004254D9">
        <w:t>45505T3Y5)  -  Price 100.000</w:t>
      </w:r>
      <w:r w:rsidRPr="00F83817">
        <w:t>%</w:t>
      </w:r>
    </w:p>
    <w:p w:rsidRPr="00F83817" w:rsidR="00847FBF" w:rsidP="00847FBF" w:rsidRDefault="00847FBF" w14:paraId="2492BBFE" w14:textId="71B7325F">
      <w:pPr>
        <w:jc w:val="center"/>
      </w:pPr>
      <w:r>
        <w:t xml:space="preserve">    </w:t>
      </w:r>
      <w:r w:rsidRPr="00F83817">
        <w:t>$</w:t>
      </w:r>
      <w:r>
        <w:rPr>
          <w:color w:val="000000"/>
        </w:rPr>
        <w:t>15,095,000</w:t>
      </w:r>
      <w:r>
        <w:t xml:space="preserve"> </w:t>
      </w:r>
      <w:r w:rsidRPr="003621E9">
        <w:t xml:space="preserve">   </w:t>
      </w:r>
      <w:r w:rsidR="004254D9">
        <w:t>5.794</w:t>
      </w:r>
      <w:r>
        <w:t xml:space="preserve">%  2024 Series </w:t>
      </w:r>
      <w:r w:rsidR="004254D9">
        <w:t>C-2 Term Bonds due July 1, 2044</w:t>
      </w:r>
      <w:r>
        <w:t xml:space="preserve"> </w:t>
      </w:r>
      <w:r w:rsidRPr="00F83817">
        <w:t>(CUSIP</w:t>
      </w:r>
      <w:r w:rsidRPr="00F83817">
        <w:rPr>
          <w:vertAlign w:val="superscript"/>
        </w:rPr>
        <w:t>1</w:t>
      </w:r>
      <w:r w:rsidR="004254D9">
        <w:t>:</w:t>
      </w:r>
      <w:r w:rsidRPr="004254D9" w:rsidR="004254D9">
        <w:t xml:space="preserve"> </w:t>
      </w:r>
      <w:r w:rsidR="004254D9">
        <w:t>45505T3Z2)  -  Price 100.000</w:t>
      </w:r>
      <w:r w:rsidRPr="00F83817">
        <w:t>%</w:t>
      </w:r>
    </w:p>
    <w:p w:rsidR="00847FBF" w:rsidP="00847FBF" w:rsidRDefault="00847FBF" w14:paraId="3AEED8B0" w14:textId="023BFA8E">
      <w:pPr>
        <w:tabs>
          <w:tab w:val="left" w:pos="1736"/>
        </w:tabs>
        <w:jc w:val="center"/>
      </w:pPr>
      <w:r>
        <w:t xml:space="preserve">    </w:t>
      </w:r>
      <w:r w:rsidRPr="00F83817">
        <w:t>$</w:t>
      </w:r>
      <w:r w:rsidR="00A62C6A">
        <w:rPr>
          <w:color w:val="000000"/>
        </w:rPr>
        <w:t>16,730</w:t>
      </w:r>
      <w:r>
        <w:rPr>
          <w:color w:val="000000"/>
        </w:rPr>
        <w:t>,000</w:t>
      </w:r>
      <w:r w:rsidR="004254D9">
        <w:t xml:space="preserve"> </w:t>
      </w:r>
      <w:r>
        <w:t xml:space="preserve">   </w:t>
      </w:r>
      <w:r w:rsidR="004254D9">
        <w:t>5.894</w:t>
      </w:r>
      <w:r>
        <w:t xml:space="preserve">%  2024 Series </w:t>
      </w:r>
      <w:r w:rsidR="004254D9">
        <w:t>C-2 Term Bonds due July 1, 2048</w:t>
      </w:r>
      <w:r>
        <w:t xml:space="preserve"> </w:t>
      </w:r>
      <w:r w:rsidRPr="00F83817">
        <w:t>(CUSIP</w:t>
      </w:r>
      <w:r w:rsidRPr="00F83817">
        <w:rPr>
          <w:vertAlign w:val="superscript"/>
        </w:rPr>
        <w:t>1</w:t>
      </w:r>
      <w:r w:rsidR="004254D9">
        <w:t>:</w:t>
      </w:r>
      <w:r w:rsidRPr="004254D9" w:rsidR="004254D9">
        <w:t xml:space="preserve"> </w:t>
      </w:r>
      <w:r w:rsidR="004254D9">
        <w:t>45505T4A6)  -  Price 100.000</w:t>
      </w:r>
      <w:r w:rsidRPr="00F83817">
        <w:t>%</w:t>
      </w:r>
    </w:p>
    <w:p w:rsidRPr="00F83817" w:rsidR="00F730FE" w:rsidP="00254995" w:rsidRDefault="00254995" w14:paraId="63DA2A7C" w14:textId="7A0931E0">
      <w:pPr>
        <w:tabs>
          <w:tab w:val="left" w:pos="1736"/>
        </w:tabs>
        <w:jc w:val="center"/>
      </w:pPr>
      <w:r w:rsidRPr="00F83817">
        <w:t>$</w:t>
      </w:r>
      <w:r w:rsidR="00847FBF">
        <w:t>32,190,000</w:t>
      </w:r>
      <w:r w:rsidR="004254D9">
        <w:t xml:space="preserve">   6.250</w:t>
      </w:r>
      <w:r>
        <w:t xml:space="preserve">%  </w:t>
      </w:r>
      <w:r w:rsidR="00A1322C">
        <w:t>2024C-2</w:t>
      </w:r>
      <w:r w:rsidR="00ED4CE9">
        <w:t xml:space="preserve"> PAC Bonds due </w:t>
      </w:r>
      <w:r w:rsidR="00847FBF">
        <w:t>January 1, 2054</w:t>
      </w:r>
      <w:r>
        <w:t xml:space="preserve"> </w:t>
      </w:r>
      <w:r w:rsidRPr="00F83817">
        <w:t>(CUSIP</w:t>
      </w:r>
      <w:r w:rsidRPr="00F83817">
        <w:rPr>
          <w:vertAlign w:val="superscript"/>
        </w:rPr>
        <w:t>1</w:t>
      </w:r>
      <w:r w:rsidR="004254D9">
        <w:t>:</w:t>
      </w:r>
      <w:r w:rsidRPr="004254D9" w:rsidR="004254D9">
        <w:t xml:space="preserve"> </w:t>
      </w:r>
      <w:r w:rsidR="004254D9">
        <w:t>45505T4B4)  -  Price 104.165</w:t>
      </w:r>
      <w:r w:rsidRPr="00F83817">
        <w:t>%</w:t>
      </w:r>
    </w:p>
    <w:p w:rsidR="00F83817" w:rsidP="00F83817" w:rsidRDefault="00F83817" w14:paraId="50205B92" w14:textId="7BC6F285"/>
    <w:p w:rsidRPr="00F83817" w:rsidR="00AA223A" w:rsidP="00F83817" w:rsidRDefault="00AA223A" w14:paraId="1A52BFA5" w14:textId="77777777">
      <w:pPr>
        <w:sectPr w:rsidRPr="00F83817" w:rsidR="00AA223A">
          <w:headerReference w:type="default" r:id="rId14"/>
          <w:footerReference w:type="default" r:id="rId15"/>
          <w:headerReference w:type="first" r:id="rId16"/>
          <w:footerReference w:type="first" r:id="rId17"/>
          <w:footnotePr>
            <w:numRestart w:val="eachPage"/>
          </w:footnotePr>
          <w:pgSz w:w="12240" w:h="15840"/>
          <w:pgMar w:top="1440" w:right="1440" w:bottom="1440" w:left="1440" w:header="1440" w:footer="720" w:gutter="0"/>
          <w:pgNumType w:fmt="lowerRoman"/>
          <w:cols w:space="720"/>
          <w:titlePg/>
        </w:sectPr>
      </w:pPr>
    </w:p>
    <w:p w:rsidRPr="00AA223A" w:rsidR="001D31AE" w:rsidP="001D31AE" w:rsidRDefault="001D31AE" w14:paraId="10BA8D47" w14:textId="2E95A8FF">
      <w:pPr>
        <w:pStyle w:val="atitlenobold"/>
        <w:widowControl/>
        <w:rPr>
          <w:sz w:val="24"/>
          <w:szCs w:val="24"/>
        </w:rPr>
      </w:pPr>
      <w:bookmarkStart w:name="ElPgBr5" w:id="24"/>
      <w:bookmarkEnd w:id="24"/>
      <w:r w:rsidRPr="00AA223A">
        <w:rPr>
          <w:sz w:val="24"/>
          <w:szCs w:val="24"/>
        </w:rPr>
        <w:lastRenderedPageBreak/>
        <w:t>ERIC HOLCOMB</w:t>
      </w:r>
      <w:r w:rsidRPr="00AA223A">
        <w:rPr>
          <w:sz w:val="24"/>
          <w:szCs w:val="24"/>
        </w:rPr>
        <w:br/>
        <w:t>Governor of the State of Indiana</w:t>
      </w:r>
      <w:r w:rsidRPr="00AA223A">
        <w:rPr>
          <w:sz w:val="24"/>
          <w:szCs w:val="24"/>
        </w:rPr>
        <w:br/>
      </w:r>
      <w:r w:rsidRPr="00AA223A">
        <w:rPr>
          <w:sz w:val="24"/>
          <w:szCs w:val="24"/>
        </w:rPr>
        <w:br/>
      </w:r>
    </w:p>
    <w:p w:rsidRPr="00B34407" w:rsidR="001D31AE" w:rsidP="001D31AE" w:rsidRDefault="001D31AE" w14:paraId="5FCA9C8E" w14:textId="77777777">
      <w:pPr>
        <w:pStyle w:val="atitle"/>
        <w:widowControl/>
        <w:rPr>
          <w:sz w:val="36"/>
          <w:szCs w:val="36"/>
        </w:rPr>
      </w:pPr>
      <w:bookmarkStart w:name="_DV_M55" w:id="25"/>
      <w:bookmarkEnd w:id="25"/>
      <w:r w:rsidRPr="00B34407">
        <w:rPr>
          <w:sz w:val="36"/>
          <w:szCs w:val="36"/>
        </w:rPr>
        <w:t>INDIANA HOUSING AND COMMUNITY DEVELOPMENT AUTHORITY</w:t>
      </w:r>
    </w:p>
    <w:p w:rsidRPr="00AA223A" w:rsidR="001D31AE" w:rsidP="001D31AE" w:rsidRDefault="001D31AE" w14:paraId="7AE4E387" w14:textId="77777777">
      <w:pPr>
        <w:pStyle w:val="atitlenobold"/>
        <w:widowControl/>
        <w:rPr>
          <w:caps/>
          <w:sz w:val="24"/>
          <w:szCs w:val="24"/>
          <w:vertAlign w:val="superscript"/>
        </w:rPr>
      </w:pPr>
      <w:bookmarkStart w:name="_DV_M56" w:id="26"/>
      <w:bookmarkEnd w:id="26"/>
      <w:r w:rsidRPr="00B34407">
        <w:rPr>
          <w:sz w:val="28"/>
          <w:szCs w:val="28"/>
        </w:rPr>
        <w:br/>
      </w:r>
      <w:r w:rsidRPr="00AA223A">
        <w:rPr>
          <w:caps/>
          <w:sz w:val="24"/>
          <w:szCs w:val="24"/>
        </w:rPr>
        <w:t>Suzanne Crouch</w:t>
      </w:r>
    </w:p>
    <w:p w:rsidRPr="00417FAB" w:rsidR="001D31AE" w:rsidP="001D31AE" w:rsidRDefault="001D31AE" w14:paraId="39F99A1E" w14:textId="77777777">
      <w:pPr>
        <w:pStyle w:val="atitlenobold"/>
        <w:widowControl/>
        <w:rPr>
          <w:sz w:val="24"/>
          <w:szCs w:val="24"/>
        </w:rPr>
      </w:pPr>
      <w:bookmarkStart w:name="_DV_M57" w:id="27"/>
      <w:bookmarkEnd w:id="27"/>
      <w:r w:rsidRPr="00AA223A">
        <w:rPr>
          <w:sz w:val="24"/>
          <w:szCs w:val="24"/>
        </w:rPr>
        <w:t>Lieutenant Governor of the State of Indiana</w:t>
      </w:r>
      <w:r w:rsidRPr="00AA223A">
        <w:rPr>
          <w:sz w:val="24"/>
          <w:szCs w:val="24"/>
        </w:rPr>
        <w:br/>
      </w:r>
      <w:r w:rsidRPr="00417FAB">
        <w:rPr>
          <w:i/>
          <w:iCs/>
          <w:sz w:val="24"/>
          <w:szCs w:val="24"/>
        </w:rPr>
        <w:t>Chair</w:t>
      </w:r>
      <w:r w:rsidRPr="00417FAB">
        <w:rPr>
          <w:sz w:val="24"/>
          <w:szCs w:val="24"/>
        </w:rPr>
        <w:br/>
      </w:r>
    </w:p>
    <w:tbl>
      <w:tblPr>
        <w:tblW w:w="0" w:type="auto"/>
        <w:jc w:val="center"/>
        <w:tblLayout w:type="fixed"/>
        <w:tblCellMar>
          <w:left w:w="0" w:type="dxa"/>
          <w:right w:w="0" w:type="dxa"/>
        </w:tblCellMar>
        <w:tblLook w:val="0000" w:firstRow="0" w:lastRow="0" w:firstColumn="0" w:lastColumn="0" w:noHBand="0" w:noVBand="0"/>
      </w:tblPr>
      <w:tblGrid>
        <w:gridCol w:w="3924"/>
        <w:gridCol w:w="180"/>
        <w:gridCol w:w="4824"/>
      </w:tblGrid>
      <w:tr w:rsidRPr="00417FAB" w:rsidR="001D31AE" w:rsidTr="00AA223A" w14:paraId="68439884" w14:textId="77777777">
        <w:trPr>
          <w:cantSplit/>
          <w:jc w:val="center"/>
        </w:trPr>
        <w:tc>
          <w:tcPr>
            <w:tcW w:w="3924" w:type="dxa"/>
            <w:tcBorders>
              <w:top w:val="nil"/>
              <w:left w:val="nil"/>
              <w:bottom w:val="nil"/>
              <w:right w:val="nil"/>
            </w:tcBorders>
          </w:tcPr>
          <w:p w:rsidRPr="00417FAB" w:rsidR="001D31AE" w:rsidP="002D6600" w:rsidRDefault="000711BA" w14:paraId="379A5647" w14:textId="46D9F983">
            <w:pPr>
              <w:widowControl/>
              <w:jc w:val="center"/>
              <w:rPr>
                <w:sz w:val="24"/>
                <w:szCs w:val="24"/>
              </w:rPr>
            </w:pPr>
            <w:r w:rsidRPr="00417FAB">
              <w:rPr>
                <w:bCs/>
                <w:sz w:val="24"/>
                <w:szCs w:val="24"/>
              </w:rPr>
              <w:t>DANIEL ELLIOTT</w:t>
            </w:r>
          </w:p>
        </w:tc>
        <w:tc>
          <w:tcPr>
            <w:tcW w:w="180" w:type="dxa"/>
            <w:tcBorders>
              <w:top w:val="nil"/>
              <w:left w:val="nil"/>
              <w:bottom w:val="nil"/>
              <w:right w:val="nil"/>
            </w:tcBorders>
          </w:tcPr>
          <w:p w:rsidRPr="00417FAB" w:rsidR="001D31AE" w:rsidP="002D6600" w:rsidRDefault="001D31AE" w14:paraId="36ECB26B" w14:textId="77777777">
            <w:pPr>
              <w:widowControl/>
              <w:jc w:val="center"/>
              <w:rPr>
                <w:sz w:val="24"/>
                <w:szCs w:val="24"/>
              </w:rPr>
            </w:pPr>
          </w:p>
        </w:tc>
        <w:tc>
          <w:tcPr>
            <w:tcW w:w="4824" w:type="dxa"/>
            <w:tcBorders>
              <w:top w:val="nil"/>
              <w:left w:val="nil"/>
              <w:bottom w:val="nil"/>
              <w:right w:val="nil"/>
            </w:tcBorders>
          </w:tcPr>
          <w:p w:rsidRPr="00417FAB" w:rsidR="001D31AE" w:rsidP="002D6600" w:rsidRDefault="001D31AE" w14:paraId="3185776F" w14:textId="77777777">
            <w:pPr>
              <w:widowControl/>
              <w:jc w:val="center"/>
              <w:rPr>
                <w:sz w:val="24"/>
                <w:szCs w:val="24"/>
              </w:rPr>
            </w:pPr>
            <w:r w:rsidRPr="00417FAB">
              <w:rPr>
                <w:sz w:val="24"/>
                <w:szCs w:val="24"/>
              </w:rPr>
              <w:t>DAN HUGE</w:t>
            </w:r>
          </w:p>
        </w:tc>
      </w:tr>
      <w:tr w:rsidRPr="00417FAB" w:rsidR="001D31AE" w:rsidTr="00AA223A" w14:paraId="5196A824" w14:textId="77777777">
        <w:trPr>
          <w:cantSplit/>
          <w:jc w:val="center"/>
        </w:trPr>
        <w:tc>
          <w:tcPr>
            <w:tcW w:w="3924" w:type="dxa"/>
            <w:tcBorders>
              <w:top w:val="nil"/>
              <w:left w:val="nil"/>
              <w:bottom w:val="nil"/>
              <w:right w:val="nil"/>
            </w:tcBorders>
          </w:tcPr>
          <w:p w:rsidRPr="00417FAB" w:rsidR="001D31AE" w:rsidP="002D6600" w:rsidRDefault="001D31AE" w14:paraId="043EECD4" w14:textId="77777777">
            <w:pPr>
              <w:widowControl/>
              <w:jc w:val="center"/>
              <w:rPr>
                <w:sz w:val="24"/>
                <w:szCs w:val="24"/>
              </w:rPr>
            </w:pPr>
            <w:r w:rsidRPr="00417FAB">
              <w:rPr>
                <w:sz w:val="24"/>
                <w:szCs w:val="24"/>
              </w:rPr>
              <w:t>Treasurer of State of Indiana</w:t>
            </w:r>
          </w:p>
        </w:tc>
        <w:tc>
          <w:tcPr>
            <w:tcW w:w="180" w:type="dxa"/>
            <w:tcBorders>
              <w:top w:val="nil"/>
              <w:left w:val="nil"/>
              <w:bottom w:val="nil"/>
              <w:right w:val="nil"/>
            </w:tcBorders>
          </w:tcPr>
          <w:p w:rsidRPr="00417FAB" w:rsidR="001D31AE" w:rsidP="002D6600" w:rsidRDefault="001D31AE" w14:paraId="7D103191" w14:textId="77777777">
            <w:pPr>
              <w:widowControl/>
              <w:jc w:val="center"/>
              <w:rPr>
                <w:sz w:val="24"/>
                <w:szCs w:val="24"/>
              </w:rPr>
            </w:pPr>
          </w:p>
        </w:tc>
        <w:tc>
          <w:tcPr>
            <w:tcW w:w="4824" w:type="dxa"/>
            <w:tcBorders>
              <w:top w:val="nil"/>
              <w:left w:val="nil"/>
              <w:bottom w:val="nil"/>
              <w:right w:val="nil"/>
            </w:tcBorders>
          </w:tcPr>
          <w:p w:rsidRPr="00417FAB" w:rsidR="001D31AE" w:rsidP="002D6600" w:rsidRDefault="001D31AE" w14:paraId="714A7C7C" w14:textId="77777777">
            <w:pPr>
              <w:widowControl/>
              <w:jc w:val="center"/>
              <w:rPr>
                <w:sz w:val="24"/>
                <w:szCs w:val="24"/>
              </w:rPr>
            </w:pPr>
            <w:r w:rsidRPr="00417FAB">
              <w:rPr>
                <w:sz w:val="24"/>
                <w:szCs w:val="24"/>
              </w:rPr>
              <w:t>Public Finance Director of the State of Indiana</w:t>
            </w:r>
          </w:p>
        </w:tc>
      </w:tr>
      <w:tr w:rsidRPr="00AA223A" w:rsidR="001D31AE" w:rsidTr="00AA223A" w14:paraId="31867000" w14:textId="77777777">
        <w:trPr>
          <w:cantSplit/>
          <w:jc w:val="center"/>
        </w:trPr>
        <w:tc>
          <w:tcPr>
            <w:tcW w:w="3924" w:type="dxa"/>
            <w:tcBorders>
              <w:top w:val="nil"/>
              <w:left w:val="nil"/>
              <w:bottom w:val="nil"/>
              <w:right w:val="nil"/>
            </w:tcBorders>
          </w:tcPr>
          <w:p w:rsidRPr="00417FAB" w:rsidR="001D31AE" w:rsidP="002D6600" w:rsidRDefault="001D31AE" w14:paraId="691B2004" w14:textId="60FE358A">
            <w:pPr>
              <w:widowControl/>
              <w:jc w:val="center"/>
              <w:rPr>
                <w:i/>
                <w:iCs/>
                <w:sz w:val="24"/>
                <w:szCs w:val="24"/>
              </w:rPr>
            </w:pPr>
            <w:r w:rsidRPr="00417FAB">
              <w:rPr>
                <w:i/>
                <w:iCs/>
                <w:sz w:val="24"/>
                <w:szCs w:val="24"/>
              </w:rPr>
              <w:t>Vice Chair</w:t>
            </w:r>
          </w:p>
        </w:tc>
        <w:tc>
          <w:tcPr>
            <w:tcW w:w="180" w:type="dxa"/>
            <w:tcBorders>
              <w:top w:val="nil"/>
              <w:left w:val="nil"/>
              <w:bottom w:val="nil"/>
              <w:right w:val="nil"/>
            </w:tcBorders>
          </w:tcPr>
          <w:p w:rsidRPr="00417FAB" w:rsidR="001D31AE" w:rsidP="002D6600" w:rsidRDefault="001D31AE" w14:paraId="50A8189D" w14:textId="77777777">
            <w:pPr>
              <w:widowControl/>
              <w:jc w:val="center"/>
              <w:rPr>
                <w:sz w:val="24"/>
                <w:szCs w:val="24"/>
              </w:rPr>
            </w:pPr>
          </w:p>
        </w:tc>
        <w:tc>
          <w:tcPr>
            <w:tcW w:w="4824" w:type="dxa"/>
            <w:tcBorders>
              <w:top w:val="nil"/>
              <w:left w:val="nil"/>
              <w:bottom w:val="nil"/>
              <w:right w:val="nil"/>
            </w:tcBorders>
          </w:tcPr>
          <w:p w:rsidRPr="00AA223A" w:rsidR="001D31AE" w:rsidP="002D6600" w:rsidRDefault="001D31AE" w14:paraId="5BC50CBC" w14:textId="77777777">
            <w:pPr>
              <w:widowControl/>
              <w:jc w:val="center"/>
              <w:rPr>
                <w:i/>
                <w:iCs/>
                <w:sz w:val="24"/>
                <w:szCs w:val="24"/>
              </w:rPr>
            </w:pPr>
            <w:r w:rsidRPr="00417FAB">
              <w:rPr>
                <w:i/>
                <w:iCs/>
                <w:sz w:val="24"/>
                <w:szCs w:val="24"/>
              </w:rPr>
              <w:t>Member</w:t>
            </w:r>
          </w:p>
        </w:tc>
      </w:tr>
      <w:tr w:rsidRPr="00AA223A" w:rsidR="001D31AE" w:rsidTr="00AA223A" w14:paraId="6CA91508" w14:textId="77777777">
        <w:trPr>
          <w:cantSplit/>
          <w:jc w:val="center"/>
        </w:trPr>
        <w:tc>
          <w:tcPr>
            <w:tcW w:w="3924" w:type="dxa"/>
            <w:tcBorders>
              <w:top w:val="nil"/>
              <w:left w:val="nil"/>
              <w:bottom w:val="nil"/>
              <w:right w:val="nil"/>
            </w:tcBorders>
          </w:tcPr>
          <w:p w:rsidRPr="00AA223A" w:rsidR="001D31AE" w:rsidP="002D6600" w:rsidRDefault="001D31AE" w14:paraId="4F86DD19" w14:textId="77777777">
            <w:pPr>
              <w:widowControl/>
              <w:jc w:val="center"/>
              <w:rPr>
                <w:sz w:val="24"/>
                <w:szCs w:val="24"/>
              </w:rPr>
            </w:pPr>
          </w:p>
        </w:tc>
        <w:tc>
          <w:tcPr>
            <w:tcW w:w="180" w:type="dxa"/>
            <w:tcBorders>
              <w:top w:val="nil"/>
              <w:left w:val="nil"/>
              <w:bottom w:val="nil"/>
              <w:right w:val="nil"/>
            </w:tcBorders>
          </w:tcPr>
          <w:p w:rsidRPr="00AA223A" w:rsidR="001D31AE" w:rsidP="002D6600" w:rsidRDefault="001D31AE" w14:paraId="03DCEA3E" w14:textId="77777777">
            <w:pPr>
              <w:widowControl/>
              <w:jc w:val="center"/>
              <w:rPr>
                <w:sz w:val="24"/>
                <w:szCs w:val="24"/>
              </w:rPr>
            </w:pPr>
          </w:p>
        </w:tc>
        <w:tc>
          <w:tcPr>
            <w:tcW w:w="4824" w:type="dxa"/>
            <w:tcBorders>
              <w:top w:val="nil"/>
              <w:left w:val="nil"/>
              <w:bottom w:val="nil"/>
              <w:right w:val="nil"/>
            </w:tcBorders>
          </w:tcPr>
          <w:p w:rsidRPr="00AA223A" w:rsidR="001D31AE" w:rsidP="002D6600" w:rsidRDefault="001D31AE" w14:paraId="4D12FE0D" w14:textId="77777777">
            <w:pPr>
              <w:widowControl/>
              <w:jc w:val="center"/>
              <w:rPr>
                <w:sz w:val="24"/>
                <w:szCs w:val="24"/>
              </w:rPr>
            </w:pPr>
          </w:p>
        </w:tc>
      </w:tr>
    </w:tbl>
    <w:p w:rsidR="001D31AE" w:rsidP="001D31AE" w:rsidRDefault="001D31AE" w14:paraId="2D98CBB8" w14:textId="7EAF34F9">
      <w:pPr>
        <w:widowControl/>
      </w:pPr>
    </w:p>
    <w:p w:rsidRPr="00B34407" w:rsidR="00AA223A" w:rsidP="001D31AE" w:rsidRDefault="00AA223A" w14:paraId="22903676" w14:textId="77777777">
      <w:pPr>
        <w:widowControl/>
      </w:pPr>
    </w:p>
    <w:p w:rsidRPr="00AA223A" w:rsidR="001D31AE" w:rsidP="001D31AE" w:rsidRDefault="001D31AE" w14:paraId="59CC1667" w14:textId="77777777">
      <w:pPr>
        <w:widowControl/>
        <w:jc w:val="center"/>
        <w:rPr>
          <w:sz w:val="24"/>
          <w:szCs w:val="24"/>
        </w:rPr>
      </w:pPr>
      <w:bookmarkStart w:name="_DV_M58" w:id="28"/>
      <w:bookmarkStart w:name="_DV_M60" w:id="29"/>
      <w:bookmarkEnd w:id="28"/>
      <w:bookmarkEnd w:id="29"/>
      <w:r w:rsidRPr="00AA223A">
        <w:rPr>
          <w:sz w:val="24"/>
          <w:szCs w:val="24"/>
        </w:rPr>
        <w:t>THOMAS K. McGOWAN</w:t>
      </w:r>
    </w:p>
    <w:p w:rsidRPr="00AA223A" w:rsidR="001D31AE" w:rsidP="001D31AE" w:rsidRDefault="001D31AE" w14:paraId="05844EFA" w14:textId="77777777">
      <w:pPr>
        <w:widowControl/>
        <w:jc w:val="center"/>
        <w:rPr>
          <w:i/>
          <w:iCs/>
          <w:sz w:val="24"/>
          <w:szCs w:val="24"/>
        </w:rPr>
      </w:pPr>
      <w:bookmarkStart w:name="_DV_M61" w:id="30"/>
      <w:bookmarkEnd w:id="30"/>
      <w:r w:rsidRPr="00AA223A">
        <w:rPr>
          <w:i/>
          <w:iCs/>
          <w:sz w:val="24"/>
          <w:szCs w:val="24"/>
        </w:rPr>
        <w:t>Member</w:t>
      </w:r>
    </w:p>
    <w:p w:rsidR="0082575D" w:rsidP="0082575D" w:rsidRDefault="0082575D" w14:paraId="1E9C4331" w14:textId="5F5CDC71">
      <w:pPr>
        <w:widowControl/>
        <w:jc w:val="center"/>
        <w:rPr>
          <w:sz w:val="24"/>
          <w:szCs w:val="24"/>
        </w:rPr>
      </w:pPr>
      <w:bookmarkStart w:name="_DV_M62" w:id="31"/>
      <w:bookmarkStart w:name="_DV_M64" w:id="32"/>
      <w:bookmarkEnd w:id="31"/>
      <w:bookmarkEnd w:id="32"/>
    </w:p>
    <w:p w:rsidRPr="00AA223A" w:rsidR="001D31AE" w:rsidP="0082575D" w:rsidRDefault="001D31AE" w14:paraId="6F27509E" w14:textId="25573BC2">
      <w:pPr>
        <w:widowControl/>
        <w:jc w:val="center"/>
        <w:rPr>
          <w:sz w:val="24"/>
          <w:szCs w:val="24"/>
        </w:rPr>
      </w:pPr>
      <w:r w:rsidRPr="00AA223A">
        <w:rPr>
          <w:sz w:val="24"/>
          <w:szCs w:val="24"/>
        </w:rPr>
        <w:t>ANDY PLACE, SR.</w:t>
      </w:r>
    </w:p>
    <w:p w:rsidRPr="00AA223A" w:rsidR="001D31AE" w:rsidP="001D31AE" w:rsidRDefault="001D31AE" w14:paraId="524CAD57" w14:textId="77777777">
      <w:pPr>
        <w:widowControl/>
        <w:jc w:val="center"/>
        <w:rPr>
          <w:i/>
          <w:iCs/>
          <w:sz w:val="24"/>
          <w:szCs w:val="24"/>
        </w:rPr>
      </w:pPr>
      <w:bookmarkStart w:name="_DV_M65" w:id="33"/>
      <w:bookmarkEnd w:id="33"/>
      <w:r w:rsidRPr="00AA223A">
        <w:rPr>
          <w:i/>
          <w:iCs/>
          <w:sz w:val="24"/>
          <w:szCs w:val="24"/>
        </w:rPr>
        <w:t>Member</w:t>
      </w:r>
    </w:p>
    <w:p w:rsidRPr="00AA223A" w:rsidR="001D31AE" w:rsidP="001D31AE" w:rsidRDefault="001D31AE" w14:paraId="62A2CAD4" w14:textId="77777777">
      <w:pPr>
        <w:widowControl/>
        <w:jc w:val="center"/>
        <w:rPr>
          <w:i/>
          <w:iCs/>
          <w:sz w:val="24"/>
          <w:szCs w:val="24"/>
        </w:rPr>
      </w:pPr>
    </w:p>
    <w:p w:rsidRPr="00AA223A" w:rsidR="001D31AE" w:rsidP="001D31AE" w:rsidRDefault="00EC290E" w14:paraId="1A4C1A42" w14:textId="2BEEF08F">
      <w:pPr>
        <w:widowControl/>
        <w:jc w:val="center"/>
        <w:rPr>
          <w:iCs/>
          <w:sz w:val="24"/>
          <w:szCs w:val="24"/>
        </w:rPr>
      </w:pPr>
      <w:r w:rsidRPr="00EC290E">
        <w:rPr>
          <w:iCs/>
          <w:sz w:val="24"/>
          <w:szCs w:val="24"/>
        </w:rPr>
        <w:t>G. MICHAEL SCHOPMEYER</w:t>
      </w:r>
    </w:p>
    <w:p w:rsidRPr="00AA223A" w:rsidR="001D31AE" w:rsidP="001D31AE" w:rsidRDefault="001D31AE" w14:paraId="74981763" w14:textId="77777777">
      <w:pPr>
        <w:widowControl/>
        <w:jc w:val="center"/>
        <w:rPr>
          <w:i/>
          <w:iCs/>
          <w:sz w:val="24"/>
          <w:szCs w:val="24"/>
        </w:rPr>
      </w:pPr>
      <w:r w:rsidRPr="00AA223A">
        <w:rPr>
          <w:i/>
          <w:iCs/>
          <w:sz w:val="24"/>
          <w:szCs w:val="24"/>
        </w:rPr>
        <w:t>Member</w:t>
      </w:r>
    </w:p>
    <w:p w:rsidR="00BD6AA7" w:rsidP="00BD6AA7" w:rsidRDefault="00BD6AA7" w14:paraId="2F17595C" w14:textId="77777777">
      <w:pPr>
        <w:widowControl/>
        <w:jc w:val="center"/>
        <w:rPr>
          <w:sz w:val="24"/>
          <w:szCs w:val="24"/>
        </w:rPr>
      </w:pPr>
    </w:p>
    <w:p w:rsidR="00BD6AA7" w:rsidP="00BD6AA7" w:rsidRDefault="00BD6AA7" w14:paraId="05AC2723" w14:textId="35E8627E">
      <w:pPr>
        <w:widowControl/>
        <w:jc w:val="center"/>
        <w:rPr>
          <w:sz w:val="24"/>
          <w:szCs w:val="24"/>
        </w:rPr>
      </w:pPr>
      <w:r>
        <w:rPr>
          <w:sz w:val="24"/>
          <w:szCs w:val="24"/>
        </w:rPr>
        <w:t>CHAD A. GREIWE</w:t>
      </w:r>
    </w:p>
    <w:p w:rsidRPr="00A524C4" w:rsidR="00BD6AA7" w:rsidP="00BD6AA7" w:rsidRDefault="00BD6AA7" w14:paraId="38662283" w14:textId="77777777">
      <w:pPr>
        <w:widowControl/>
        <w:jc w:val="center"/>
        <w:rPr>
          <w:i/>
          <w:sz w:val="24"/>
          <w:szCs w:val="24"/>
        </w:rPr>
      </w:pPr>
      <w:r>
        <w:rPr>
          <w:i/>
          <w:sz w:val="24"/>
          <w:szCs w:val="24"/>
        </w:rPr>
        <w:t>Member</w:t>
      </w:r>
    </w:p>
    <w:p w:rsidRPr="00AA223A" w:rsidR="001D31AE" w:rsidP="001D31AE" w:rsidRDefault="001D31AE" w14:paraId="09C620C3" w14:textId="77777777">
      <w:pPr>
        <w:widowControl/>
        <w:jc w:val="center"/>
        <w:rPr>
          <w:i/>
          <w:iCs/>
          <w:sz w:val="24"/>
          <w:szCs w:val="24"/>
        </w:rPr>
      </w:pPr>
    </w:p>
    <w:p w:rsidRPr="00AA223A" w:rsidR="001D31AE" w:rsidP="001D31AE" w:rsidRDefault="001D31AE" w14:paraId="10E38C9E" w14:textId="77777777">
      <w:pPr>
        <w:widowControl/>
        <w:jc w:val="center"/>
        <w:rPr>
          <w:sz w:val="24"/>
          <w:szCs w:val="24"/>
        </w:rPr>
      </w:pPr>
      <w:bookmarkStart w:name="_DV_M66" w:id="34"/>
      <w:bookmarkEnd w:id="34"/>
      <w:r w:rsidRPr="00AA223A">
        <w:rPr>
          <w:sz w:val="24"/>
          <w:szCs w:val="24"/>
        </w:rPr>
        <w:t>J. JACOB SIPE</w:t>
      </w:r>
    </w:p>
    <w:p w:rsidRPr="00AA223A" w:rsidR="001D31AE" w:rsidP="001D31AE" w:rsidRDefault="001D31AE" w14:paraId="04965096" w14:textId="77777777">
      <w:pPr>
        <w:widowControl/>
        <w:jc w:val="center"/>
        <w:rPr>
          <w:sz w:val="24"/>
          <w:szCs w:val="24"/>
        </w:rPr>
      </w:pPr>
      <w:bookmarkStart w:name="_DV_M67" w:id="35"/>
      <w:bookmarkEnd w:id="35"/>
      <w:r w:rsidRPr="00AA223A">
        <w:rPr>
          <w:i/>
          <w:iCs/>
          <w:sz w:val="24"/>
          <w:szCs w:val="24"/>
        </w:rPr>
        <w:t>Executive Director</w:t>
      </w:r>
    </w:p>
    <w:p w:rsidRPr="00B34407" w:rsidR="00AF72E5" w:rsidP="00AF72E5" w:rsidRDefault="00AF72E5" w14:paraId="159E2D09" w14:textId="0E01AC49">
      <w:pPr>
        <w:pStyle w:val="BodyTextFirstIndent"/>
        <w:rPr>
          <w:b/>
          <w:bCs/>
        </w:rPr>
      </w:pPr>
      <w:r w:rsidRPr="00B34407">
        <w:br w:type="page"/>
      </w:r>
      <w:bookmarkStart w:name="ElPgBr6" w:id="36"/>
      <w:bookmarkEnd w:id="36"/>
      <w:r w:rsidRPr="00B34407">
        <w:rPr>
          <w:b/>
          <w:bCs/>
        </w:rPr>
        <w:lastRenderedPageBreak/>
        <w:t xml:space="preserve">No dealer, broker, salesman or other person has been authorized by the Authority or the Underwriters to give any information or to make any representations in connection with the </w:t>
      </w:r>
      <w:r w:rsidR="00C7294C">
        <w:rPr>
          <w:b/>
          <w:bCs/>
        </w:rPr>
        <w:t>2024 Series C</w:t>
      </w:r>
      <w:r w:rsidR="005B3036">
        <w:rPr>
          <w:b/>
          <w:bCs/>
        </w:rPr>
        <w:t xml:space="preserve"> Bond</w:t>
      </w:r>
      <w:r w:rsidR="006C550F">
        <w:rPr>
          <w:b/>
          <w:bCs/>
        </w:rPr>
        <w:t>s</w:t>
      </w:r>
      <w:r w:rsidRPr="00B34407">
        <w:rPr>
          <w:b/>
          <w:bCs/>
        </w:rPr>
        <w:t xml:space="preserve"> not contained in this Official Statement, and, if given or made, such other information or representations must not be relied upon as having been authorized by any of the foregoing.  This Official Statement does not constitute an offer to sell or the solicitation of an offer to buy, nor shall there be any sale of the </w:t>
      </w:r>
      <w:r w:rsidR="00C7294C">
        <w:rPr>
          <w:b/>
          <w:bCs/>
        </w:rPr>
        <w:t>2024 Series C</w:t>
      </w:r>
      <w:r w:rsidR="005B3036">
        <w:rPr>
          <w:b/>
          <w:bCs/>
        </w:rPr>
        <w:t xml:space="preserve"> Bond</w:t>
      </w:r>
      <w:r w:rsidR="006C550F">
        <w:rPr>
          <w:b/>
          <w:bCs/>
        </w:rPr>
        <w:t>s</w:t>
      </w:r>
      <w:r w:rsidRPr="00B34407">
        <w:rPr>
          <w:b/>
          <w:bCs/>
        </w:rPr>
        <w:t>, by any person in any jurisdiction in which it is unlawful for such person to make such offer, solicitation or sale.</w:t>
      </w:r>
      <w:r w:rsidRPr="00B34407" w:rsidR="00205542">
        <w:rPr>
          <w:b/>
          <w:bCs/>
        </w:rPr>
        <w:t xml:space="preserve">  The information set forth herein has been obtained from the Authority, the Trustee, DTC, the Servicer and other sources which are believed to be reliable, but such information is not guaranteed as to accuracy or completeness, and is not to be construed as a representation, by the Underwriters. </w:t>
      </w:r>
      <w:r w:rsidRPr="00B34407">
        <w:rPr>
          <w:b/>
          <w:bCs/>
        </w:rPr>
        <w:t xml:space="preserve"> The information, estimates and expressions of opinion in this Official Statement are subject to change without notice, and neither the delivery of this Official Statement nor any sale of the </w:t>
      </w:r>
      <w:r w:rsidR="00C7294C">
        <w:rPr>
          <w:b/>
          <w:bCs/>
        </w:rPr>
        <w:t>2024 Series C</w:t>
      </w:r>
      <w:r w:rsidR="005B3036">
        <w:rPr>
          <w:b/>
          <w:bCs/>
        </w:rPr>
        <w:t xml:space="preserve"> Bond</w:t>
      </w:r>
      <w:r w:rsidR="006C550F">
        <w:rPr>
          <w:b/>
          <w:bCs/>
        </w:rPr>
        <w:t>s</w:t>
      </w:r>
      <w:r w:rsidRPr="00B34407">
        <w:rPr>
          <w:b/>
          <w:bCs/>
        </w:rPr>
        <w:t xml:space="preserve"> shall, under any circumstances, create any implication that there has been no change in the affairs of the Authority since the date of this Official Statement.  The Underwriters have provided the following sentence for inclusion in this Official Statement.  The Underwriters have reviewed the information in this Official Statement in accordance with, and as part of, their respective responsibilities to investors under the federal securities laws as applied to the facts and circumstances of this transaction, but the Underwriters do not guarantee the accuracy or completeness of such information. </w:t>
      </w:r>
    </w:p>
    <w:p w:rsidR="00F360E9" w:rsidP="00AF72E5" w:rsidRDefault="007B5845" w14:paraId="16947E6D" w14:textId="3DDD8C97">
      <w:pPr>
        <w:pStyle w:val="BodyTextFirstIndent"/>
        <w:rPr>
          <w:b/>
          <w:bCs/>
          <w:caps/>
        </w:rPr>
      </w:pPr>
      <w:bookmarkStart w:name="_DV_M69" w:id="37"/>
      <w:bookmarkStart w:name="_DV_M70" w:id="38"/>
      <w:bookmarkEnd w:id="37"/>
      <w:bookmarkEnd w:id="38"/>
      <w:r>
        <w:rPr>
          <w:b/>
          <w:bCs/>
        </w:rPr>
        <w:t xml:space="preserve">THE PRICES AT WHICH THE </w:t>
      </w:r>
      <w:r w:rsidR="00C7294C">
        <w:rPr>
          <w:b/>
          <w:bCs/>
        </w:rPr>
        <w:t xml:space="preserve">2024 </w:t>
      </w:r>
      <w:r w:rsidR="006344A5">
        <w:rPr>
          <w:b/>
          <w:bCs/>
        </w:rPr>
        <w:t xml:space="preserve">SERIES </w:t>
      </w:r>
      <w:r w:rsidR="00C7294C">
        <w:rPr>
          <w:b/>
          <w:bCs/>
        </w:rPr>
        <w:t>C</w:t>
      </w:r>
      <w:r>
        <w:rPr>
          <w:b/>
          <w:bCs/>
        </w:rPr>
        <w:t xml:space="preserve"> BONDS ARE OFFERED TO THE PUBLIC BY THE UNDERWRITERS (AND THE YIELDS RESULTING THEREFROM) MAY VARY FROM THE INITIAL PUBLIC OFFERING PRICES OR YIELDS APPEARING ON THE INSIDE COVER PAGES HEREOF.  IN ADDITION, THE UNDERWRITERS MAY ALLOW CONCESSIONS OR DISCOUNTS FROM SUCH INITIAL PUBLIC OFFERING PRICES TO DEALERS AND OTHERS.  IN ORDER TO FACILITATE D</w:t>
      </w:r>
      <w:r w:rsidR="00B86CC8">
        <w:rPr>
          <w:b/>
          <w:bCs/>
        </w:rPr>
        <w:t xml:space="preserve">ISTRIBUTION OF THE </w:t>
      </w:r>
      <w:r w:rsidR="00C7294C">
        <w:rPr>
          <w:b/>
          <w:bCs/>
        </w:rPr>
        <w:t xml:space="preserve">2024 </w:t>
      </w:r>
      <w:r w:rsidR="00117FE9">
        <w:rPr>
          <w:b/>
          <w:bCs/>
        </w:rPr>
        <w:t>SERIES</w:t>
      </w:r>
      <w:r w:rsidR="00C7294C">
        <w:rPr>
          <w:b/>
          <w:bCs/>
        </w:rPr>
        <w:t xml:space="preserve"> C</w:t>
      </w:r>
      <w:r>
        <w:rPr>
          <w:b/>
          <w:bCs/>
        </w:rPr>
        <w:t xml:space="preserve"> BONDS, THE UNDERWRITERS MAY ENGAGE IN TRANSACTIONS INTENDED TO STABILIZ</w:t>
      </w:r>
      <w:r w:rsidR="00B86CC8">
        <w:rPr>
          <w:b/>
          <w:bCs/>
        </w:rPr>
        <w:t xml:space="preserve">E THE PRICE OF THE </w:t>
      </w:r>
      <w:r w:rsidR="00C7294C">
        <w:rPr>
          <w:b/>
          <w:bCs/>
        </w:rPr>
        <w:t xml:space="preserve">2024 </w:t>
      </w:r>
      <w:r w:rsidR="008D5925">
        <w:rPr>
          <w:b/>
          <w:bCs/>
        </w:rPr>
        <w:t>SERIES</w:t>
      </w:r>
      <w:r w:rsidR="00C7294C">
        <w:rPr>
          <w:b/>
          <w:bCs/>
        </w:rPr>
        <w:t xml:space="preserve"> C</w:t>
      </w:r>
      <w:r>
        <w:rPr>
          <w:b/>
          <w:bCs/>
        </w:rPr>
        <w:t xml:space="preserve"> BONDS AT A LEVEL ABOVE THAT WHICH MIGHT OTHERWISE PREVAIL IN THE OPEN MARKET.  SUCH STABILIZING, IF COMMENCED, MAY BE DISCONTINUED AT ANY TIME. </w:t>
      </w:r>
    </w:p>
    <w:p w:rsidRPr="00B34407" w:rsidR="00AF72E5" w:rsidP="00AF72E5" w:rsidRDefault="00AF72E5" w14:paraId="5CB1D14D" w14:textId="6F041017">
      <w:pPr>
        <w:pStyle w:val="BodyTextFirstIndent"/>
        <w:rPr>
          <w:b/>
          <w:bCs/>
          <w:caps/>
        </w:rPr>
      </w:pPr>
      <w:r w:rsidRPr="00B34407">
        <w:rPr>
          <w:b/>
          <w:bCs/>
          <w:caps/>
        </w:rPr>
        <w:t xml:space="preserve">THE </w:t>
      </w:r>
      <w:r w:rsidR="00C7294C">
        <w:rPr>
          <w:b/>
          <w:bCs/>
          <w:caps/>
        </w:rPr>
        <w:t>2024 Series C</w:t>
      </w:r>
      <w:r w:rsidR="005B3036">
        <w:rPr>
          <w:b/>
          <w:bCs/>
          <w:caps/>
        </w:rPr>
        <w:t xml:space="preserve"> Bond</w:t>
      </w:r>
      <w:r w:rsidR="006C550F">
        <w:rPr>
          <w:b/>
          <w:bCs/>
          <w:caps/>
        </w:rPr>
        <w:t>s</w:t>
      </w:r>
      <w:r w:rsidRPr="00B34407">
        <w:rPr>
          <w:b/>
          <w:bCs/>
          <w:caps/>
        </w:rPr>
        <w:t xml:space="preserve"> HAVE NOT BEEN REGISTERED WITH THE SECURITIES AND EXCHANGE COMMISSION UNDER THE SECURITIES ACT OF 1933, AS AMENDED.  IN MAKING AN INVESTMENT DECISION, INVESTORS MUST RELY ON THEIR OWN EXAMINATION OF THE TERMS OF THE OFFERING, INCLUDING THE MERITS AND RISKS INVOLVED.  THESE SECURITIES HAVE NOT BEEN RECOMMENDED BY ANY FEDERAL OR STATE SECURITIES COMMISSION OR REGULATORY AUTHORITY.  FURTHERMORE, THE FOREGOING AUTHORITIES HAVE NOT CONFIRMED THE ACCURACY OR DETERMINED THE ADEQUACY OF THIS OFFICIAL STATEMENT.  ANY REPRESENTATION TO THE CONTRARY IS A CRIMINAL OFFENSE.</w:t>
      </w:r>
    </w:p>
    <w:p w:rsidRPr="00B34407" w:rsidR="00AF72E5" w:rsidP="00AF72E5" w:rsidRDefault="00AF72E5" w14:paraId="2CB763B2" w14:textId="77777777">
      <w:pPr>
        <w:pStyle w:val="atitle"/>
        <w:widowControl/>
        <w:sectPr w:rsidRPr="00B34407" w:rsidR="00AF72E5">
          <w:pgSz w:w="12240" w:h="15840"/>
          <w:pgMar w:top="1440" w:right="1440" w:bottom="1440" w:left="1440" w:header="1440" w:footer="720" w:gutter="0"/>
          <w:pgNumType w:fmt="lowerRoman"/>
          <w:cols w:space="720"/>
          <w:titlePg/>
        </w:sectPr>
      </w:pPr>
    </w:p>
    <w:p w:rsidRPr="00B34407" w:rsidR="00AF72E5" w:rsidP="00AF72E5" w:rsidRDefault="00AF72E5" w14:paraId="12786CA6" w14:textId="77777777">
      <w:pPr>
        <w:pStyle w:val="atitle"/>
        <w:widowControl/>
      </w:pPr>
      <w:bookmarkStart w:name="_DV_M71" w:id="39"/>
      <w:bookmarkStart w:name="ElPgBr7" w:id="40"/>
      <w:bookmarkEnd w:id="39"/>
      <w:bookmarkEnd w:id="40"/>
      <w:r w:rsidRPr="00B34407">
        <w:lastRenderedPageBreak/>
        <w:t>Table of Contents</w:t>
      </w:r>
    </w:p>
    <w:p w:rsidRPr="00B34407" w:rsidR="00AF72E5" w:rsidP="00BF70D1" w:rsidRDefault="00AF72E5" w14:paraId="30ECCCA2" w14:textId="77777777">
      <w:pPr>
        <w:pStyle w:val="aBTRightJustified"/>
        <w:widowControl/>
        <w:rPr>
          <w:u w:val="single"/>
        </w:rPr>
      </w:pPr>
      <w:bookmarkStart w:name="_DV_M72" w:id="41"/>
      <w:bookmarkEnd w:id="41"/>
      <w:r w:rsidRPr="00B34407">
        <w:rPr>
          <w:u w:val="single"/>
        </w:rPr>
        <w:t>Page</w:t>
      </w:r>
    </w:p>
    <w:bookmarkStart w:name="_DV_M73" w:id="42"/>
    <w:bookmarkEnd w:id="42"/>
    <w:p w:rsidR="005F7F21" w:rsidRDefault="004D2FBA" w14:paraId="7A76362C" w14:textId="6B2A707A">
      <w:pPr>
        <w:pStyle w:val="TOC1"/>
        <w:rPr>
          <w:rFonts w:asciiTheme="minorHAnsi" w:hAnsiTheme="minorHAnsi" w:eastAsiaTheme="minorEastAsia" w:cstheme="minorBidi"/>
          <w:noProof/>
          <w:sz w:val="22"/>
          <w:szCs w:val="22"/>
        </w:rPr>
      </w:pPr>
      <w:r>
        <w:rPr>
          <w:highlight w:val="yellow"/>
        </w:rPr>
        <w:fldChar w:fldCharType="begin"/>
      </w:r>
      <w:r>
        <w:rPr>
          <w:highlight w:val="yellow"/>
        </w:rPr>
        <w:instrText xml:space="preserve"> TOC \t "a HEADING,1,a HEADING SUB,2,a HEADING SUB 2,3" </w:instrText>
      </w:r>
      <w:r>
        <w:rPr>
          <w:highlight w:val="yellow"/>
        </w:rPr>
        <w:fldChar w:fldCharType="separate"/>
      </w:r>
      <w:r w:rsidR="005F7F21">
        <w:rPr>
          <w:noProof/>
        </w:rPr>
        <w:t>INTRODUCTION</w:t>
      </w:r>
      <w:r w:rsidR="005F7F21">
        <w:rPr>
          <w:noProof/>
        </w:rPr>
        <w:tab/>
      </w:r>
      <w:r w:rsidR="005F7F21">
        <w:rPr>
          <w:noProof/>
        </w:rPr>
        <w:fldChar w:fldCharType="begin"/>
      </w:r>
      <w:r w:rsidR="005F7F21">
        <w:rPr>
          <w:noProof/>
        </w:rPr>
        <w:instrText xml:space="preserve"> PAGEREF _Toc172841911 \h </w:instrText>
      </w:r>
      <w:r w:rsidR="005F7F21">
        <w:rPr>
          <w:noProof/>
        </w:rPr>
      </w:r>
      <w:r w:rsidR="005F7F21">
        <w:rPr>
          <w:noProof/>
        </w:rPr>
        <w:fldChar w:fldCharType="separate"/>
      </w:r>
      <w:r w:rsidR="005F7F21">
        <w:rPr>
          <w:noProof/>
        </w:rPr>
        <w:t>1</w:t>
      </w:r>
      <w:r w:rsidR="005F7F21">
        <w:rPr>
          <w:noProof/>
        </w:rPr>
        <w:fldChar w:fldCharType="end"/>
      </w:r>
    </w:p>
    <w:p w:rsidR="005F7F21" w:rsidRDefault="005F7F21" w14:paraId="24093883" w14:textId="09172521">
      <w:pPr>
        <w:pStyle w:val="TOC1"/>
        <w:rPr>
          <w:rFonts w:asciiTheme="minorHAnsi" w:hAnsiTheme="minorHAnsi" w:eastAsiaTheme="minorEastAsia" w:cstheme="minorBidi"/>
          <w:noProof/>
          <w:sz w:val="22"/>
          <w:szCs w:val="22"/>
        </w:rPr>
      </w:pPr>
      <w:r>
        <w:rPr>
          <w:noProof/>
        </w:rPr>
        <w:t>FINANCING PLAN</w:t>
      </w:r>
      <w:r>
        <w:rPr>
          <w:noProof/>
        </w:rPr>
        <w:tab/>
      </w:r>
      <w:r>
        <w:rPr>
          <w:noProof/>
        </w:rPr>
        <w:fldChar w:fldCharType="begin"/>
      </w:r>
      <w:r>
        <w:rPr>
          <w:noProof/>
        </w:rPr>
        <w:instrText xml:space="preserve"> PAGEREF _Toc172841912 \h </w:instrText>
      </w:r>
      <w:r>
        <w:rPr>
          <w:noProof/>
        </w:rPr>
      </w:r>
      <w:r>
        <w:rPr>
          <w:noProof/>
        </w:rPr>
        <w:fldChar w:fldCharType="separate"/>
      </w:r>
      <w:r>
        <w:rPr>
          <w:noProof/>
        </w:rPr>
        <w:t>3</w:t>
      </w:r>
      <w:r>
        <w:rPr>
          <w:noProof/>
        </w:rPr>
        <w:fldChar w:fldCharType="end"/>
      </w:r>
    </w:p>
    <w:p w:rsidR="005F7F21" w:rsidRDefault="005F7F21" w14:paraId="10C9BD41" w14:textId="1C3C5CC7">
      <w:pPr>
        <w:pStyle w:val="TOC2"/>
        <w:rPr>
          <w:rFonts w:asciiTheme="minorHAnsi" w:hAnsiTheme="minorHAnsi" w:eastAsiaTheme="minorEastAsia" w:cstheme="minorBidi"/>
          <w:sz w:val="22"/>
          <w:szCs w:val="22"/>
        </w:rPr>
      </w:pPr>
      <w:r>
        <w:t>General</w:t>
      </w:r>
      <w:r>
        <w:tab/>
      </w:r>
      <w:r>
        <w:fldChar w:fldCharType="begin"/>
      </w:r>
      <w:r>
        <w:instrText xml:space="preserve"> PAGEREF _Toc172841913 \h </w:instrText>
      </w:r>
      <w:r>
        <w:fldChar w:fldCharType="separate"/>
      </w:r>
      <w:r>
        <w:t>3</w:t>
      </w:r>
      <w:r>
        <w:fldChar w:fldCharType="end"/>
      </w:r>
    </w:p>
    <w:p w:rsidR="005F7F21" w:rsidRDefault="005F7F21" w14:paraId="266E1AEA" w14:textId="567113D9">
      <w:pPr>
        <w:pStyle w:val="TOC2"/>
        <w:rPr>
          <w:rFonts w:asciiTheme="minorHAnsi" w:hAnsiTheme="minorHAnsi" w:eastAsiaTheme="minorEastAsia" w:cstheme="minorBidi"/>
          <w:sz w:val="22"/>
          <w:szCs w:val="22"/>
        </w:rPr>
      </w:pPr>
      <w:r>
        <w:t>The 2024 Series C Mortgage Loans</w:t>
      </w:r>
      <w:r>
        <w:tab/>
      </w:r>
      <w:r>
        <w:fldChar w:fldCharType="begin"/>
      </w:r>
      <w:r>
        <w:instrText xml:space="preserve"> PAGEREF _Toc172841914 \h </w:instrText>
      </w:r>
      <w:r>
        <w:fldChar w:fldCharType="separate"/>
      </w:r>
      <w:r>
        <w:t>3</w:t>
      </w:r>
      <w:r>
        <w:fldChar w:fldCharType="end"/>
      </w:r>
    </w:p>
    <w:p w:rsidR="005F7F21" w:rsidRDefault="005F7F21" w14:paraId="690B549A" w14:textId="0A3F6B60">
      <w:pPr>
        <w:pStyle w:val="TOC1"/>
        <w:rPr>
          <w:rFonts w:asciiTheme="minorHAnsi" w:hAnsiTheme="minorHAnsi" w:eastAsiaTheme="minorEastAsia" w:cstheme="minorBidi"/>
          <w:noProof/>
          <w:sz w:val="22"/>
          <w:szCs w:val="22"/>
        </w:rPr>
      </w:pPr>
      <w:r>
        <w:rPr>
          <w:noProof/>
        </w:rPr>
        <w:t>SOURCES AND USES OF FUNDS</w:t>
      </w:r>
      <w:r>
        <w:rPr>
          <w:noProof/>
        </w:rPr>
        <w:tab/>
      </w:r>
      <w:r>
        <w:rPr>
          <w:noProof/>
        </w:rPr>
        <w:fldChar w:fldCharType="begin"/>
      </w:r>
      <w:r>
        <w:rPr>
          <w:noProof/>
        </w:rPr>
        <w:instrText xml:space="preserve"> PAGEREF _Toc172841915 \h </w:instrText>
      </w:r>
      <w:r>
        <w:rPr>
          <w:noProof/>
        </w:rPr>
      </w:r>
      <w:r>
        <w:rPr>
          <w:noProof/>
        </w:rPr>
        <w:fldChar w:fldCharType="separate"/>
      </w:r>
      <w:r>
        <w:rPr>
          <w:noProof/>
        </w:rPr>
        <w:t>6</w:t>
      </w:r>
      <w:r>
        <w:rPr>
          <w:noProof/>
        </w:rPr>
        <w:fldChar w:fldCharType="end"/>
      </w:r>
    </w:p>
    <w:p w:rsidR="005F7F21" w:rsidRDefault="005F7F21" w14:paraId="72B990BA" w14:textId="041115B1">
      <w:pPr>
        <w:pStyle w:val="TOC1"/>
        <w:rPr>
          <w:rFonts w:asciiTheme="minorHAnsi" w:hAnsiTheme="minorHAnsi" w:eastAsiaTheme="minorEastAsia" w:cstheme="minorBidi"/>
          <w:noProof/>
          <w:sz w:val="22"/>
          <w:szCs w:val="22"/>
        </w:rPr>
      </w:pPr>
      <w:r>
        <w:rPr>
          <w:noProof/>
        </w:rPr>
        <w:t>THE 2024 SERIES C BONDS</w:t>
      </w:r>
      <w:r>
        <w:rPr>
          <w:noProof/>
        </w:rPr>
        <w:tab/>
      </w:r>
      <w:r>
        <w:rPr>
          <w:noProof/>
        </w:rPr>
        <w:fldChar w:fldCharType="begin"/>
      </w:r>
      <w:r>
        <w:rPr>
          <w:noProof/>
        </w:rPr>
        <w:instrText xml:space="preserve"> PAGEREF _Toc172841916 \h </w:instrText>
      </w:r>
      <w:r>
        <w:rPr>
          <w:noProof/>
        </w:rPr>
      </w:r>
      <w:r>
        <w:rPr>
          <w:noProof/>
        </w:rPr>
        <w:fldChar w:fldCharType="separate"/>
      </w:r>
      <w:r>
        <w:rPr>
          <w:noProof/>
        </w:rPr>
        <w:t>6</w:t>
      </w:r>
      <w:r>
        <w:rPr>
          <w:noProof/>
        </w:rPr>
        <w:fldChar w:fldCharType="end"/>
      </w:r>
    </w:p>
    <w:p w:rsidR="005F7F21" w:rsidRDefault="005F7F21" w14:paraId="53F22847" w14:textId="1EA3D0C6">
      <w:pPr>
        <w:pStyle w:val="TOC2"/>
        <w:rPr>
          <w:rFonts w:asciiTheme="minorHAnsi" w:hAnsiTheme="minorHAnsi" w:eastAsiaTheme="minorEastAsia" w:cstheme="minorBidi"/>
          <w:sz w:val="22"/>
          <w:szCs w:val="22"/>
        </w:rPr>
      </w:pPr>
      <w:r>
        <w:t>General</w:t>
      </w:r>
      <w:r>
        <w:tab/>
      </w:r>
      <w:r>
        <w:fldChar w:fldCharType="begin"/>
      </w:r>
      <w:r>
        <w:instrText xml:space="preserve"> PAGEREF _Toc172841917 \h </w:instrText>
      </w:r>
      <w:r>
        <w:fldChar w:fldCharType="separate"/>
      </w:r>
      <w:r>
        <w:t>6</w:t>
      </w:r>
      <w:r>
        <w:fldChar w:fldCharType="end"/>
      </w:r>
    </w:p>
    <w:p w:rsidR="005F7F21" w:rsidRDefault="005F7F21" w14:paraId="0C001D9D" w14:textId="65909DC5">
      <w:pPr>
        <w:pStyle w:val="TOC1"/>
        <w:rPr>
          <w:rFonts w:asciiTheme="minorHAnsi" w:hAnsiTheme="minorHAnsi" w:eastAsiaTheme="minorEastAsia" w:cstheme="minorBidi"/>
          <w:noProof/>
          <w:sz w:val="22"/>
          <w:szCs w:val="22"/>
        </w:rPr>
      </w:pPr>
      <w:r>
        <w:rPr>
          <w:noProof/>
        </w:rPr>
        <w:t>DESIGNATION OF THE 2024 SERIES C BONDS AS SOCIAL BONDS</w:t>
      </w:r>
      <w:r>
        <w:rPr>
          <w:noProof/>
        </w:rPr>
        <w:tab/>
      </w:r>
      <w:r>
        <w:rPr>
          <w:noProof/>
        </w:rPr>
        <w:fldChar w:fldCharType="begin"/>
      </w:r>
      <w:r>
        <w:rPr>
          <w:noProof/>
        </w:rPr>
        <w:instrText xml:space="preserve"> PAGEREF _Toc172841918 \h </w:instrText>
      </w:r>
      <w:r>
        <w:rPr>
          <w:noProof/>
        </w:rPr>
      </w:r>
      <w:r>
        <w:rPr>
          <w:noProof/>
        </w:rPr>
        <w:fldChar w:fldCharType="separate"/>
      </w:r>
      <w:r>
        <w:rPr>
          <w:noProof/>
        </w:rPr>
        <w:t>6</w:t>
      </w:r>
      <w:r>
        <w:rPr>
          <w:noProof/>
        </w:rPr>
        <w:fldChar w:fldCharType="end"/>
      </w:r>
    </w:p>
    <w:p w:rsidR="005F7F21" w:rsidRDefault="005F7F21" w14:paraId="7B7CC023" w14:textId="50D3FAD1">
      <w:pPr>
        <w:pStyle w:val="TOC1"/>
        <w:rPr>
          <w:rFonts w:asciiTheme="minorHAnsi" w:hAnsiTheme="minorHAnsi" w:eastAsiaTheme="minorEastAsia" w:cstheme="minorBidi"/>
          <w:noProof/>
          <w:sz w:val="22"/>
          <w:szCs w:val="22"/>
        </w:rPr>
      </w:pPr>
      <w:r>
        <w:rPr>
          <w:noProof/>
        </w:rPr>
        <w:t>REDEMPTION OF 2024 SERIES C BONDS</w:t>
      </w:r>
      <w:r>
        <w:rPr>
          <w:noProof/>
        </w:rPr>
        <w:tab/>
      </w:r>
      <w:r>
        <w:rPr>
          <w:noProof/>
        </w:rPr>
        <w:fldChar w:fldCharType="begin"/>
      </w:r>
      <w:r>
        <w:rPr>
          <w:noProof/>
        </w:rPr>
        <w:instrText xml:space="preserve"> PAGEREF _Toc172841919 \h </w:instrText>
      </w:r>
      <w:r>
        <w:rPr>
          <w:noProof/>
        </w:rPr>
      </w:r>
      <w:r>
        <w:rPr>
          <w:noProof/>
        </w:rPr>
        <w:fldChar w:fldCharType="separate"/>
      </w:r>
      <w:r>
        <w:rPr>
          <w:noProof/>
        </w:rPr>
        <w:t>11</w:t>
      </w:r>
      <w:r>
        <w:rPr>
          <w:noProof/>
        </w:rPr>
        <w:fldChar w:fldCharType="end"/>
      </w:r>
    </w:p>
    <w:p w:rsidR="005F7F21" w:rsidRDefault="005F7F21" w14:paraId="7BE3F014" w14:textId="15EAC10C">
      <w:pPr>
        <w:pStyle w:val="TOC2"/>
        <w:rPr>
          <w:rFonts w:asciiTheme="minorHAnsi" w:hAnsiTheme="minorHAnsi" w:eastAsiaTheme="minorEastAsia" w:cstheme="minorBidi"/>
          <w:sz w:val="22"/>
          <w:szCs w:val="22"/>
        </w:rPr>
      </w:pPr>
      <w:r>
        <w:t>General Redemption Provisions</w:t>
      </w:r>
      <w:r>
        <w:tab/>
      </w:r>
      <w:r>
        <w:fldChar w:fldCharType="begin"/>
      </w:r>
      <w:r>
        <w:instrText xml:space="preserve"> PAGEREF _Toc172841920 \h </w:instrText>
      </w:r>
      <w:r>
        <w:fldChar w:fldCharType="separate"/>
      </w:r>
      <w:r>
        <w:t>11</w:t>
      </w:r>
      <w:r>
        <w:fldChar w:fldCharType="end"/>
      </w:r>
    </w:p>
    <w:p w:rsidR="005F7F21" w:rsidRDefault="005F7F21" w14:paraId="727E28B9" w14:textId="775BFF23">
      <w:pPr>
        <w:pStyle w:val="TOC3"/>
        <w:tabs>
          <w:tab w:val="right" w:leader="dot" w:pos="9350"/>
        </w:tabs>
        <w:rPr>
          <w:rFonts w:asciiTheme="minorHAnsi" w:hAnsiTheme="minorHAnsi" w:eastAsiaTheme="minorEastAsia" w:cstheme="minorBidi"/>
          <w:noProof/>
          <w:sz w:val="22"/>
          <w:szCs w:val="22"/>
        </w:rPr>
      </w:pPr>
      <w:r>
        <w:rPr>
          <w:noProof/>
        </w:rPr>
        <w:t>Selection of Bonds to be Redeemed</w:t>
      </w:r>
      <w:r>
        <w:rPr>
          <w:noProof/>
        </w:rPr>
        <w:tab/>
      </w:r>
      <w:r>
        <w:rPr>
          <w:noProof/>
        </w:rPr>
        <w:fldChar w:fldCharType="begin"/>
      </w:r>
      <w:r>
        <w:rPr>
          <w:noProof/>
        </w:rPr>
        <w:instrText xml:space="preserve"> PAGEREF _Toc172841921 \h </w:instrText>
      </w:r>
      <w:r>
        <w:rPr>
          <w:noProof/>
        </w:rPr>
      </w:r>
      <w:r>
        <w:rPr>
          <w:noProof/>
        </w:rPr>
        <w:fldChar w:fldCharType="separate"/>
      </w:r>
      <w:r>
        <w:rPr>
          <w:noProof/>
        </w:rPr>
        <w:t>11</w:t>
      </w:r>
      <w:r>
        <w:rPr>
          <w:noProof/>
        </w:rPr>
        <w:fldChar w:fldCharType="end"/>
      </w:r>
    </w:p>
    <w:p w:rsidR="005F7F21" w:rsidRDefault="005F7F21" w14:paraId="6CED2BFA" w14:textId="365B3160">
      <w:pPr>
        <w:pStyle w:val="TOC3"/>
        <w:tabs>
          <w:tab w:val="right" w:leader="dot" w:pos="9350"/>
        </w:tabs>
        <w:rPr>
          <w:rFonts w:asciiTheme="minorHAnsi" w:hAnsiTheme="minorHAnsi" w:eastAsiaTheme="minorEastAsia" w:cstheme="minorBidi"/>
          <w:noProof/>
          <w:sz w:val="22"/>
          <w:szCs w:val="22"/>
        </w:rPr>
      </w:pPr>
      <w:r>
        <w:rPr>
          <w:noProof/>
        </w:rPr>
        <w:t>Notice of Redemption</w:t>
      </w:r>
      <w:r>
        <w:rPr>
          <w:noProof/>
        </w:rPr>
        <w:tab/>
      </w:r>
      <w:r>
        <w:rPr>
          <w:noProof/>
        </w:rPr>
        <w:fldChar w:fldCharType="begin"/>
      </w:r>
      <w:r>
        <w:rPr>
          <w:noProof/>
        </w:rPr>
        <w:instrText xml:space="preserve"> PAGEREF _Toc172841922 \h </w:instrText>
      </w:r>
      <w:r>
        <w:rPr>
          <w:noProof/>
        </w:rPr>
      </w:r>
      <w:r>
        <w:rPr>
          <w:noProof/>
        </w:rPr>
        <w:fldChar w:fldCharType="separate"/>
      </w:r>
      <w:r>
        <w:rPr>
          <w:noProof/>
        </w:rPr>
        <w:t>11</w:t>
      </w:r>
      <w:r>
        <w:rPr>
          <w:noProof/>
        </w:rPr>
        <w:fldChar w:fldCharType="end"/>
      </w:r>
    </w:p>
    <w:p w:rsidR="005F7F21" w:rsidRDefault="005F7F21" w14:paraId="61BD0FE0" w14:textId="217B7026">
      <w:pPr>
        <w:pStyle w:val="TOC3"/>
        <w:tabs>
          <w:tab w:val="right" w:leader="dot" w:pos="9350"/>
        </w:tabs>
        <w:rPr>
          <w:rFonts w:asciiTheme="minorHAnsi" w:hAnsiTheme="minorHAnsi" w:eastAsiaTheme="minorEastAsia" w:cstheme="minorBidi"/>
          <w:noProof/>
          <w:sz w:val="22"/>
          <w:szCs w:val="22"/>
        </w:rPr>
      </w:pPr>
      <w:r>
        <w:rPr>
          <w:noProof/>
        </w:rPr>
        <w:t>Payment of Redeemed Bonds</w:t>
      </w:r>
      <w:r>
        <w:rPr>
          <w:noProof/>
        </w:rPr>
        <w:tab/>
      </w:r>
      <w:r>
        <w:rPr>
          <w:noProof/>
        </w:rPr>
        <w:fldChar w:fldCharType="begin"/>
      </w:r>
      <w:r>
        <w:rPr>
          <w:noProof/>
        </w:rPr>
        <w:instrText xml:space="preserve"> PAGEREF _Toc172841923 \h </w:instrText>
      </w:r>
      <w:r>
        <w:rPr>
          <w:noProof/>
        </w:rPr>
      </w:r>
      <w:r>
        <w:rPr>
          <w:noProof/>
        </w:rPr>
        <w:fldChar w:fldCharType="separate"/>
      </w:r>
      <w:r>
        <w:rPr>
          <w:noProof/>
        </w:rPr>
        <w:t>12</w:t>
      </w:r>
      <w:r>
        <w:rPr>
          <w:noProof/>
        </w:rPr>
        <w:fldChar w:fldCharType="end"/>
      </w:r>
    </w:p>
    <w:p w:rsidR="005F7F21" w:rsidRDefault="005F7F21" w14:paraId="2D170088" w14:textId="12EBA358">
      <w:pPr>
        <w:pStyle w:val="TOC3"/>
        <w:tabs>
          <w:tab w:val="right" w:leader="dot" w:pos="9350"/>
        </w:tabs>
        <w:rPr>
          <w:rFonts w:asciiTheme="minorHAnsi" w:hAnsiTheme="minorHAnsi" w:eastAsiaTheme="minorEastAsia" w:cstheme="minorBidi"/>
          <w:noProof/>
          <w:sz w:val="22"/>
          <w:szCs w:val="22"/>
        </w:rPr>
      </w:pPr>
      <w:r>
        <w:rPr>
          <w:noProof/>
        </w:rPr>
        <w:t>Conditional Notice of Redemption</w:t>
      </w:r>
      <w:r>
        <w:rPr>
          <w:noProof/>
        </w:rPr>
        <w:tab/>
      </w:r>
      <w:r>
        <w:rPr>
          <w:noProof/>
        </w:rPr>
        <w:fldChar w:fldCharType="begin"/>
      </w:r>
      <w:r>
        <w:rPr>
          <w:noProof/>
        </w:rPr>
        <w:instrText xml:space="preserve"> PAGEREF _Toc172841924 \h </w:instrText>
      </w:r>
      <w:r>
        <w:rPr>
          <w:noProof/>
        </w:rPr>
      </w:r>
      <w:r>
        <w:rPr>
          <w:noProof/>
        </w:rPr>
        <w:fldChar w:fldCharType="separate"/>
      </w:r>
      <w:r>
        <w:rPr>
          <w:noProof/>
        </w:rPr>
        <w:t>12</w:t>
      </w:r>
      <w:r>
        <w:rPr>
          <w:noProof/>
        </w:rPr>
        <w:fldChar w:fldCharType="end"/>
      </w:r>
    </w:p>
    <w:p w:rsidR="005F7F21" w:rsidRDefault="005F7F21" w14:paraId="667C3A6B" w14:textId="2E2D2218">
      <w:pPr>
        <w:pStyle w:val="TOC2"/>
        <w:rPr>
          <w:rFonts w:asciiTheme="minorHAnsi" w:hAnsiTheme="minorHAnsi" w:eastAsiaTheme="minorEastAsia" w:cstheme="minorBidi"/>
          <w:sz w:val="22"/>
          <w:szCs w:val="22"/>
        </w:rPr>
      </w:pPr>
      <w:r>
        <w:t>Special Redemption from Unexpended Proceeds</w:t>
      </w:r>
      <w:r>
        <w:tab/>
      </w:r>
      <w:r>
        <w:fldChar w:fldCharType="begin"/>
      </w:r>
      <w:r>
        <w:instrText xml:space="preserve"> PAGEREF _Toc172841925 \h </w:instrText>
      </w:r>
      <w:r>
        <w:fldChar w:fldCharType="separate"/>
      </w:r>
      <w:r>
        <w:t>12</w:t>
      </w:r>
      <w:r>
        <w:fldChar w:fldCharType="end"/>
      </w:r>
    </w:p>
    <w:p w:rsidR="005F7F21" w:rsidRDefault="005F7F21" w14:paraId="46DA12FB" w14:textId="257BD494">
      <w:pPr>
        <w:pStyle w:val="TOC2"/>
        <w:rPr>
          <w:rFonts w:asciiTheme="minorHAnsi" w:hAnsiTheme="minorHAnsi" w:eastAsiaTheme="minorEastAsia" w:cstheme="minorBidi"/>
          <w:sz w:val="22"/>
          <w:szCs w:val="22"/>
        </w:rPr>
      </w:pPr>
      <w:r>
        <w:t>Redemption from Prepayments, Repayments and Excess Revenues</w:t>
      </w:r>
      <w:r>
        <w:tab/>
      </w:r>
      <w:r>
        <w:fldChar w:fldCharType="begin"/>
      </w:r>
      <w:r>
        <w:instrText xml:space="preserve"> PAGEREF _Toc172841926 \h </w:instrText>
      </w:r>
      <w:r>
        <w:fldChar w:fldCharType="separate"/>
      </w:r>
      <w:r>
        <w:t>13</w:t>
      </w:r>
      <w:r>
        <w:fldChar w:fldCharType="end"/>
      </w:r>
    </w:p>
    <w:p w:rsidR="005F7F21" w:rsidRDefault="005F7F21" w14:paraId="3717078B" w14:textId="7050AD9E">
      <w:pPr>
        <w:pStyle w:val="TOC3"/>
        <w:tabs>
          <w:tab w:val="right" w:leader="dot" w:pos="9350"/>
        </w:tabs>
        <w:rPr>
          <w:rFonts w:asciiTheme="minorHAnsi" w:hAnsiTheme="minorHAnsi" w:eastAsiaTheme="minorEastAsia" w:cstheme="minorBidi"/>
          <w:noProof/>
          <w:sz w:val="22"/>
          <w:szCs w:val="22"/>
        </w:rPr>
      </w:pPr>
      <w:r>
        <w:rPr>
          <w:noProof/>
        </w:rPr>
        <w:t>Directed Principal Receipts</w:t>
      </w:r>
      <w:r>
        <w:rPr>
          <w:noProof/>
        </w:rPr>
        <w:tab/>
      </w:r>
      <w:r>
        <w:rPr>
          <w:noProof/>
        </w:rPr>
        <w:fldChar w:fldCharType="begin"/>
      </w:r>
      <w:r>
        <w:rPr>
          <w:noProof/>
        </w:rPr>
        <w:instrText xml:space="preserve"> PAGEREF _Toc172841927 \h </w:instrText>
      </w:r>
      <w:r>
        <w:rPr>
          <w:noProof/>
        </w:rPr>
      </w:r>
      <w:r>
        <w:rPr>
          <w:noProof/>
        </w:rPr>
        <w:fldChar w:fldCharType="separate"/>
      </w:r>
      <w:r>
        <w:rPr>
          <w:noProof/>
        </w:rPr>
        <w:t>13</w:t>
      </w:r>
      <w:r>
        <w:rPr>
          <w:noProof/>
        </w:rPr>
        <w:fldChar w:fldCharType="end"/>
      </w:r>
    </w:p>
    <w:p w:rsidR="005F7F21" w:rsidRDefault="005F7F21" w14:paraId="0989299B" w14:textId="217DDA0D">
      <w:pPr>
        <w:pStyle w:val="TOC3"/>
        <w:tabs>
          <w:tab w:val="right" w:leader="dot" w:pos="9350"/>
        </w:tabs>
        <w:rPr>
          <w:rFonts w:asciiTheme="minorHAnsi" w:hAnsiTheme="minorHAnsi" w:eastAsiaTheme="minorEastAsia" w:cstheme="minorBidi"/>
          <w:noProof/>
          <w:sz w:val="22"/>
          <w:szCs w:val="22"/>
        </w:rPr>
      </w:pPr>
      <w:r>
        <w:rPr>
          <w:noProof/>
        </w:rPr>
        <w:t>Mandatory Redemption of 2024C-2 PAC Bonds</w:t>
      </w:r>
      <w:r>
        <w:rPr>
          <w:noProof/>
        </w:rPr>
        <w:tab/>
      </w:r>
      <w:r>
        <w:rPr>
          <w:noProof/>
        </w:rPr>
        <w:fldChar w:fldCharType="begin"/>
      </w:r>
      <w:r>
        <w:rPr>
          <w:noProof/>
        </w:rPr>
        <w:instrText xml:space="preserve"> PAGEREF _Toc172841928 \h </w:instrText>
      </w:r>
      <w:r>
        <w:rPr>
          <w:noProof/>
        </w:rPr>
      </w:r>
      <w:r>
        <w:rPr>
          <w:noProof/>
        </w:rPr>
        <w:fldChar w:fldCharType="separate"/>
      </w:r>
      <w:r>
        <w:rPr>
          <w:noProof/>
        </w:rPr>
        <w:t>13</w:t>
      </w:r>
      <w:r>
        <w:rPr>
          <w:noProof/>
        </w:rPr>
        <w:fldChar w:fldCharType="end"/>
      </w:r>
    </w:p>
    <w:p w:rsidR="005F7F21" w:rsidRDefault="005F7F21" w14:paraId="6E0DC512" w14:textId="31350433">
      <w:pPr>
        <w:pStyle w:val="TOC3"/>
        <w:tabs>
          <w:tab w:val="right" w:leader="dot" w:pos="9350"/>
        </w:tabs>
        <w:rPr>
          <w:rFonts w:asciiTheme="minorHAnsi" w:hAnsiTheme="minorHAnsi" w:eastAsiaTheme="minorEastAsia" w:cstheme="minorBidi"/>
          <w:noProof/>
          <w:sz w:val="22"/>
          <w:szCs w:val="22"/>
        </w:rPr>
      </w:pPr>
      <w:r>
        <w:rPr>
          <w:noProof/>
        </w:rPr>
        <w:t>Estimated Weighted Average Lives of the 2024C-2 PAC Bonds</w:t>
      </w:r>
      <w:r>
        <w:rPr>
          <w:noProof/>
        </w:rPr>
        <w:tab/>
      </w:r>
      <w:r>
        <w:rPr>
          <w:noProof/>
        </w:rPr>
        <w:fldChar w:fldCharType="begin"/>
      </w:r>
      <w:r>
        <w:rPr>
          <w:noProof/>
        </w:rPr>
        <w:instrText xml:space="preserve"> PAGEREF _Toc172841929 \h </w:instrText>
      </w:r>
      <w:r>
        <w:rPr>
          <w:noProof/>
        </w:rPr>
      </w:r>
      <w:r>
        <w:rPr>
          <w:noProof/>
        </w:rPr>
        <w:fldChar w:fldCharType="separate"/>
      </w:r>
      <w:r>
        <w:rPr>
          <w:noProof/>
        </w:rPr>
        <w:t>14</w:t>
      </w:r>
      <w:r>
        <w:rPr>
          <w:noProof/>
        </w:rPr>
        <w:fldChar w:fldCharType="end"/>
      </w:r>
    </w:p>
    <w:p w:rsidR="005F7F21" w:rsidRDefault="005F7F21" w14:paraId="214E325C" w14:textId="69E8DCED">
      <w:pPr>
        <w:pStyle w:val="TOC3"/>
        <w:tabs>
          <w:tab w:val="right" w:leader="dot" w:pos="9350"/>
        </w:tabs>
        <w:rPr>
          <w:rFonts w:asciiTheme="minorHAnsi" w:hAnsiTheme="minorHAnsi" w:eastAsiaTheme="minorEastAsia" w:cstheme="minorBidi"/>
          <w:noProof/>
          <w:sz w:val="22"/>
          <w:szCs w:val="22"/>
        </w:rPr>
      </w:pPr>
      <w:r>
        <w:rPr>
          <w:noProof/>
        </w:rPr>
        <w:t>Cross Calling and Recycling</w:t>
      </w:r>
      <w:r>
        <w:rPr>
          <w:noProof/>
        </w:rPr>
        <w:tab/>
      </w:r>
      <w:r>
        <w:rPr>
          <w:noProof/>
        </w:rPr>
        <w:fldChar w:fldCharType="begin"/>
      </w:r>
      <w:r>
        <w:rPr>
          <w:noProof/>
        </w:rPr>
        <w:instrText xml:space="preserve"> PAGEREF _Toc172841930 \h </w:instrText>
      </w:r>
      <w:r>
        <w:rPr>
          <w:noProof/>
        </w:rPr>
      </w:r>
      <w:r>
        <w:rPr>
          <w:noProof/>
        </w:rPr>
        <w:fldChar w:fldCharType="separate"/>
      </w:r>
      <w:r>
        <w:rPr>
          <w:noProof/>
        </w:rPr>
        <w:t>15</w:t>
      </w:r>
      <w:r>
        <w:rPr>
          <w:noProof/>
        </w:rPr>
        <w:fldChar w:fldCharType="end"/>
      </w:r>
    </w:p>
    <w:p w:rsidR="005F7F21" w:rsidRDefault="005F7F21" w14:paraId="4FEEBFC6" w14:textId="39D78C88">
      <w:pPr>
        <w:pStyle w:val="TOC3"/>
        <w:tabs>
          <w:tab w:val="right" w:leader="dot" w:pos="9350"/>
        </w:tabs>
        <w:rPr>
          <w:rFonts w:asciiTheme="minorHAnsi" w:hAnsiTheme="minorHAnsi" w:eastAsiaTheme="minorEastAsia" w:cstheme="minorBidi"/>
          <w:noProof/>
          <w:sz w:val="22"/>
          <w:szCs w:val="22"/>
        </w:rPr>
      </w:pPr>
      <w:r>
        <w:rPr>
          <w:noProof/>
        </w:rPr>
        <w:t>Mandatory Redemption of 2024 Series C-1 Bonds from Tax Restricted Prepayments and Repayments</w:t>
      </w:r>
      <w:r>
        <w:rPr>
          <w:noProof/>
        </w:rPr>
        <w:tab/>
      </w:r>
      <w:r>
        <w:rPr>
          <w:noProof/>
        </w:rPr>
        <w:fldChar w:fldCharType="begin"/>
      </w:r>
      <w:r>
        <w:rPr>
          <w:noProof/>
        </w:rPr>
        <w:instrText xml:space="preserve"> PAGEREF _Toc172841931 \h </w:instrText>
      </w:r>
      <w:r>
        <w:rPr>
          <w:noProof/>
        </w:rPr>
      </w:r>
      <w:r>
        <w:rPr>
          <w:noProof/>
        </w:rPr>
        <w:fldChar w:fldCharType="separate"/>
      </w:r>
      <w:r>
        <w:rPr>
          <w:noProof/>
        </w:rPr>
        <w:t>15</w:t>
      </w:r>
      <w:r>
        <w:rPr>
          <w:noProof/>
        </w:rPr>
        <w:fldChar w:fldCharType="end"/>
      </w:r>
    </w:p>
    <w:p w:rsidR="005F7F21" w:rsidRDefault="005F7F21" w14:paraId="153FEC4B" w14:textId="444CDE4F">
      <w:pPr>
        <w:pStyle w:val="TOC2"/>
        <w:rPr>
          <w:rFonts w:asciiTheme="minorHAnsi" w:hAnsiTheme="minorHAnsi" w:eastAsiaTheme="minorEastAsia" w:cstheme="minorBidi"/>
          <w:sz w:val="22"/>
          <w:szCs w:val="22"/>
        </w:rPr>
      </w:pPr>
      <w:r>
        <w:t>Special Optional Redemption</w:t>
      </w:r>
      <w:r>
        <w:tab/>
      </w:r>
      <w:r>
        <w:fldChar w:fldCharType="begin"/>
      </w:r>
      <w:r>
        <w:instrText xml:space="preserve"> PAGEREF _Toc172841932 \h </w:instrText>
      </w:r>
      <w:r>
        <w:fldChar w:fldCharType="separate"/>
      </w:r>
      <w:r>
        <w:t>16</w:t>
      </w:r>
      <w:r>
        <w:fldChar w:fldCharType="end"/>
      </w:r>
    </w:p>
    <w:p w:rsidR="005F7F21" w:rsidRDefault="005F7F21" w14:paraId="5058B929" w14:textId="13100A04">
      <w:pPr>
        <w:pStyle w:val="TOC2"/>
        <w:rPr>
          <w:rFonts w:asciiTheme="minorHAnsi" w:hAnsiTheme="minorHAnsi" w:eastAsiaTheme="minorEastAsia" w:cstheme="minorBidi"/>
          <w:sz w:val="22"/>
          <w:szCs w:val="22"/>
        </w:rPr>
      </w:pPr>
      <w:r>
        <w:t>Optional Redemption of 2024 Series C Bonds</w:t>
      </w:r>
      <w:r>
        <w:tab/>
      </w:r>
      <w:r>
        <w:fldChar w:fldCharType="begin"/>
      </w:r>
      <w:r>
        <w:instrText xml:space="preserve"> PAGEREF _Toc172841933 \h </w:instrText>
      </w:r>
      <w:r>
        <w:fldChar w:fldCharType="separate"/>
      </w:r>
      <w:r>
        <w:t>16</w:t>
      </w:r>
      <w:r>
        <w:fldChar w:fldCharType="end"/>
      </w:r>
    </w:p>
    <w:p w:rsidR="005F7F21" w:rsidRDefault="005F7F21" w14:paraId="76C43168" w14:textId="48AC62AF">
      <w:pPr>
        <w:pStyle w:val="TOC2"/>
        <w:rPr>
          <w:rFonts w:asciiTheme="minorHAnsi" w:hAnsiTheme="minorHAnsi" w:eastAsiaTheme="minorEastAsia" w:cstheme="minorBidi"/>
          <w:sz w:val="22"/>
          <w:szCs w:val="22"/>
        </w:rPr>
      </w:pPr>
      <w:r>
        <w:t>Redemption from Operation of Sinking Fund Installments</w:t>
      </w:r>
      <w:r>
        <w:tab/>
      </w:r>
      <w:r>
        <w:fldChar w:fldCharType="begin"/>
      </w:r>
      <w:r>
        <w:instrText xml:space="preserve"> PAGEREF _Toc172841934 \h </w:instrText>
      </w:r>
      <w:r>
        <w:fldChar w:fldCharType="separate"/>
      </w:r>
      <w:r>
        <w:t>17</w:t>
      </w:r>
      <w:r>
        <w:fldChar w:fldCharType="end"/>
      </w:r>
    </w:p>
    <w:p w:rsidR="005F7F21" w:rsidRDefault="005F7F21" w14:paraId="5FA868FA" w14:textId="19F0B4BF">
      <w:pPr>
        <w:pStyle w:val="TOC1"/>
        <w:rPr>
          <w:rFonts w:asciiTheme="minorHAnsi" w:hAnsiTheme="minorHAnsi" w:eastAsiaTheme="minorEastAsia" w:cstheme="minorBidi"/>
          <w:noProof/>
          <w:sz w:val="22"/>
          <w:szCs w:val="22"/>
        </w:rPr>
      </w:pPr>
      <w:r>
        <w:rPr>
          <w:noProof/>
        </w:rPr>
        <w:t>BOOK-ENTRY-ONLY SYSTEM</w:t>
      </w:r>
      <w:r>
        <w:rPr>
          <w:noProof/>
        </w:rPr>
        <w:tab/>
      </w:r>
      <w:r>
        <w:rPr>
          <w:noProof/>
        </w:rPr>
        <w:fldChar w:fldCharType="begin"/>
      </w:r>
      <w:r>
        <w:rPr>
          <w:noProof/>
        </w:rPr>
        <w:instrText xml:space="preserve"> PAGEREF _Toc172841935 \h </w:instrText>
      </w:r>
      <w:r>
        <w:rPr>
          <w:noProof/>
        </w:rPr>
      </w:r>
      <w:r>
        <w:rPr>
          <w:noProof/>
        </w:rPr>
        <w:fldChar w:fldCharType="separate"/>
      </w:r>
      <w:r>
        <w:rPr>
          <w:noProof/>
        </w:rPr>
        <w:t>20</w:t>
      </w:r>
      <w:r>
        <w:rPr>
          <w:noProof/>
        </w:rPr>
        <w:fldChar w:fldCharType="end"/>
      </w:r>
    </w:p>
    <w:p w:rsidR="005F7F21" w:rsidRDefault="005F7F21" w14:paraId="5AD024F2" w14:textId="566FE090">
      <w:pPr>
        <w:pStyle w:val="TOC2"/>
        <w:rPr>
          <w:rFonts w:asciiTheme="minorHAnsi" w:hAnsiTheme="minorHAnsi" w:eastAsiaTheme="minorEastAsia" w:cstheme="minorBidi"/>
          <w:sz w:val="22"/>
          <w:szCs w:val="22"/>
        </w:rPr>
      </w:pPr>
      <w:r>
        <w:t>General</w:t>
      </w:r>
      <w:r>
        <w:tab/>
      </w:r>
      <w:r>
        <w:fldChar w:fldCharType="begin"/>
      </w:r>
      <w:r>
        <w:instrText xml:space="preserve"> PAGEREF _Toc172841936 \h </w:instrText>
      </w:r>
      <w:r>
        <w:fldChar w:fldCharType="separate"/>
      </w:r>
      <w:r>
        <w:t>20</w:t>
      </w:r>
      <w:r>
        <w:fldChar w:fldCharType="end"/>
      </w:r>
    </w:p>
    <w:p w:rsidR="005F7F21" w:rsidRDefault="005F7F21" w14:paraId="7E2647DA" w14:textId="4B7D1D22">
      <w:pPr>
        <w:pStyle w:val="TOC2"/>
        <w:rPr>
          <w:rFonts w:asciiTheme="minorHAnsi" w:hAnsiTheme="minorHAnsi" w:eastAsiaTheme="minorEastAsia" w:cstheme="minorBidi"/>
          <w:sz w:val="22"/>
          <w:szCs w:val="22"/>
        </w:rPr>
      </w:pPr>
      <w:r>
        <w:t>Revision of Book-Entry-Only System</w:t>
      </w:r>
      <w:r>
        <w:tab/>
      </w:r>
      <w:r>
        <w:fldChar w:fldCharType="begin"/>
      </w:r>
      <w:r>
        <w:instrText xml:space="preserve"> PAGEREF _Toc172841937 \h </w:instrText>
      </w:r>
      <w:r>
        <w:fldChar w:fldCharType="separate"/>
      </w:r>
      <w:r>
        <w:t>22</w:t>
      </w:r>
      <w:r>
        <w:fldChar w:fldCharType="end"/>
      </w:r>
    </w:p>
    <w:p w:rsidR="005F7F21" w:rsidRDefault="005F7F21" w14:paraId="1D9F84A3" w14:textId="115D896F">
      <w:pPr>
        <w:pStyle w:val="TOC1"/>
        <w:rPr>
          <w:rFonts w:asciiTheme="minorHAnsi" w:hAnsiTheme="minorHAnsi" w:eastAsiaTheme="minorEastAsia" w:cstheme="minorBidi"/>
          <w:noProof/>
          <w:sz w:val="22"/>
          <w:szCs w:val="22"/>
        </w:rPr>
      </w:pPr>
      <w:r>
        <w:rPr>
          <w:noProof/>
        </w:rPr>
        <w:t>SECURITY FOR BONDS</w:t>
      </w:r>
      <w:r>
        <w:rPr>
          <w:noProof/>
        </w:rPr>
        <w:tab/>
      </w:r>
      <w:r>
        <w:rPr>
          <w:noProof/>
        </w:rPr>
        <w:fldChar w:fldCharType="begin"/>
      </w:r>
      <w:r>
        <w:rPr>
          <w:noProof/>
        </w:rPr>
        <w:instrText xml:space="preserve"> PAGEREF _Toc172841938 \h </w:instrText>
      </w:r>
      <w:r>
        <w:rPr>
          <w:noProof/>
        </w:rPr>
      </w:r>
      <w:r>
        <w:rPr>
          <w:noProof/>
        </w:rPr>
        <w:fldChar w:fldCharType="separate"/>
      </w:r>
      <w:r>
        <w:rPr>
          <w:noProof/>
        </w:rPr>
        <w:t>22</w:t>
      </w:r>
      <w:r>
        <w:rPr>
          <w:noProof/>
        </w:rPr>
        <w:fldChar w:fldCharType="end"/>
      </w:r>
    </w:p>
    <w:p w:rsidR="005F7F21" w:rsidRDefault="005F7F21" w14:paraId="0BB0203C" w14:textId="14757A2C">
      <w:pPr>
        <w:pStyle w:val="TOC2"/>
        <w:rPr>
          <w:rFonts w:asciiTheme="minorHAnsi" w:hAnsiTheme="minorHAnsi" w:eastAsiaTheme="minorEastAsia" w:cstheme="minorBidi"/>
          <w:sz w:val="22"/>
          <w:szCs w:val="22"/>
        </w:rPr>
      </w:pPr>
      <w:r>
        <w:t>Pledge of Indenture</w:t>
      </w:r>
      <w:r>
        <w:tab/>
      </w:r>
      <w:r>
        <w:fldChar w:fldCharType="begin"/>
      </w:r>
      <w:r>
        <w:instrText xml:space="preserve"> PAGEREF _Toc172841939 \h </w:instrText>
      </w:r>
      <w:r>
        <w:fldChar w:fldCharType="separate"/>
      </w:r>
      <w:r>
        <w:t>22</w:t>
      </w:r>
      <w:r>
        <w:fldChar w:fldCharType="end"/>
      </w:r>
    </w:p>
    <w:p w:rsidR="005F7F21" w:rsidRDefault="005F7F21" w14:paraId="7ED1480E" w14:textId="3E936E48">
      <w:pPr>
        <w:pStyle w:val="TOC2"/>
        <w:rPr>
          <w:rFonts w:asciiTheme="minorHAnsi" w:hAnsiTheme="minorHAnsi" w:eastAsiaTheme="minorEastAsia" w:cstheme="minorBidi"/>
          <w:sz w:val="22"/>
          <w:szCs w:val="22"/>
        </w:rPr>
      </w:pPr>
      <w:r>
        <w:t>Outstanding Bonds and Mortgage Loans under Indenture</w:t>
      </w:r>
      <w:r>
        <w:tab/>
      </w:r>
      <w:r>
        <w:fldChar w:fldCharType="begin"/>
      </w:r>
      <w:r>
        <w:instrText xml:space="preserve"> PAGEREF _Toc172841940 \h </w:instrText>
      </w:r>
      <w:r>
        <w:fldChar w:fldCharType="separate"/>
      </w:r>
      <w:r>
        <w:t>23</w:t>
      </w:r>
      <w:r>
        <w:fldChar w:fldCharType="end"/>
      </w:r>
    </w:p>
    <w:p w:rsidR="005F7F21" w:rsidRDefault="005F7F21" w14:paraId="3DC62C02" w14:textId="71326437">
      <w:pPr>
        <w:pStyle w:val="TOC3"/>
        <w:tabs>
          <w:tab w:val="right" w:leader="dot" w:pos="9350"/>
        </w:tabs>
        <w:rPr>
          <w:rFonts w:asciiTheme="minorHAnsi" w:hAnsiTheme="minorHAnsi" w:eastAsiaTheme="minorEastAsia" w:cstheme="minorBidi"/>
          <w:noProof/>
          <w:sz w:val="22"/>
          <w:szCs w:val="22"/>
        </w:rPr>
      </w:pPr>
      <w:r>
        <w:rPr>
          <w:noProof/>
        </w:rPr>
        <w:t>Bonds</w:t>
      </w:r>
      <w:r>
        <w:rPr>
          <w:noProof/>
        </w:rPr>
        <w:tab/>
      </w:r>
      <w:r>
        <w:rPr>
          <w:noProof/>
        </w:rPr>
        <w:fldChar w:fldCharType="begin"/>
      </w:r>
      <w:r>
        <w:rPr>
          <w:noProof/>
        </w:rPr>
        <w:instrText xml:space="preserve"> PAGEREF _Toc172841941 \h </w:instrText>
      </w:r>
      <w:r>
        <w:rPr>
          <w:noProof/>
        </w:rPr>
      </w:r>
      <w:r>
        <w:rPr>
          <w:noProof/>
        </w:rPr>
        <w:fldChar w:fldCharType="separate"/>
      </w:r>
      <w:r>
        <w:rPr>
          <w:noProof/>
        </w:rPr>
        <w:t>23</w:t>
      </w:r>
      <w:r>
        <w:rPr>
          <w:noProof/>
        </w:rPr>
        <w:fldChar w:fldCharType="end"/>
      </w:r>
    </w:p>
    <w:p w:rsidR="005F7F21" w:rsidRDefault="005F7F21" w14:paraId="76932A5B" w14:textId="3C4C4D14">
      <w:pPr>
        <w:pStyle w:val="TOC3"/>
        <w:tabs>
          <w:tab w:val="right" w:leader="dot" w:pos="9350"/>
        </w:tabs>
        <w:rPr>
          <w:rFonts w:asciiTheme="minorHAnsi" w:hAnsiTheme="minorHAnsi" w:eastAsiaTheme="minorEastAsia" w:cstheme="minorBidi"/>
          <w:noProof/>
          <w:sz w:val="22"/>
          <w:szCs w:val="22"/>
        </w:rPr>
      </w:pPr>
      <w:r>
        <w:rPr>
          <w:noProof/>
        </w:rPr>
        <w:t>Mortgage Loans</w:t>
      </w:r>
      <w:r>
        <w:rPr>
          <w:noProof/>
        </w:rPr>
        <w:tab/>
      </w:r>
      <w:r>
        <w:rPr>
          <w:noProof/>
        </w:rPr>
        <w:fldChar w:fldCharType="begin"/>
      </w:r>
      <w:r>
        <w:rPr>
          <w:noProof/>
        </w:rPr>
        <w:instrText xml:space="preserve"> PAGEREF _Toc172841942 \h </w:instrText>
      </w:r>
      <w:r>
        <w:rPr>
          <w:noProof/>
        </w:rPr>
      </w:r>
      <w:r>
        <w:rPr>
          <w:noProof/>
        </w:rPr>
        <w:fldChar w:fldCharType="separate"/>
      </w:r>
      <w:r>
        <w:rPr>
          <w:noProof/>
        </w:rPr>
        <w:t>25</w:t>
      </w:r>
      <w:r>
        <w:rPr>
          <w:noProof/>
        </w:rPr>
        <w:fldChar w:fldCharType="end"/>
      </w:r>
    </w:p>
    <w:p w:rsidR="005F7F21" w:rsidRDefault="005F7F21" w14:paraId="06CCD8E7" w14:textId="61B5263C">
      <w:pPr>
        <w:pStyle w:val="TOC2"/>
        <w:rPr>
          <w:rFonts w:asciiTheme="minorHAnsi" w:hAnsiTheme="minorHAnsi" w:eastAsiaTheme="minorEastAsia" w:cstheme="minorBidi"/>
          <w:sz w:val="22"/>
          <w:szCs w:val="22"/>
        </w:rPr>
      </w:pPr>
      <w:r>
        <w:t>Investments</w:t>
      </w:r>
      <w:r>
        <w:tab/>
      </w:r>
      <w:r>
        <w:fldChar w:fldCharType="begin"/>
      </w:r>
      <w:r>
        <w:instrText xml:space="preserve"> PAGEREF _Toc172841943 \h </w:instrText>
      </w:r>
      <w:r>
        <w:fldChar w:fldCharType="separate"/>
      </w:r>
      <w:r>
        <w:t>27</w:t>
      </w:r>
      <w:r>
        <w:fldChar w:fldCharType="end"/>
      </w:r>
    </w:p>
    <w:p w:rsidR="005F7F21" w:rsidRDefault="005F7F21" w14:paraId="7BA9C27F" w14:textId="589FF5A2">
      <w:pPr>
        <w:pStyle w:val="TOC1"/>
        <w:rPr>
          <w:rFonts w:asciiTheme="minorHAnsi" w:hAnsiTheme="minorHAnsi" w:eastAsiaTheme="minorEastAsia" w:cstheme="minorBidi"/>
          <w:noProof/>
          <w:sz w:val="22"/>
          <w:szCs w:val="22"/>
        </w:rPr>
      </w:pPr>
      <w:r>
        <w:rPr>
          <w:noProof/>
        </w:rPr>
        <w:t>RISK FACTORS</w:t>
      </w:r>
      <w:r>
        <w:rPr>
          <w:noProof/>
        </w:rPr>
        <w:tab/>
      </w:r>
      <w:r>
        <w:rPr>
          <w:noProof/>
        </w:rPr>
        <w:fldChar w:fldCharType="begin"/>
      </w:r>
      <w:r>
        <w:rPr>
          <w:noProof/>
        </w:rPr>
        <w:instrText xml:space="preserve"> PAGEREF _Toc172841944 \h </w:instrText>
      </w:r>
      <w:r>
        <w:rPr>
          <w:noProof/>
        </w:rPr>
      </w:r>
      <w:r>
        <w:rPr>
          <w:noProof/>
        </w:rPr>
        <w:fldChar w:fldCharType="separate"/>
      </w:r>
      <w:r>
        <w:rPr>
          <w:noProof/>
        </w:rPr>
        <w:t>27</w:t>
      </w:r>
      <w:r>
        <w:rPr>
          <w:noProof/>
        </w:rPr>
        <w:fldChar w:fldCharType="end"/>
      </w:r>
    </w:p>
    <w:p w:rsidR="005F7F21" w:rsidRDefault="005F7F21" w14:paraId="3A978543" w14:textId="44B53979">
      <w:pPr>
        <w:pStyle w:val="TOC2"/>
        <w:rPr>
          <w:rFonts w:asciiTheme="minorHAnsi" w:hAnsiTheme="minorHAnsi" w:eastAsiaTheme="minorEastAsia" w:cstheme="minorBidi"/>
          <w:sz w:val="22"/>
          <w:szCs w:val="22"/>
        </w:rPr>
      </w:pPr>
      <w:r>
        <w:t>Forward Looking Statements</w:t>
      </w:r>
      <w:r>
        <w:tab/>
      </w:r>
      <w:r>
        <w:fldChar w:fldCharType="begin"/>
      </w:r>
      <w:r>
        <w:instrText xml:space="preserve"> PAGEREF _Toc172841945 \h </w:instrText>
      </w:r>
      <w:r>
        <w:fldChar w:fldCharType="separate"/>
      </w:r>
      <w:r>
        <w:t>27</w:t>
      </w:r>
      <w:r>
        <w:fldChar w:fldCharType="end"/>
      </w:r>
    </w:p>
    <w:p w:rsidR="005F7F21" w:rsidRDefault="005F7F21" w14:paraId="61E03062" w14:textId="11FB0005">
      <w:pPr>
        <w:pStyle w:val="TOC2"/>
        <w:rPr>
          <w:rFonts w:asciiTheme="minorHAnsi" w:hAnsiTheme="minorHAnsi" w:eastAsiaTheme="minorEastAsia" w:cstheme="minorBidi"/>
          <w:sz w:val="22"/>
          <w:szCs w:val="22"/>
        </w:rPr>
      </w:pPr>
      <w:r>
        <w:t>Disruption in Mortgage Market and Other Financial Markets</w:t>
      </w:r>
      <w:r>
        <w:tab/>
      </w:r>
      <w:r>
        <w:fldChar w:fldCharType="begin"/>
      </w:r>
      <w:r>
        <w:instrText xml:space="preserve"> PAGEREF _Toc172841946 \h </w:instrText>
      </w:r>
      <w:r>
        <w:fldChar w:fldCharType="separate"/>
      </w:r>
      <w:r>
        <w:t>27</w:t>
      </w:r>
      <w:r>
        <w:fldChar w:fldCharType="end"/>
      </w:r>
    </w:p>
    <w:p w:rsidR="005F7F21" w:rsidRDefault="005F7F21" w14:paraId="70ACFFA8" w14:textId="3DFF7790">
      <w:pPr>
        <w:pStyle w:val="TOC2"/>
        <w:rPr>
          <w:rFonts w:asciiTheme="minorHAnsi" w:hAnsiTheme="minorHAnsi" w:eastAsiaTheme="minorEastAsia" w:cstheme="minorBidi"/>
          <w:sz w:val="22"/>
          <w:szCs w:val="22"/>
        </w:rPr>
      </w:pPr>
      <w:r>
        <w:t>Risk of Default on Loans</w:t>
      </w:r>
      <w:r>
        <w:tab/>
      </w:r>
      <w:r>
        <w:fldChar w:fldCharType="begin"/>
      </w:r>
      <w:r>
        <w:instrText xml:space="preserve"> PAGEREF _Toc172841947 \h </w:instrText>
      </w:r>
      <w:r>
        <w:fldChar w:fldCharType="separate"/>
      </w:r>
      <w:r>
        <w:t>28</w:t>
      </w:r>
      <w:r>
        <w:fldChar w:fldCharType="end"/>
      </w:r>
    </w:p>
    <w:p w:rsidR="005F7F21" w:rsidRDefault="005F7F21" w14:paraId="37D8CAFD" w14:textId="18ED5F6D">
      <w:pPr>
        <w:pStyle w:val="TOC2"/>
        <w:rPr>
          <w:rFonts w:asciiTheme="minorHAnsi" w:hAnsiTheme="minorHAnsi" w:eastAsiaTheme="minorEastAsia" w:cstheme="minorBidi"/>
          <w:sz w:val="22"/>
          <w:szCs w:val="22"/>
        </w:rPr>
      </w:pPr>
      <w:r>
        <w:t>Revenues, Expenses and Cash Flow</w:t>
      </w:r>
      <w:r>
        <w:tab/>
      </w:r>
      <w:r>
        <w:fldChar w:fldCharType="begin"/>
      </w:r>
      <w:r>
        <w:instrText xml:space="preserve"> PAGEREF _Toc172841948 \h </w:instrText>
      </w:r>
      <w:r>
        <w:fldChar w:fldCharType="separate"/>
      </w:r>
      <w:r>
        <w:t>28</w:t>
      </w:r>
      <w:r>
        <w:fldChar w:fldCharType="end"/>
      </w:r>
    </w:p>
    <w:p w:rsidR="005F7F21" w:rsidRDefault="005F7F21" w14:paraId="12F02899" w14:textId="67A0E16D">
      <w:pPr>
        <w:pStyle w:val="TOC2"/>
        <w:rPr>
          <w:rFonts w:asciiTheme="minorHAnsi" w:hAnsiTheme="minorHAnsi" w:eastAsiaTheme="minorEastAsia" w:cstheme="minorBidi"/>
          <w:sz w:val="22"/>
          <w:szCs w:val="22"/>
        </w:rPr>
      </w:pPr>
      <w:r>
        <w:t>Developments in the Residential Mortgage Market May Adversely Affect Bond Payments</w:t>
      </w:r>
      <w:r>
        <w:tab/>
      </w:r>
      <w:r>
        <w:fldChar w:fldCharType="begin"/>
      </w:r>
      <w:r>
        <w:instrText xml:space="preserve"> PAGEREF _Toc172841949 \h </w:instrText>
      </w:r>
      <w:r>
        <w:fldChar w:fldCharType="separate"/>
      </w:r>
      <w:r>
        <w:t>28</w:t>
      </w:r>
      <w:r>
        <w:fldChar w:fldCharType="end"/>
      </w:r>
    </w:p>
    <w:p w:rsidR="005F7F21" w:rsidRDefault="005F7F21" w14:paraId="22524382" w14:textId="742DC4C4">
      <w:pPr>
        <w:pStyle w:val="TOC2"/>
        <w:rPr>
          <w:rFonts w:asciiTheme="minorHAnsi" w:hAnsiTheme="minorHAnsi" w:eastAsiaTheme="minorEastAsia" w:cstheme="minorBidi"/>
          <w:sz w:val="22"/>
          <w:szCs w:val="22"/>
        </w:rPr>
      </w:pPr>
      <w:r>
        <w:t>Prepayments</w:t>
      </w:r>
      <w:r>
        <w:tab/>
      </w:r>
      <w:r>
        <w:fldChar w:fldCharType="begin"/>
      </w:r>
      <w:r>
        <w:instrText xml:space="preserve"> PAGEREF _Toc172841950 \h </w:instrText>
      </w:r>
      <w:r>
        <w:fldChar w:fldCharType="separate"/>
      </w:r>
      <w:r>
        <w:t>29</w:t>
      </w:r>
      <w:r>
        <w:fldChar w:fldCharType="end"/>
      </w:r>
    </w:p>
    <w:p w:rsidR="005F7F21" w:rsidRDefault="005F7F21" w14:paraId="48F4A878" w14:textId="6D018028">
      <w:pPr>
        <w:pStyle w:val="TOC2"/>
        <w:rPr>
          <w:rFonts w:asciiTheme="minorHAnsi" w:hAnsiTheme="minorHAnsi" w:eastAsiaTheme="minorEastAsia" w:cstheme="minorBidi"/>
          <w:sz w:val="22"/>
          <w:szCs w:val="22"/>
        </w:rPr>
      </w:pPr>
      <w:r>
        <w:t>Investments</w:t>
      </w:r>
      <w:r>
        <w:tab/>
      </w:r>
      <w:r>
        <w:fldChar w:fldCharType="begin"/>
      </w:r>
      <w:r>
        <w:instrText xml:space="preserve"> PAGEREF _Toc172841951 \h </w:instrText>
      </w:r>
      <w:r>
        <w:fldChar w:fldCharType="separate"/>
      </w:r>
      <w:r>
        <w:t>30</w:t>
      </w:r>
      <w:r>
        <w:fldChar w:fldCharType="end"/>
      </w:r>
    </w:p>
    <w:p w:rsidR="005F7F21" w:rsidRDefault="005F7F21" w14:paraId="6CEFE00E" w14:textId="5CCCF25B">
      <w:pPr>
        <w:pStyle w:val="TOC2"/>
        <w:rPr>
          <w:rFonts w:asciiTheme="minorHAnsi" w:hAnsiTheme="minorHAnsi" w:eastAsiaTheme="minorEastAsia" w:cstheme="minorBidi"/>
          <w:sz w:val="22"/>
          <w:szCs w:val="22"/>
        </w:rPr>
      </w:pPr>
      <w:r>
        <w:t>Derivative Transactions</w:t>
      </w:r>
      <w:r>
        <w:tab/>
      </w:r>
      <w:r>
        <w:fldChar w:fldCharType="begin"/>
      </w:r>
      <w:r>
        <w:instrText xml:space="preserve"> PAGEREF _Toc172841952 \h </w:instrText>
      </w:r>
      <w:r>
        <w:fldChar w:fldCharType="separate"/>
      </w:r>
      <w:r>
        <w:t>31</w:t>
      </w:r>
      <w:r>
        <w:fldChar w:fldCharType="end"/>
      </w:r>
    </w:p>
    <w:p w:rsidR="005F7F21" w:rsidRDefault="005F7F21" w14:paraId="49735878" w14:textId="018099D6">
      <w:pPr>
        <w:pStyle w:val="TOC2"/>
        <w:rPr>
          <w:rFonts w:asciiTheme="minorHAnsi" w:hAnsiTheme="minorHAnsi" w:eastAsiaTheme="minorEastAsia" w:cstheme="minorBidi"/>
          <w:sz w:val="22"/>
          <w:szCs w:val="22"/>
        </w:rPr>
      </w:pPr>
      <w:r>
        <w:t>Program Expenses and Administrative Fee</w:t>
      </w:r>
      <w:r>
        <w:tab/>
      </w:r>
      <w:r>
        <w:fldChar w:fldCharType="begin"/>
      </w:r>
      <w:r>
        <w:instrText xml:space="preserve"> PAGEREF _Toc172841953 \h </w:instrText>
      </w:r>
      <w:r>
        <w:fldChar w:fldCharType="separate"/>
      </w:r>
      <w:r>
        <w:t>31</w:t>
      </w:r>
      <w:r>
        <w:fldChar w:fldCharType="end"/>
      </w:r>
    </w:p>
    <w:p w:rsidR="005F7F21" w:rsidRDefault="005F7F21" w14:paraId="6915D646" w14:textId="3197B724">
      <w:pPr>
        <w:pStyle w:val="TOC2"/>
        <w:rPr>
          <w:rFonts w:asciiTheme="minorHAnsi" w:hAnsiTheme="minorHAnsi" w:eastAsiaTheme="minorEastAsia" w:cstheme="minorBidi"/>
          <w:sz w:val="22"/>
          <w:szCs w:val="22"/>
        </w:rPr>
      </w:pPr>
      <w:r>
        <w:t>Non-Origination</w:t>
      </w:r>
      <w:r>
        <w:tab/>
      </w:r>
      <w:r>
        <w:fldChar w:fldCharType="begin"/>
      </w:r>
      <w:r>
        <w:instrText xml:space="preserve"> PAGEREF _Toc172841954 \h </w:instrText>
      </w:r>
      <w:r>
        <w:fldChar w:fldCharType="separate"/>
      </w:r>
      <w:r>
        <w:t>32</w:t>
      </w:r>
      <w:r>
        <w:fldChar w:fldCharType="end"/>
      </w:r>
    </w:p>
    <w:p w:rsidR="005F7F21" w:rsidRDefault="005F7F21" w14:paraId="05CA1DBD" w14:textId="28E5922F">
      <w:pPr>
        <w:pStyle w:val="TOC2"/>
        <w:rPr>
          <w:rFonts w:asciiTheme="minorHAnsi" w:hAnsiTheme="minorHAnsi" w:eastAsiaTheme="minorEastAsia" w:cstheme="minorBidi"/>
          <w:sz w:val="22"/>
          <w:szCs w:val="22"/>
        </w:rPr>
      </w:pPr>
      <w:r>
        <w:t>Federal Soldiers and Sailors Civil Relief Act</w:t>
      </w:r>
      <w:r>
        <w:tab/>
      </w:r>
      <w:r>
        <w:fldChar w:fldCharType="begin"/>
      </w:r>
      <w:r>
        <w:instrText xml:space="preserve"> PAGEREF _Toc172841955 \h </w:instrText>
      </w:r>
      <w:r>
        <w:fldChar w:fldCharType="separate"/>
      </w:r>
      <w:r>
        <w:t>33</w:t>
      </w:r>
      <w:r>
        <w:fldChar w:fldCharType="end"/>
      </w:r>
    </w:p>
    <w:p w:rsidR="005F7F21" w:rsidRDefault="005F7F21" w14:paraId="35E39B20" w14:textId="0E14878A">
      <w:pPr>
        <w:pStyle w:val="TOC2"/>
        <w:rPr>
          <w:rFonts w:asciiTheme="minorHAnsi" w:hAnsiTheme="minorHAnsi" w:eastAsiaTheme="minorEastAsia" w:cstheme="minorBidi"/>
          <w:sz w:val="22"/>
          <w:szCs w:val="22"/>
        </w:rPr>
      </w:pPr>
      <w:r>
        <w:t>Tax Compliance</w:t>
      </w:r>
      <w:r>
        <w:tab/>
      </w:r>
      <w:r>
        <w:fldChar w:fldCharType="begin"/>
      </w:r>
      <w:r>
        <w:instrText xml:space="preserve"> PAGEREF _Toc172841956 \h </w:instrText>
      </w:r>
      <w:r>
        <w:fldChar w:fldCharType="separate"/>
      </w:r>
      <w:r>
        <w:t>34</w:t>
      </w:r>
      <w:r>
        <w:fldChar w:fldCharType="end"/>
      </w:r>
    </w:p>
    <w:p w:rsidR="005F7F21" w:rsidRDefault="005F7F21" w14:paraId="77C2EEB1" w14:textId="114E42E3">
      <w:pPr>
        <w:pStyle w:val="TOC2"/>
        <w:rPr>
          <w:rFonts w:asciiTheme="minorHAnsi" w:hAnsiTheme="minorHAnsi" w:eastAsiaTheme="minorEastAsia" w:cstheme="minorBidi"/>
          <w:sz w:val="22"/>
          <w:szCs w:val="22"/>
        </w:rPr>
      </w:pPr>
      <w:r>
        <w:t>Release of Funds from Indenture</w:t>
      </w:r>
      <w:r>
        <w:tab/>
      </w:r>
      <w:r>
        <w:fldChar w:fldCharType="begin"/>
      </w:r>
      <w:r>
        <w:instrText xml:space="preserve"> PAGEREF _Toc172841957 \h </w:instrText>
      </w:r>
      <w:r>
        <w:fldChar w:fldCharType="separate"/>
      </w:r>
      <w:r>
        <w:t>34</w:t>
      </w:r>
      <w:r>
        <w:fldChar w:fldCharType="end"/>
      </w:r>
    </w:p>
    <w:p w:rsidR="005F7F21" w:rsidRDefault="005F7F21" w14:paraId="0C4BF4DD" w14:textId="7AF1F4B6">
      <w:pPr>
        <w:pStyle w:val="TOC2"/>
        <w:rPr>
          <w:rFonts w:asciiTheme="minorHAnsi" w:hAnsiTheme="minorHAnsi" w:eastAsiaTheme="minorEastAsia" w:cstheme="minorBidi"/>
          <w:sz w:val="22"/>
          <w:szCs w:val="22"/>
        </w:rPr>
      </w:pPr>
      <w:r>
        <w:t>Ratings Downgrade</w:t>
      </w:r>
      <w:r>
        <w:tab/>
      </w:r>
      <w:r>
        <w:fldChar w:fldCharType="begin"/>
      </w:r>
      <w:r>
        <w:instrText xml:space="preserve"> PAGEREF _Toc172841958 \h </w:instrText>
      </w:r>
      <w:r>
        <w:fldChar w:fldCharType="separate"/>
      </w:r>
      <w:r>
        <w:t>34</w:t>
      </w:r>
      <w:r>
        <w:fldChar w:fldCharType="end"/>
      </w:r>
    </w:p>
    <w:p w:rsidR="005F7F21" w:rsidRDefault="005F7F21" w14:paraId="58FD7FCD" w14:textId="45F4163B">
      <w:pPr>
        <w:pStyle w:val="TOC2"/>
        <w:rPr>
          <w:rFonts w:asciiTheme="minorHAnsi" w:hAnsiTheme="minorHAnsi" w:eastAsiaTheme="minorEastAsia" w:cstheme="minorBidi"/>
          <w:sz w:val="22"/>
          <w:szCs w:val="22"/>
        </w:rPr>
      </w:pPr>
      <w:r>
        <w:t>Enforceability of Remedies; Bankruptcy</w:t>
      </w:r>
      <w:r>
        <w:tab/>
      </w:r>
      <w:r>
        <w:fldChar w:fldCharType="begin"/>
      </w:r>
      <w:r>
        <w:instrText xml:space="preserve"> PAGEREF _Toc172841959 \h </w:instrText>
      </w:r>
      <w:r>
        <w:fldChar w:fldCharType="separate"/>
      </w:r>
      <w:r>
        <w:t>34</w:t>
      </w:r>
      <w:r>
        <w:fldChar w:fldCharType="end"/>
      </w:r>
    </w:p>
    <w:p w:rsidR="005F7F21" w:rsidRDefault="005F7F21" w14:paraId="101CBA2F" w14:textId="09DC90BD">
      <w:pPr>
        <w:pStyle w:val="TOC2"/>
        <w:rPr>
          <w:rFonts w:asciiTheme="minorHAnsi" w:hAnsiTheme="minorHAnsi" w:eastAsiaTheme="minorEastAsia" w:cstheme="minorBidi"/>
          <w:sz w:val="22"/>
          <w:szCs w:val="22"/>
        </w:rPr>
      </w:pPr>
      <w:r>
        <w:t>Cyber Security and Cyber Risks</w:t>
      </w:r>
      <w:r>
        <w:tab/>
      </w:r>
      <w:r>
        <w:fldChar w:fldCharType="begin"/>
      </w:r>
      <w:r>
        <w:instrText xml:space="preserve"> PAGEREF _Toc172841960 \h </w:instrText>
      </w:r>
      <w:r>
        <w:fldChar w:fldCharType="separate"/>
      </w:r>
      <w:r>
        <w:t>34</w:t>
      </w:r>
      <w:r>
        <w:fldChar w:fldCharType="end"/>
      </w:r>
    </w:p>
    <w:p w:rsidR="005F7F21" w:rsidRDefault="005F7F21" w14:paraId="391F6754" w14:textId="3E370FEA">
      <w:pPr>
        <w:pStyle w:val="TOC1"/>
        <w:rPr>
          <w:rFonts w:asciiTheme="minorHAnsi" w:hAnsiTheme="minorHAnsi" w:eastAsiaTheme="minorEastAsia" w:cstheme="minorBidi"/>
          <w:noProof/>
          <w:sz w:val="22"/>
          <w:szCs w:val="22"/>
        </w:rPr>
      </w:pPr>
      <w:r>
        <w:rPr>
          <w:noProof/>
        </w:rPr>
        <w:lastRenderedPageBreak/>
        <w:t>THE AUTHORITY</w:t>
      </w:r>
      <w:r>
        <w:rPr>
          <w:noProof/>
        </w:rPr>
        <w:tab/>
      </w:r>
      <w:r>
        <w:rPr>
          <w:noProof/>
        </w:rPr>
        <w:fldChar w:fldCharType="begin"/>
      </w:r>
      <w:r>
        <w:rPr>
          <w:noProof/>
        </w:rPr>
        <w:instrText xml:space="preserve"> PAGEREF _Toc172841961 \h </w:instrText>
      </w:r>
      <w:r>
        <w:rPr>
          <w:noProof/>
        </w:rPr>
      </w:r>
      <w:r>
        <w:rPr>
          <w:noProof/>
        </w:rPr>
        <w:fldChar w:fldCharType="separate"/>
      </w:r>
      <w:r>
        <w:rPr>
          <w:noProof/>
        </w:rPr>
        <w:t>35</w:t>
      </w:r>
      <w:r>
        <w:rPr>
          <w:noProof/>
        </w:rPr>
        <w:fldChar w:fldCharType="end"/>
      </w:r>
    </w:p>
    <w:p w:rsidR="005F7F21" w:rsidRDefault="005F7F21" w14:paraId="04CBDB95" w14:textId="18180073">
      <w:pPr>
        <w:pStyle w:val="TOC2"/>
        <w:rPr>
          <w:rFonts w:asciiTheme="minorHAnsi" w:hAnsiTheme="minorHAnsi" w:eastAsiaTheme="minorEastAsia" w:cstheme="minorBidi"/>
          <w:sz w:val="22"/>
          <w:szCs w:val="22"/>
        </w:rPr>
      </w:pPr>
      <w:r>
        <w:t>Purpose and Powers</w:t>
      </w:r>
      <w:r>
        <w:tab/>
      </w:r>
      <w:r>
        <w:fldChar w:fldCharType="begin"/>
      </w:r>
      <w:r>
        <w:instrText xml:space="preserve"> PAGEREF _Toc172841962 \h </w:instrText>
      </w:r>
      <w:r>
        <w:fldChar w:fldCharType="separate"/>
      </w:r>
      <w:r>
        <w:t>35</w:t>
      </w:r>
      <w:r>
        <w:fldChar w:fldCharType="end"/>
      </w:r>
    </w:p>
    <w:p w:rsidR="005F7F21" w:rsidRDefault="005F7F21" w14:paraId="1BB3A358" w14:textId="09966AE2">
      <w:pPr>
        <w:pStyle w:val="TOC2"/>
        <w:rPr>
          <w:rFonts w:asciiTheme="minorHAnsi" w:hAnsiTheme="minorHAnsi" w:eastAsiaTheme="minorEastAsia" w:cstheme="minorBidi"/>
          <w:sz w:val="22"/>
          <w:szCs w:val="22"/>
        </w:rPr>
      </w:pPr>
      <w:r>
        <w:t>Organization and Membership</w:t>
      </w:r>
      <w:r>
        <w:tab/>
      </w:r>
      <w:r>
        <w:fldChar w:fldCharType="begin"/>
      </w:r>
      <w:r>
        <w:instrText xml:space="preserve"> PAGEREF _Toc172841963 \h </w:instrText>
      </w:r>
      <w:r>
        <w:fldChar w:fldCharType="separate"/>
      </w:r>
      <w:r>
        <w:t>35</w:t>
      </w:r>
      <w:r>
        <w:fldChar w:fldCharType="end"/>
      </w:r>
    </w:p>
    <w:p w:rsidR="005F7F21" w:rsidRDefault="005F7F21" w14:paraId="558E33FE" w14:textId="6FAC35E0">
      <w:pPr>
        <w:pStyle w:val="TOC2"/>
        <w:rPr>
          <w:rFonts w:asciiTheme="minorHAnsi" w:hAnsiTheme="minorHAnsi" w:eastAsiaTheme="minorEastAsia" w:cstheme="minorBidi"/>
          <w:sz w:val="22"/>
          <w:szCs w:val="22"/>
        </w:rPr>
      </w:pPr>
      <w:r>
        <w:t>Other Activities of Authority</w:t>
      </w:r>
      <w:r>
        <w:tab/>
      </w:r>
      <w:r>
        <w:fldChar w:fldCharType="begin"/>
      </w:r>
      <w:r>
        <w:instrText xml:space="preserve"> PAGEREF _Toc172841964 \h </w:instrText>
      </w:r>
      <w:r>
        <w:fldChar w:fldCharType="separate"/>
      </w:r>
      <w:r>
        <w:t>37</w:t>
      </w:r>
      <w:r>
        <w:fldChar w:fldCharType="end"/>
      </w:r>
    </w:p>
    <w:p w:rsidR="005F7F21" w:rsidRDefault="005F7F21" w14:paraId="4B6D8CFC" w14:textId="2EC23EE0">
      <w:pPr>
        <w:pStyle w:val="TOC3"/>
        <w:tabs>
          <w:tab w:val="right" w:leader="dot" w:pos="9350"/>
        </w:tabs>
        <w:rPr>
          <w:rFonts w:asciiTheme="minorHAnsi" w:hAnsiTheme="minorHAnsi" w:eastAsiaTheme="minorEastAsia" w:cstheme="minorBidi"/>
          <w:noProof/>
          <w:sz w:val="22"/>
          <w:szCs w:val="22"/>
        </w:rPr>
      </w:pPr>
      <w:r>
        <w:rPr>
          <w:noProof/>
        </w:rPr>
        <w:t>General Fund</w:t>
      </w:r>
      <w:r>
        <w:rPr>
          <w:noProof/>
        </w:rPr>
        <w:tab/>
      </w:r>
      <w:r>
        <w:rPr>
          <w:noProof/>
        </w:rPr>
        <w:fldChar w:fldCharType="begin"/>
      </w:r>
      <w:r>
        <w:rPr>
          <w:noProof/>
        </w:rPr>
        <w:instrText xml:space="preserve"> PAGEREF _Toc172841965 \h </w:instrText>
      </w:r>
      <w:r>
        <w:rPr>
          <w:noProof/>
        </w:rPr>
      </w:r>
      <w:r>
        <w:rPr>
          <w:noProof/>
        </w:rPr>
        <w:fldChar w:fldCharType="separate"/>
      </w:r>
      <w:r>
        <w:rPr>
          <w:noProof/>
        </w:rPr>
        <w:t>37</w:t>
      </w:r>
      <w:r>
        <w:rPr>
          <w:noProof/>
        </w:rPr>
        <w:fldChar w:fldCharType="end"/>
      </w:r>
    </w:p>
    <w:p w:rsidR="005F7F21" w:rsidRDefault="005F7F21" w14:paraId="44C68719" w14:textId="0ED71EB6">
      <w:pPr>
        <w:pStyle w:val="TOC3"/>
        <w:tabs>
          <w:tab w:val="right" w:leader="dot" w:pos="9350"/>
        </w:tabs>
        <w:rPr>
          <w:rFonts w:asciiTheme="minorHAnsi" w:hAnsiTheme="minorHAnsi" w:eastAsiaTheme="minorEastAsia" w:cstheme="minorBidi"/>
          <w:noProof/>
          <w:sz w:val="22"/>
          <w:szCs w:val="22"/>
        </w:rPr>
      </w:pPr>
      <w:r>
        <w:rPr>
          <w:noProof/>
        </w:rPr>
        <w:t>Information Regarding Mortgage Programs</w:t>
      </w:r>
      <w:r>
        <w:rPr>
          <w:noProof/>
        </w:rPr>
        <w:tab/>
      </w:r>
      <w:r>
        <w:rPr>
          <w:noProof/>
        </w:rPr>
        <w:fldChar w:fldCharType="begin"/>
      </w:r>
      <w:r>
        <w:rPr>
          <w:noProof/>
        </w:rPr>
        <w:instrText xml:space="preserve"> PAGEREF _Toc172841966 \h </w:instrText>
      </w:r>
      <w:r>
        <w:rPr>
          <w:noProof/>
        </w:rPr>
      </w:r>
      <w:r>
        <w:rPr>
          <w:noProof/>
        </w:rPr>
        <w:fldChar w:fldCharType="separate"/>
      </w:r>
      <w:r>
        <w:rPr>
          <w:noProof/>
        </w:rPr>
        <w:t>37</w:t>
      </w:r>
      <w:r>
        <w:rPr>
          <w:noProof/>
        </w:rPr>
        <w:fldChar w:fldCharType="end"/>
      </w:r>
    </w:p>
    <w:p w:rsidR="005F7F21" w:rsidRDefault="005F7F21" w14:paraId="0F39A4F9" w14:textId="2844A389">
      <w:pPr>
        <w:pStyle w:val="TOC3"/>
        <w:tabs>
          <w:tab w:val="right" w:leader="dot" w:pos="9350"/>
        </w:tabs>
        <w:rPr>
          <w:rFonts w:asciiTheme="minorHAnsi" w:hAnsiTheme="minorHAnsi" w:eastAsiaTheme="minorEastAsia" w:cstheme="minorBidi"/>
          <w:noProof/>
          <w:sz w:val="22"/>
          <w:szCs w:val="22"/>
        </w:rPr>
      </w:pPr>
      <w:r>
        <w:rPr>
          <w:noProof/>
        </w:rPr>
        <w:t>Low Income Housing Credit Program</w:t>
      </w:r>
      <w:r>
        <w:rPr>
          <w:noProof/>
        </w:rPr>
        <w:tab/>
      </w:r>
      <w:r>
        <w:rPr>
          <w:noProof/>
        </w:rPr>
        <w:fldChar w:fldCharType="begin"/>
      </w:r>
      <w:r>
        <w:rPr>
          <w:noProof/>
        </w:rPr>
        <w:instrText xml:space="preserve"> PAGEREF _Toc172841967 \h </w:instrText>
      </w:r>
      <w:r>
        <w:rPr>
          <w:noProof/>
        </w:rPr>
      </w:r>
      <w:r>
        <w:rPr>
          <w:noProof/>
        </w:rPr>
        <w:fldChar w:fldCharType="separate"/>
      </w:r>
      <w:r>
        <w:rPr>
          <w:noProof/>
        </w:rPr>
        <w:t>37</w:t>
      </w:r>
      <w:r>
        <w:rPr>
          <w:noProof/>
        </w:rPr>
        <w:fldChar w:fldCharType="end"/>
      </w:r>
    </w:p>
    <w:p w:rsidR="005F7F21" w:rsidRDefault="005F7F21" w14:paraId="317AA499" w14:textId="3625E762">
      <w:pPr>
        <w:pStyle w:val="TOC3"/>
        <w:tabs>
          <w:tab w:val="right" w:leader="dot" w:pos="9350"/>
        </w:tabs>
        <w:rPr>
          <w:rFonts w:asciiTheme="minorHAnsi" w:hAnsiTheme="minorHAnsi" w:eastAsiaTheme="minorEastAsia" w:cstheme="minorBidi"/>
          <w:noProof/>
          <w:sz w:val="22"/>
          <w:szCs w:val="22"/>
        </w:rPr>
      </w:pPr>
      <w:r>
        <w:rPr>
          <w:noProof/>
        </w:rPr>
        <w:t>Next Home Program</w:t>
      </w:r>
      <w:r>
        <w:rPr>
          <w:noProof/>
        </w:rPr>
        <w:tab/>
      </w:r>
      <w:r>
        <w:rPr>
          <w:noProof/>
        </w:rPr>
        <w:fldChar w:fldCharType="begin"/>
      </w:r>
      <w:r>
        <w:rPr>
          <w:noProof/>
        </w:rPr>
        <w:instrText xml:space="preserve"> PAGEREF _Toc172841968 \h </w:instrText>
      </w:r>
      <w:r>
        <w:rPr>
          <w:noProof/>
        </w:rPr>
      </w:r>
      <w:r>
        <w:rPr>
          <w:noProof/>
        </w:rPr>
        <w:fldChar w:fldCharType="separate"/>
      </w:r>
      <w:r>
        <w:rPr>
          <w:noProof/>
        </w:rPr>
        <w:t>37</w:t>
      </w:r>
      <w:r>
        <w:rPr>
          <w:noProof/>
        </w:rPr>
        <w:fldChar w:fldCharType="end"/>
      </w:r>
    </w:p>
    <w:p w:rsidR="005F7F21" w:rsidRDefault="005F7F21" w14:paraId="490947A4" w14:textId="1C105525">
      <w:pPr>
        <w:pStyle w:val="TOC1"/>
        <w:rPr>
          <w:rFonts w:asciiTheme="minorHAnsi" w:hAnsiTheme="minorHAnsi" w:eastAsiaTheme="minorEastAsia" w:cstheme="minorBidi"/>
          <w:noProof/>
          <w:sz w:val="22"/>
          <w:szCs w:val="22"/>
        </w:rPr>
      </w:pPr>
      <w:r>
        <w:rPr>
          <w:noProof/>
        </w:rPr>
        <w:t>SINGLE FAMILY MORTGAGE PROGRAM</w:t>
      </w:r>
      <w:r>
        <w:rPr>
          <w:noProof/>
        </w:rPr>
        <w:tab/>
      </w:r>
      <w:r>
        <w:rPr>
          <w:noProof/>
        </w:rPr>
        <w:fldChar w:fldCharType="begin"/>
      </w:r>
      <w:r>
        <w:rPr>
          <w:noProof/>
        </w:rPr>
        <w:instrText xml:space="preserve"> PAGEREF _Toc172841969 \h </w:instrText>
      </w:r>
      <w:r>
        <w:rPr>
          <w:noProof/>
        </w:rPr>
      </w:r>
      <w:r>
        <w:rPr>
          <w:noProof/>
        </w:rPr>
        <w:fldChar w:fldCharType="separate"/>
      </w:r>
      <w:r>
        <w:rPr>
          <w:noProof/>
        </w:rPr>
        <w:t>37</w:t>
      </w:r>
      <w:r>
        <w:rPr>
          <w:noProof/>
        </w:rPr>
        <w:fldChar w:fldCharType="end"/>
      </w:r>
    </w:p>
    <w:p w:rsidR="005F7F21" w:rsidRDefault="005F7F21" w14:paraId="040E320D" w14:textId="78FB6F15">
      <w:pPr>
        <w:pStyle w:val="TOC2"/>
        <w:rPr>
          <w:rFonts w:asciiTheme="minorHAnsi" w:hAnsiTheme="minorHAnsi" w:eastAsiaTheme="minorEastAsia" w:cstheme="minorBidi"/>
          <w:sz w:val="22"/>
          <w:szCs w:val="22"/>
        </w:rPr>
      </w:pPr>
      <w:r>
        <w:t>Act</w:t>
      </w:r>
      <w:r>
        <w:tab/>
      </w:r>
      <w:r>
        <w:fldChar w:fldCharType="begin"/>
      </w:r>
      <w:r>
        <w:instrText xml:space="preserve"> PAGEREF _Toc172841970 \h </w:instrText>
      </w:r>
      <w:r>
        <w:fldChar w:fldCharType="separate"/>
      </w:r>
      <w:r>
        <w:t>37</w:t>
      </w:r>
      <w:r>
        <w:fldChar w:fldCharType="end"/>
      </w:r>
    </w:p>
    <w:p w:rsidR="005F7F21" w:rsidRDefault="005F7F21" w14:paraId="2FA2DD89" w14:textId="5275DA80">
      <w:pPr>
        <w:pStyle w:val="TOC2"/>
        <w:rPr>
          <w:rFonts w:asciiTheme="minorHAnsi" w:hAnsiTheme="minorHAnsi" w:eastAsiaTheme="minorEastAsia" w:cstheme="minorBidi"/>
          <w:sz w:val="22"/>
          <w:szCs w:val="22"/>
        </w:rPr>
      </w:pPr>
      <w:r>
        <w:t>Management’s Discussion and Analysis Concerning Financial Results of Authority</w:t>
      </w:r>
      <w:r>
        <w:tab/>
      </w:r>
      <w:r>
        <w:fldChar w:fldCharType="begin"/>
      </w:r>
      <w:r>
        <w:instrText xml:space="preserve"> PAGEREF _Toc172841971 \h </w:instrText>
      </w:r>
      <w:r>
        <w:fldChar w:fldCharType="separate"/>
      </w:r>
      <w:r>
        <w:t>38</w:t>
      </w:r>
      <w:r>
        <w:fldChar w:fldCharType="end"/>
      </w:r>
    </w:p>
    <w:p w:rsidR="005F7F21" w:rsidRDefault="005F7F21" w14:paraId="1619AF2F" w14:textId="14392419">
      <w:pPr>
        <w:pStyle w:val="TOC2"/>
        <w:rPr>
          <w:rFonts w:asciiTheme="minorHAnsi" w:hAnsiTheme="minorHAnsi" w:eastAsiaTheme="minorEastAsia" w:cstheme="minorBidi"/>
          <w:sz w:val="22"/>
          <w:szCs w:val="22"/>
        </w:rPr>
      </w:pPr>
      <w:r>
        <w:t>Program Expenses and Administrative Fee</w:t>
      </w:r>
      <w:r>
        <w:tab/>
      </w:r>
      <w:r>
        <w:fldChar w:fldCharType="begin"/>
      </w:r>
      <w:r>
        <w:instrText xml:space="preserve"> PAGEREF _Toc172841972 \h </w:instrText>
      </w:r>
      <w:r>
        <w:fldChar w:fldCharType="separate"/>
      </w:r>
      <w:r>
        <w:t>38</w:t>
      </w:r>
      <w:r>
        <w:fldChar w:fldCharType="end"/>
      </w:r>
    </w:p>
    <w:p w:rsidR="005F7F21" w:rsidRDefault="005F7F21" w14:paraId="72624C74" w14:textId="7398A6B9">
      <w:pPr>
        <w:pStyle w:val="TOC2"/>
        <w:rPr>
          <w:rFonts w:asciiTheme="minorHAnsi" w:hAnsiTheme="minorHAnsi" w:eastAsiaTheme="minorEastAsia" w:cstheme="minorBidi"/>
          <w:sz w:val="22"/>
          <w:szCs w:val="22"/>
        </w:rPr>
      </w:pPr>
      <w:r>
        <w:t>The Servicer</w:t>
      </w:r>
      <w:r>
        <w:tab/>
      </w:r>
      <w:r>
        <w:fldChar w:fldCharType="begin"/>
      </w:r>
      <w:r>
        <w:instrText xml:space="preserve"> PAGEREF _Toc172841973 \h </w:instrText>
      </w:r>
      <w:r>
        <w:fldChar w:fldCharType="separate"/>
      </w:r>
      <w:r>
        <w:t>39</w:t>
      </w:r>
      <w:r>
        <w:fldChar w:fldCharType="end"/>
      </w:r>
    </w:p>
    <w:p w:rsidR="005F7F21" w:rsidRDefault="005F7F21" w14:paraId="401BE8B0" w14:textId="4B0D8081">
      <w:pPr>
        <w:pStyle w:val="TOC2"/>
        <w:rPr>
          <w:rFonts w:asciiTheme="minorHAnsi" w:hAnsiTheme="minorHAnsi" w:eastAsiaTheme="minorEastAsia" w:cstheme="minorBidi"/>
          <w:sz w:val="22"/>
          <w:szCs w:val="22"/>
        </w:rPr>
      </w:pPr>
      <w:r>
        <w:t>Mortgage Loans Financed with Other Series of Bonds</w:t>
      </w:r>
      <w:r>
        <w:tab/>
      </w:r>
      <w:r>
        <w:fldChar w:fldCharType="begin"/>
      </w:r>
      <w:r>
        <w:instrText xml:space="preserve"> PAGEREF _Toc172841974 \h </w:instrText>
      </w:r>
      <w:r>
        <w:fldChar w:fldCharType="separate"/>
      </w:r>
      <w:r>
        <w:t>39</w:t>
      </w:r>
      <w:r>
        <w:fldChar w:fldCharType="end"/>
      </w:r>
    </w:p>
    <w:p w:rsidR="005F7F21" w:rsidRDefault="005F7F21" w14:paraId="09BA8D2B" w14:textId="7195B12A">
      <w:pPr>
        <w:pStyle w:val="TOC2"/>
        <w:rPr>
          <w:rFonts w:asciiTheme="minorHAnsi" w:hAnsiTheme="minorHAnsi" w:eastAsiaTheme="minorEastAsia" w:cstheme="minorBidi"/>
          <w:sz w:val="22"/>
          <w:szCs w:val="22"/>
        </w:rPr>
      </w:pPr>
      <w:r>
        <w:t>Single Family Mortgage Lending Programs</w:t>
      </w:r>
      <w:r>
        <w:tab/>
      </w:r>
      <w:r>
        <w:fldChar w:fldCharType="begin"/>
      </w:r>
      <w:r>
        <w:instrText xml:space="preserve"> PAGEREF _Toc172841975 \h </w:instrText>
      </w:r>
      <w:r>
        <w:fldChar w:fldCharType="separate"/>
      </w:r>
      <w:r>
        <w:t>40</w:t>
      </w:r>
      <w:r>
        <w:fldChar w:fldCharType="end"/>
      </w:r>
    </w:p>
    <w:p w:rsidR="005F7F21" w:rsidRDefault="005F7F21" w14:paraId="54C66D4E" w14:textId="2A61330F">
      <w:pPr>
        <w:pStyle w:val="TOC1"/>
        <w:rPr>
          <w:rFonts w:asciiTheme="minorHAnsi" w:hAnsiTheme="minorHAnsi" w:eastAsiaTheme="minorEastAsia" w:cstheme="minorBidi"/>
          <w:noProof/>
          <w:sz w:val="22"/>
          <w:szCs w:val="22"/>
        </w:rPr>
      </w:pPr>
      <w:r>
        <w:rPr>
          <w:noProof/>
        </w:rPr>
        <w:t>FEDERAL TAX LAW REQUIREMENTS</w:t>
      </w:r>
      <w:r>
        <w:rPr>
          <w:noProof/>
        </w:rPr>
        <w:tab/>
      </w:r>
      <w:r>
        <w:rPr>
          <w:noProof/>
        </w:rPr>
        <w:fldChar w:fldCharType="begin"/>
      </w:r>
      <w:r>
        <w:rPr>
          <w:noProof/>
        </w:rPr>
        <w:instrText xml:space="preserve"> PAGEREF _Toc172841976 \h </w:instrText>
      </w:r>
      <w:r>
        <w:rPr>
          <w:noProof/>
        </w:rPr>
      </w:r>
      <w:r>
        <w:rPr>
          <w:noProof/>
        </w:rPr>
        <w:fldChar w:fldCharType="separate"/>
      </w:r>
      <w:r>
        <w:rPr>
          <w:noProof/>
        </w:rPr>
        <w:t>41</w:t>
      </w:r>
      <w:r>
        <w:rPr>
          <w:noProof/>
        </w:rPr>
        <w:fldChar w:fldCharType="end"/>
      </w:r>
    </w:p>
    <w:p w:rsidR="005F7F21" w:rsidRDefault="005F7F21" w14:paraId="5B5C3C80" w14:textId="165B96F2">
      <w:pPr>
        <w:pStyle w:val="TOC2"/>
        <w:rPr>
          <w:rFonts w:asciiTheme="minorHAnsi" w:hAnsiTheme="minorHAnsi" w:eastAsiaTheme="minorEastAsia" w:cstheme="minorBidi"/>
          <w:sz w:val="22"/>
          <w:szCs w:val="22"/>
        </w:rPr>
      </w:pPr>
      <w:r>
        <w:t>Mortgage Eligibility Requirements</w:t>
      </w:r>
      <w:r>
        <w:tab/>
      </w:r>
      <w:r>
        <w:fldChar w:fldCharType="begin"/>
      </w:r>
      <w:r>
        <w:instrText xml:space="preserve"> PAGEREF _Toc172841977 \h </w:instrText>
      </w:r>
      <w:r>
        <w:fldChar w:fldCharType="separate"/>
      </w:r>
      <w:r>
        <w:t>41</w:t>
      </w:r>
      <w:r>
        <w:fldChar w:fldCharType="end"/>
      </w:r>
    </w:p>
    <w:p w:rsidR="005F7F21" w:rsidRDefault="005F7F21" w14:paraId="7C89DB4E" w14:textId="7FF1FD31">
      <w:pPr>
        <w:pStyle w:val="TOC2"/>
        <w:rPr>
          <w:rFonts w:asciiTheme="minorHAnsi" w:hAnsiTheme="minorHAnsi" w:eastAsiaTheme="minorEastAsia" w:cstheme="minorBidi"/>
          <w:sz w:val="22"/>
          <w:szCs w:val="22"/>
        </w:rPr>
      </w:pPr>
      <w:r>
        <w:t>Monitoring for Compliance with Federal Tax Law</w:t>
      </w:r>
      <w:r>
        <w:tab/>
      </w:r>
      <w:r>
        <w:fldChar w:fldCharType="begin"/>
      </w:r>
      <w:r>
        <w:instrText xml:space="preserve"> PAGEREF _Toc172841978 \h </w:instrText>
      </w:r>
      <w:r>
        <w:fldChar w:fldCharType="separate"/>
      </w:r>
      <w:r>
        <w:t>42</w:t>
      </w:r>
      <w:r>
        <w:fldChar w:fldCharType="end"/>
      </w:r>
    </w:p>
    <w:p w:rsidR="005F7F21" w:rsidRDefault="005F7F21" w14:paraId="4FAF3340" w14:textId="12D2BA7A">
      <w:pPr>
        <w:pStyle w:val="TOC2"/>
        <w:rPr>
          <w:rFonts w:asciiTheme="minorHAnsi" w:hAnsiTheme="minorHAnsi" w:eastAsiaTheme="minorEastAsia" w:cstheme="minorBidi"/>
          <w:sz w:val="22"/>
          <w:szCs w:val="22"/>
        </w:rPr>
      </w:pPr>
      <w:r>
        <w:t>Investment Limitations</w:t>
      </w:r>
      <w:r>
        <w:tab/>
      </w:r>
      <w:r>
        <w:fldChar w:fldCharType="begin"/>
      </w:r>
      <w:r>
        <w:instrText xml:space="preserve"> PAGEREF _Toc172841979 \h </w:instrText>
      </w:r>
      <w:r>
        <w:fldChar w:fldCharType="separate"/>
      </w:r>
      <w:r>
        <w:t>42</w:t>
      </w:r>
      <w:r>
        <w:fldChar w:fldCharType="end"/>
      </w:r>
    </w:p>
    <w:p w:rsidR="005F7F21" w:rsidRDefault="005F7F21" w14:paraId="0F4DF818" w14:textId="0BB8C4FB">
      <w:pPr>
        <w:pStyle w:val="TOC2"/>
        <w:rPr>
          <w:rFonts w:asciiTheme="minorHAnsi" w:hAnsiTheme="minorHAnsi" w:eastAsiaTheme="minorEastAsia" w:cstheme="minorBidi"/>
          <w:sz w:val="22"/>
          <w:szCs w:val="22"/>
        </w:rPr>
      </w:pPr>
      <w:r>
        <w:t>Redemption</w:t>
      </w:r>
      <w:r>
        <w:tab/>
      </w:r>
      <w:r>
        <w:fldChar w:fldCharType="begin"/>
      </w:r>
      <w:r>
        <w:instrText xml:space="preserve"> PAGEREF _Toc172841980 \h </w:instrText>
      </w:r>
      <w:r>
        <w:fldChar w:fldCharType="separate"/>
      </w:r>
      <w:r>
        <w:t>42</w:t>
      </w:r>
      <w:r>
        <w:fldChar w:fldCharType="end"/>
      </w:r>
    </w:p>
    <w:p w:rsidR="005F7F21" w:rsidRDefault="005F7F21" w14:paraId="3D335C07" w14:textId="069A3020">
      <w:pPr>
        <w:pStyle w:val="TOC2"/>
        <w:rPr>
          <w:rFonts w:asciiTheme="minorHAnsi" w:hAnsiTheme="minorHAnsi" w:eastAsiaTheme="minorEastAsia" w:cstheme="minorBidi"/>
          <w:sz w:val="22"/>
          <w:szCs w:val="22"/>
        </w:rPr>
      </w:pPr>
      <w:r>
        <w:t>Recapture Tax on Mortgagors</w:t>
      </w:r>
      <w:r>
        <w:tab/>
      </w:r>
      <w:r>
        <w:fldChar w:fldCharType="begin"/>
      </w:r>
      <w:r>
        <w:instrText xml:space="preserve"> PAGEREF _Toc172841981 \h </w:instrText>
      </w:r>
      <w:r>
        <w:fldChar w:fldCharType="separate"/>
      </w:r>
      <w:r>
        <w:t>42</w:t>
      </w:r>
      <w:r>
        <w:fldChar w:fldCharType="end"/>
      </w:r>
    </w:p>
    <w:p w:rsidR="005F7F21" w:rsidRDefault="005F7F21" w14:paraId="765E51EE" w14:textId="40CD7910">
      <w:pPr>
        <w:pStyle w:val="TOC1"/>
        <w:rPr>
          <w:rFonts w:asciiTheme="minorHAnsi" w:hAnsiTheme="minorHAnsi" w:eastAsiaTheme="minorEastAsia" w:cstheme="minorBidi"/>
          <w:noProof/>
          <w:sz w:val="22"/>
          <w:szCs w:val="22"/>
        </w:rPr>
      </w:pPr>
      <w:r>
        <w:rPr>
          <w:noProof/>
        </w:rPr>
        <w:t>TAX MATTERS</w:t>
      </w:r>
      <w:r>
        <w:rPr>
          <w:noProof/>
        </w:rPr>
        <w:tab/>
      </w:r>
      <w:r>
        <w:rPr>
          <w:noProof/>
        </w:rPr>
        <w:fldChar w:fldCharType="begin"/>
      </w:r>
      <w:r>
        <w:rPr>
          <w:noProof/>
        </w:rPr>
        <w:instrText xml:space="preserve"> PAGEREF _Toc172841982 \h </w:instrText>
      </w:r>
      <w:r>
        <w:rPr>
          <w:noProof/>
        </w:rPr>
      </w:r>
      <w:r>
        <w:rPr>
          <w:noProof/>
        </w:rPr>
        <w:fldChar w:fldCharType="separate"/>
      </w:r>
      <w:r>
        <w:rPr>
          <w:noProof/>
        </w:rPr>
        <w:t>43</w:t>
      </w:r>
      <w:r>
        <w:rPr>
          <w:noProof/>
        </w:rPr>
        <w:fldChar w:fldCharType="end"/>
      </w:r>
    </w:p>
    <w:p w:rsidR="005F7F21" w:rsidRDefault="005F7F21" w14:paraId="1B7A0C0D" w14:textId="0B177BC8">
      <w:pPr>
        <w:pStyle w:val="TOC2"/>
        <w:rPr>
          <w:rFonts w:asciiTheme="minorHAnsi" w:hAnsiTheme="minorHAnsi" w:eastAsiaTheme="minorEastAsia" w:cstheme="minorBidi"/>
          <w:sz w:val="22"/>
          <w:szCs w:val="22"/>
        </w:rPr>
      </w:pPr>
      <w:r>
        <w:t>Tax Status of the 2024 Series C-2 Bonds</w:t>
      </w:r>
      <w:r>
        <w:tab/>
      </w:r>
      <w:r>
        <w:fldChar w:fldCharType="begin"/>
      </w:r>
      <w:r>
        <w:instrText xml:space="preserve"> PAGEREF _Toc172841983 \h </w:instrText>
      </w:r>
      <w:r>
        <w:fldChar w:fldCharType="separate"/>
      </w:r>
      <w:r>
        <w:t>44</w:t>
      </w:r>
      <w:r>
        <w:fldChar w:fldCharType="end"/>
      </w:r>
    </w:p>
    <w:p w:rsidR="005F7F21" w:rsidRDefault="005F7F21" w14:paraId="342D1A7A" w14:textId="15789770">
      <w:pPr>
        <w:pStyle w:val="TOC1"/>
        <w:rPr>
          <w:rFonts w:asciiTheme="minorHAnsi" w:hAnsiTheme="minorHAnsi" w:eastAsiaTheme="minorEastAsia" w:cstheme="minorBidi"/>
          <w:noProof/>
          <w:sz w:val="22"/>
          <w:szCs w:val="22"/>
        </w:rPr>
      </w:pPr>
      <w:r>
        <w:rPr>
          <w:noProof/>
        </w:rPr>
        <w:t>AMORTIZABLE BOND PREMIUM</w:t>
      </w:r>
      <w:r>
        <w:rPr>
          <w:noProof/>
        </w:rPr>
        <w:tab/>
      </w:r>
      <w:r>
        <w:rPr>
          <w:noProof/>
        </w:rPr>
        <w:fldChar w:fldCharType="begin"/>
      </w:r>
      <w:r>
        <w:rPr>
          <w:noProof/>
        </w:rPr>
        <w:instrText xml:space="preserve"> PAGEREF _Toc172841984 \h </w:instrText>
      </w:r>
      <w:r>
        <w:rPr>
          <w:noProof/>
        </w:rPr>
      </w:r>
      <w:r>
        <w:rPr>
          <w:noProof/>
        </w:rPr>
        <w:fldChar w:fldCharType="separate"/>
      </w:r>
      <w:r>
        <w:rPr>
          <w:noProof/>
        </w:rPr>
        <w:t>48</w:t>
      </w:r>
      <w:r>
        <w:rPr>
          <w:noProof/>
        </w:rPr>
        <w:fldChar w:fldCharType="end"/>
      </w:r>
    </w:p>
    <w:p w:rsidR="005F7F21" w:rsidRDefault="005F7F21" w14:paraId="415D864C" w14:textId="0985081D">
      <w:pPr>
        <w:pStyle w:val="TOC1"/>
        <w:rPr>
          <w:rFonts w:asciiTheme="minorHAnsi" w:hAnsiTheme="minorHAnsi" w:eastAsiaTheme="minorEastAsia" w:cstheme="minorBidi"/>
          <w:noProof/>
          <w:sz w:val="22"/>
          <w:szCs w:val="22"/>
        </w:rPr>
      </w:pPr>
      <w:r>
        <w:rPr>
          <w:noProof/>
        </w:rPr>
        <w:t>ABSENCE OF LITIGATION</w:t>
      </w:r>
      <w:r>
        <w:rPr>
          <w:noProof/>
        </w:rPr>
        <w:tab/>
      </w:r>
      <w:r>
        <w:rPr>
          <w:noProof/>
        </w:rPr>
        <w:fldChar w:fldCharType="begin"/>
      </w:r>
      <w:r>
        <w:rPr>
          <w:noProof/>
        </w:rPr>
        <w:instrText xml:space="preserve"> PAGEREF _Toc172841985 \h </w:instrText>
      </w:r>
      <w:r>
        <w:rPr>
          <w:noProof/>
        </w:rPr>
      </w:r>
      <w:r>
        <w:rPr>
          <w:noProof/>
        </w:rPr>
        <w:fldChar w:fldCharType="separate"/>
      </w:r>
      <w:r>
        <w:rPr>
          <w:noProof/>
        </w:rPr>
        <w:t>49</w:t>
      </w:r>
      <w:r>
        <w:rPr>
          <w:noProof/>
        </w:rPr>
        <w:fldChar w:fldCharType="end"/>
      </w:r>
    </w:p>
    <w:p w:rsidR="005F7F21" w:rsidRDefault="005F7F21" w14:paraId="3BF5F27E" w14:textId="06EFDB6E">
      <w:pPr>
        <w:pStyle w:val="TOC1"/>
        <w:rPr>
          <w:rFonts w:asciiTheme="minorHAnsi" w:hAnsiTheme="minorHAnsi" w:eastAsiaTheme="minorEastAsia" w:cstheme="minorBidi"/>
          <w:noProof/>
          <w:sz w:val="22"/>
          <w:szCs w:val="22"/>
        </w:rPr>
      </w:pPr>
      <w:r>
        <w:rPr>
          <w:noProof/>
        </w:rPr>
        <w:t>CERTAIN LEGAL MATTERS</w:t>
      </w:r>
      <w:r>
        <w:rPr>
          <w:noProof/>
        </w:rPr>
        <w:tab/>
      </w:r>
      <w:r>
        <w:rPr>
          <w:noProof/>
        </w:rPr>
        <w:fldChar w:fldCharType="begin"/>
      </w:r>
      <w:r>
        <w:rPr>
          <w:noProof/>
        </w:rPr>
        <w:instrText xml:space="preserve"> PAGEREF _Toc172841986 \h </w:instrText>
      </w:r>
      <w:r>
        <w:rPr>
          <w:noProof/>
        </w:rPr>
      </w:r>
      <w:r>
        <w:rPr>
          <w:noProof/>
        </w:rPr>
        <w:fldChar w:fldCharType="separate"/>
      </w:r>
      <w:r>
        <w:rPr>
          <w:noProof/>
        </w:rPr>
        <w:t>49</w:t>
      </w:r>
      <w:r>
        <w:rPr>
          <w:noProof/>
        </w:rPr>
        <w:fldChar w:fldCharType="end"/>
      </w:r>
    </w:p>
    <w:p w:rsidR="005F7F21" w:rsidRDefault="005F7F21" w14:paraId="6564A04A" w14:textId="3AF7BBCA">
      <w:pPr>
        <w:pStyle w:val="TOC1"/>
        <w:rPr>
          <w:rFonts w:asciiTheme="minorHAnsi" w:hAnsiTheme="minorHAnsi" w:eastAsiaTheme="minorEastAsia" w:cstheme="minorBidi"/>
          <w:noProof/>
          <w:sz w:val="22"/>
          <w:szCs w:val="22"/>
        </w:rPr>
      </w:pPr>
      <w:r>
        <w:rPr>
          <w:noProof/>
        </w:rPr>
        <w:t>RATINGS</w:t>
      </w:r>
      <w:r>
        <w:rPr>
          <w:noProof/>
        </w:rPr>
        <w:tab/>
      </w:r>
      <w:r>
        <w:rPr>
          <w:noProof/>
        </w:rPr>
        <w:fldChar w:fldCharType="begin"/>
      </w:r>
      <w:r>
        <w:rPr>
          <w:noProof/>
        </w:rPr>
        <w:instrText xml:space="preserve"> PAGEREF _Toc172841987 \h </w:instrText>
      </w:r>
      <w:r>
        <w:rPr>
          <w:noProof/>
        </w:rPr>
      </w:r>
      <w:r>
        <w:rPr>
          <w:noProof/>
        </w:rPr>
        <w:fldChar w:fldCharType="separate"/>
      </w:r>
      <w:r>
        <w:rPr>
          <w:noProof/>
        </w:rPr>
        <w:t>49</w:t>
      </w:r>
      <w:r>
        <w:rPr>
          <w:noProof/>
        </w:rPr>
        <w:fldChar w:fldCharType="end"/>
      </w:r>
    </w:p>
    <w:p w:rsidR="005F7F21" w:rsidRDefault="005F7F21" w14:paraId="606632E3" w14:textId="2034FC6A">
      <w:pPr>
        <w:pStyle w:val="TOC1"/>
        <w:rPr>
          <w:rFonts w:asciiTheme="minorHAnsi" w:hAnsiTheme="minorHAnsi" w:eastAsiaTheme="minorEastAsia" w:cstheme="minorBidi"/>
          <w:noProof/>
          <w:sz w:val="22"/>
          <w:szCs w:val="22"/>
        </w:rPr>
      </w:pPr>
      <w:r>
        <w:rPr>
          <w:noProof/>
        </w:rPr>
        <w:t>UNDERWRITING</w:t>
      </w:r>
      <w:r>
        <w:rPr>
          <w:noProof/>
        </w:rPr>
        <w:tab/>
      </w:r>
      <w:r>
        <w:rPr>
          <w:noProof/>
        </w:rPr>
        <w:fldChar w:fldCharType="begin"/>
      </w:r>
      <w:r>
        <w:rPr>
          <w:noProof/>
        </w:rPr>
        <w:instrText xml:space="preserve"> PAGEREF _Toc172841988 \h </w:instrText>
      </w:r>
      <w:r>
        <w:rPr>
          <w:noProof/>
        </w:rPr>
      </w:r>
      <w:r>
        <w:rPr>
          <w:noProof/>
        </w:rPr>
        <w:fldChar w:fldCharType="separate"/>
      </w:r>
      <w:r>
        <w:rPr>
          <w:noProof/>
        </w:rPr>
        <w:t>50</w:t>
      </w:r>
      <w:r>
        <w:rPr>
          <w:noProof/>
        </w:rPr>
        <w:fldChar w:fldCharType="end"/>
      </w:r>
    </w:p>
    <w:p w:rsidR="005F7F21" w:rsidRDefault="005F7F21" w14:paraId="4BBB1FE8" w14:textId="2EA639AF">
      <w:pPr>
        <w:pStyle w:val="TOC1"/>
        <w:rPr>
          <w:rFonts w:asciiTheme="minorHAnsi" w:hAnsiTheme="minorHAnsi" w:eastAsiaTheme="minorEastAsia" w:cstheme="minorBidi"/>
          <w:noProof/>
          <w:sz w:val="22"/>
          <w:szCs w:val="22"/>
        </w:rPr>
      </w:pPr>
      <w:r>
        <w:rPr>
          <w:noProof/>
        </w:rPr>
        <w:t>MUNICIPAL ADVISOR</w:t>
      </w:r>
      <w:r>
        <w:rPr>
          <w:noProof/>
        </w:rPr>
        <w:tab/>
      </w:r>
      <w:r>
        <w:rPr>
          <w:noProof/>
        </w:rPr>
        <w:fldChar w:fldCharType="begin"/>
      </w:r>
      <w:r>
        <w:rPr>
          <w:noProof/>
        </w:rPr>
        <w:instrText xml:space="preserve"> PAGEREF _Toc172841989 \h </w:instrText>
      </w:r>
      <w:r>
        <w:rPr>
          <w:noProof/>
        </w:rPr>
      </w:r>
      <w:r>
        <w:rPr>
          <w:noProof/>
        </w:rPr>
        <w:fldChar w:fldCharType="separate"/>
      </w:r>
      <w:r>
        <w:rPr>
          <w:noProof/>
        </w:rPr>
        <w:t>50</w:t>
      </w:r>
      <w:r>
        <w:rPr>
          <w:noProof/>
        </w:rPr>
        <w:fldChar w:fldCharType="end"/>
      </w:r>
    </w:p>
    <w:p w:rsidR="005F7F21" w:rsidRDefault="005F7F21" w14:paraId="64C3E145" w14:textId="6B2F6EBE">
      <w:pPr>
        <w:pStyle w:val="TOC1"/>
        <w:rPr>
          <w:rFonts w:asciiTheme="minorHAnsi" w:hAnsiTheme="minorHAnsi" w:eastAsiaTheme="minorEastAsia" w:cstheme="minorBidi"/>
          <w:noProof/>
          <w:sz w:val="22"/>
          <w:szCs w:val="22"/>
        </w:rPr>
      </w:pPr>
      <w:r>
        <w:rPr>
          <w:noProof/>
        </w:rPr>
        <w:t>AGREEMENT OF STATE</w:t>
      </w:r>
      <w:r>
        <w:rPr>
          <w:noProof/>
        </w:rPr>
        <w:tab/>
      </w:r>
      <w:r>
        <w:rPr>
          <w:noProof/>
        </w:rPr>
        <w:fldChar w:fldCharType="begin"/>
      </w:r>
      <w:r>
        <w:rPr>
          <w:noProof/>
        </w:rPr>
        <w:instrText xml:space="preserve"> PAGEREF _Toc172841990 \h </w:instrText>
      </w:r>
      <w:r>
        <w:rPr>
          <w:noProof/>
        </w:rPr>
      </w:r>
      <w:r>
        <w:rPr>
          <w:noProof/>
        </w:rPr>
        <w:fldChar w:fldCharType="separate"/>
      </w:r>
      <w:r>
        <w:rPr>
          <w:noProof/>
        </w:rPr>
        <w:t>51</w:t>
      </w:r>
      <w:r>
        <w:rPr>
          <w:noProof/>
        </w:rPr>
        <w:fldChar w:fldCharType="end"/>
      </w:r>
    </w:p>
    <w:p w:rsidR="005F7F21" w:rsidRDefault="005F7F21" w14:paraId="49A5F3AD" w14:textId="63F8056C">
      <w:pPr>
        <w:pStyle w:val="TOC1"/>
        <w:rPr>
          <w:rFonts w:asciiTheme="minorHAnsi" w:hAnsiTheme="minorHAnsi" w:eastAsiaTheme="minorEastAsia" w:cstheme="minorBidi"/>
          <w:noProof/>
          <w:sz w:val="22"/>
          <w:szCs w:val="22"/>
        </w:rPr>
      </w:pPr>
      <w:r>
        <w:rPr>
          <w:noProof/>
        </w:rPr>
        <w:t>LEGALITY FOR INVESTMENT</w:t>
      </w:r>
      <w:r>
        <w:rPr>
          <w:noProof/>
        </w:rPr>
        <w:tab/>
      </w:r>
      <w:r>
        <w:rPr>
          <w:noProof/>
        </w:rPr>
        <w:fldChar w:fldCharType="begin"/>
      </w:r>
      <w:r>
        <w:rPr>
          <w:noProof/>
        </w:rPr>
        <w:instrText xml:space="preserve"> PAGEREF _Toc172841991 \h </w:instrText>
      </w:r>
      <w:r>
        <w:rPr>
          <w:noProof/>
        </w:rPr>
      </w:r>
      <w:r>
        <w:rPr>
          <w:noProof/>
        </w:rPr>
        <w:fldChar w:fldCharType="separate"/>
      </w:r>
      <w:r>
        <w:rPr>
          <w:noProof/>
        </w:rPr>
        <w:t>51</w:t>
      </w:r>
      <w:r>
        <w:rPr>
          <w:noProof/>
        </w:rPr>
        <w:fldChar w:fldCharType="end"/>
      </w:r>
    </w:p>
    <w:p w:rsidR="005F7F21" w:rsidRDefault="005F7F21" w14:paraId="7E8204FE" w14:textId="6C44128C">
      <w:pPr>
        <w:pStyle w:val="TOC1"/>
        <w:rPr>
          <w:rFonts w:asciiTheme="minorHAnsi" w:hAnsiTheme="minorHAnsi" w:eastAsiaTheme="minorEastAsia" w:cstheme="minorBidi"/>
          <w:noProof/>
          <w:sz w:val="22"/>
          <w:szCs w:val="22"/>
        </w:rPr>
      </w:pPr>
      <w:r>
        <w:rPr>
          <w:noProof/>
        </w:rPr>
        <w:t>FINANCIAL STATEMENTS</w:t>
      </w:r>
      <w:r>
        <w:rPr>
          <w:noProof/>
        </w:rPr>
        <w:tab/>
      </w:r>
      <w:r>
        <w:rPr>
          <w:noProof/>
        </w:rPr>
        <w:fldChar w:fldCharType="begin"/>
      </w:r>
      <w:r>
        <w:rPr>
          <w:noProof/>
        </w:rPr>
        <w:instrText xml:space="preserve"> PAGEREF _Toc172841992 \h </w:instrText>
      </w:r>
      <w:r>
        <w:rPr>
          <w:noProof/>
        </w:rPr>
      </w:r>
      <w:r>
        <w:rPr>
          <w:noProof/>
        </w:rPr>
        <w:fldChar w:fldCharType="separate"/>
      </w:r>
      <w:r>
        <w:rPr>
          <w:noProof/>
        </w:rPr>
        <w:t>51</w:t>
      </w:r>
      <w:r>
        <w:rPr>
          <w:noProof/>
        </w:rPr>
        <w:fldChar w:fldCharType="end"/>
      </w:r>
    </w:p>
    <w:p w:rsidR="005F7F21" w:rsidRDefault="005F7F21" w14:paraId="5D06799C" w14:textId="07F88625">
      <w:pPr>
        <w:pStyle w:val="TOC1"/>
        <w:rPr>
          <w:rFonts w:asciiTheme="minorHAnsi" w:hAnsiTheme="minorHAnsi" w:eastAsiaTheme="minorEastAsia" w:cstheme="minorBidi"/>
          <w:noProof/>
          <w:sz w:val="22"/>
          <w:szCs w:val="22"/>
        </w:rPr>
      </w:pPr>
      <w:r>
        <w:rPr>
          <w:noProof/>
        </w:rPr>
        <w:t>CONTINUING DISCLOSURE</w:t>
      </w:r>
      <w:r>
        <w:rPr>
          <w:noProof/>
        </w:rPr>
        <w:tab/>
      </w:r>
      <w:r>
        <w:rPr>
          <w:noProof/>
        </w:rPr>
        <w:fldChar w:fldCharType="begin"/>
      </w:r>
      <w:r>
        <w:rPr>
          <w:noProof/>
        </w:rPr>
        <w:instrText xml:space="preserve"> PAGEREF _Toc172841993 \h </w:instrText>
      </w:r>
      <w:r>
        <w:rPr>
          <w:noProof/>
        </w:rPr>
      </w:r>
      <w:r>
        <w:rPr>
          <w:noProof/>
        </w:rPr>
        <w:fldChar w:fldCharType="separate"/>
      </w:r>
      <w:r>
        <w:rPr>
          <w:noProof/>
        </w:rPr>
        <w:t>51</w:t>
      </w:r>
      <w:r>
        <w:rPr>
          <w:noProof/>
        </w:rPr>
        <w:fldChar w:fldCharType="end"/>
      </w:r>
    </w:p>
    <w:p w:rsidR="005F7F21" w:rsidRDefault="005F7F21" w14:paraId="5C7440E5" w14:textId="50BA61DA">
      <w:pPr>
        <w:pStyle w:val="TOC1"/>
        <w:rPr>
          <w:rFonts w:asciiTheme="minorHAnsi" w:hAnsiTheme="minorHAnsi" w:eastAsiaTheme="minorEastAsia" w:cstheme="minorBidi"/>
          <w:noProof/>
          <w:sz w:val="22"/>
          <w:szCs w:val="22"/>
        </w:rPr>
      </w:pPr>
      <w:r>
        <w:rPr>
          <w:noProof/>
        </w:rPr>
        <w:t>ADDITIONAL INFORMATION</w:t>
      </w:r>
      <w:r>
        <w:rPr>
          <w:noProof/>
        </w:rPr>
        <w:tab/>
      </w:r>
      <w:r>
        <w:rPr>
          <w:noProof/>
        </w:rPr>
        <w:fldChar w:fldCharType="begin"/>
      </w:r>
      <w:r>
        <w:rPr>
          <w:noProof/>
        </w:rPr>
        <w:instrText xml:space="preserve"> PAGEREF _Toc172841994 \h </w:instrText>
      </w:r>
      <w:r>
        <w:rPr>
          <w:noProof/>
        </w:rPr>
      </w:r>
      <w:r>
        <w:rPr>
          <w:noProof/>
        </w:rPr>
        <w:fldChar w:fldCharType="separate"/>
      </w:r>
      <w:r>
        <w:rPr>
          <w:noProof/>
        </w:rPr>
        <w:t>52</w:t>
      </w:r>
      <w:r>
        <w:rPr>
          <w:noProof/>
        </w:rPr>
        <w:fldChar w:fldCharType="end"/>
      </w:r>
    </w:p>
    <w:p w:rsidR="005F7F21" w:rsidRDefault="005F7F21" w14:paraId="72EA6841" w14:textId="705ACD3D">
      <w:pPr>
        <w:pStyle w:val="TOC1"/>
        <w:rPr>
          <w:rFonts w:asciiTheme="minorHAnsi" w:hAnsiTheme="minorHAnsi" w:eastAsiaTheme="minorEastAsia" w:cstheme="minorBidi"/>
          <w:noProof/>
          <w:sz w:val="22"/>
          <w:szCs w:val="22"/>
        </w:rPr>
      </w:pPr>
      <w:r>
        <w:rPr>
          <w:noProof/>
        </w:rPr>
        <w:t>MISCELLANEOUS</w:t>
      </w:r>
      <w:r>
        <w:rPr>
          <w:noProof/>
        </w:rPr>
        <w:tab/>
      </w:r>
      <w:r>
        <w:rPr>
          <w:noProof/>
        </w:rPr>
        <w:fldChar w:fldCharType="begin"/>
      </w:r>
      <w:r>
        <w:rPr>
          <w:noProof/>
        </w:rPr>
        <w:instrText xml:space="preserve"> PAGEREF _Toc172841995 \h </w:instrText>
      </w:r>
      <w:r>
        <w:rPr>
          <w:noProof/>
        </w:rPr>
      </w:r>
      <w:r>
        <w:rPr>
          <w:noProof/>
        </w:rPr>
        <w:fldChar w:fldCharType="separate"/>
      </w:r>
      <w:r>
        <w:rPr>
          <w:noProof/>
        </w:rPr>
        <w:t>52</w:t>
      </w:r>
      <w:r>
        <w:rPr>
          <w:noProof/>
        </w:rPr>
        <w:fldChar w:fldCharType="end"/>
      </w:r>
    </w:p>
    <w:p w:rsidRPr="00353FAB" w:rsidR="004D0191" w:rsidP="004D2FBA" w:rsidRDefault="004D2FBA" w14:paraId="7741C26E" w14:textId="09115F00">
      <w:r>
        <w:rPr>
          <w:highlight w:val="yellow"/>
        </w:rPr>
        <w:fldChar w:fldCharType="end"/>
      </w:r>
    </w:p>
    <w:p w:rsidRPr="00353FAB" w:rsidR="004D0191" w:rsidP="00AE095F" w:rsidRDefault="004D0191" w14:paraId="4E09CFF1" w14:textId="77777777">
      <w:pPr>
        <w:widowControl/>
      </w:pPr>
    </w:p>
    <w:p w:rsidRPr="00AA223A" w:rsidR="00AF72E5" w:rsidP="00885C25" w:rsidRDefault="00AF72E5" w14:paraId="7F416EE4" w14:textId="77777777">
      <w:pPr>
        <w:widowControl/>
        <w:tabs>
          <w:tab w:val="left" w:pos="1560"/>
          <w:tab w:val="right" w:leader="dot" w:pos="9360"/>
        </w:tabs>
        <w:ind w:right="-400"/>
      </w:pPr>
      <w:bookmarkStart w:name="_DV_M173" w:id="43"/>
      <w:bookmarkEnd w:id="43"/>
      <w:r w:rsidRPr="00353FAB">
        <w:t>APPENDIX</w:t>
      </w:r>
      <w:r w:rsidRPr="00AA223A">
        <w:t xml:space="preserve"> A</w:t>
      </w:r>
      <w:r w:rsidRPr="00AA223A">
        <w:tab/>
        <w:t>SUMMARY OF MORTGAGE CERTIFICATE PROGRAM</w:t>
      </w:r>
      <w:r w:rsidRPr="00AA223A">
        <w:tab/>
      </w:r>
      <w:r w:rsidRPr="00AA223A" w:rsidR="001C61A4">
        <w:t>A</w:t>
      </w:r>
      <w:r w:rsidRPr="00AA223A" w:rsidR="00144FDF">
        <w:t>-1</w:t>
      </w:r>
    </w:p>
    <w:p w:rsidRPr="00AA223A" w:rsidR="00AF72E5" w:rsidP="00885C25" w:rsidRDefault="00AF72E5" w14:paraId="0C4827C7" w14:textId="77777777">
      <w:pPr>
        <w:widowControl/>
        <w:tabs>
          <w:tab w:val="left" w:pos="1560"/>
          <w:tab w:val="right" w:leader="dot" w:pos="9360"/>
        </w:tabs>
        <w:ind w:right="-400"/>
      </w:pPr>
      <w:bookmarkStart w:name="_DV_M174" w:id="44"/>
      <w:bookmarkEnd w:id="44"/>
      <w:r w:rsidRPr="00AA223A">
        <w:t>APPENDIX B</w:t>
      </w:r>
      <w:r w:rsidRPr="00AA223A">
        <w:tab/>
        <w:t>FINANCIAL STATEMENTS OF AUTHORITY</w:t>
      </w:r>
      <w:r w:rsidRPr="00AA223A">
        <w:tab/>
        <w:t>B</w:t>
      </w:r>
      <w:r w:rsidRPr="00AA223A">
        <w:noBreakHyphen/>
        <w:t>1</w:t>
      </w:r>
    </w:p>
    <w:p w:rsidRPr="00AA223A" w:rsidR="00AF72E5" w:rsidP="00885C25" w:rsidRDefault="00AF72E5" w14:paraId="472AB603" w14:textId="77777777">
      <w:pPr>
        <w:widowControl/>
        <w:tabs>
          <w:tab w:val="left" w:pos="1560"/>
          <w:tab w:val="right" w:leader="dot" w:pos="9360"/>
        </w:tabs>
        <w:ind w:right="-400"/>
      </w:pPr>
      <w:bookmarkStart w:name="_DV_M175" w:id="45"/>
      <w:bookmarkEnd w:id="45"/>
      <w:r w:rsidRPr="00AA223A">
        <w:t>APPENDIX C</w:t>
      </w:r>
      <w:r w:rsidRPr="00AA223A">
        <w:tab/>
        <w:t>FORM OF BOND COUNSEL OPINION</w:t>
      </w:r>
      <w:r w:rsidRPr="00AA223A">
        <w:tab/>
        <w:t>C</w:t>
      </w:r>
      <w:r w:rsidRPr="00AA223A">
        <w:noBreakHyphen/>
        <w:t>1</w:t>
      </w:r>
    </w:p>
    <w:p w:rsidRPr="00AA223A" w:rsidR="00AF72E5" w:rsidP="00885C25" w:rsidRDefault="00AF72E5" w14:paraId="4C957E2F" w14:textId="77777777">
      <w:pPr>
        <w:widowControl/>
        <w:tabs>
          <w:tab w:val="left" w:pos="1560"/>
          <w:tab w:val="right" w:leader="dot" w:pos="9360"/>
        </w:tabs>
        <w:ind w:right="-400"/>
      </w:pPr>
      <w:bookmarkStart w:name="_DV_M176" w:id="46"/>
      <w:bookmarkEnd w:id="46"/>
      <w:r w:rsidRPr="00AA223A">
        <w:t>APPENDIX D</w:t>
      </w:r>
      <w:r w:rsidRPr="00AA223A">
        <w:tab/>
        <w:t>SUMMARY OF CERTAIN PROVISIONS OF</w:t>
      </w:r>
      <w:r w:rsidRPr="00AA223A" w:rsidR="00656E17">
        <w:t xml:space="preserve"> </w:t>
      </w:r>
      <w:r w:rsidRPr="00AA223A">
        <w:t>INDENTURE</w:t>
      </w:r>
      <w:r w:rsidRPr="00AA223A">
        <w:tab/>
        <w:t>D</w:t>
      </w:r>
      <w:r w:rsidRPr="00AA223A">
        <w:noBreakHyphen/>
        <w:t>1</w:t>
      </w:r>
    </w:p>
    <w:p w:rsidRPr="00AA223A" w:rsidR="00AF72E5" w:rsidP="00885C25" w:rsidRDefault="00AF72E5" w14:paraId="1E16BCE6" w14:textId="77777777">
      <w:pPr>
        <w:widowControl/>
        <w:tabs>
          <w:tab w:val="left" w:pos="1560"/>
          <w:tab w:val="right" w:leader="dot" w:pos="9360"/>
        </w:tabs>
        <w:ind w:right="-400"/>
      </w:pPr>
      <w:bookmarkStart w:name="_DV_M177" w:id="47"/>
      <w:bookmarkEnd w:id="47"/>
      <w:r w:rsidRPr="00AA223A">
        <w:t>APPENDIX E</w:t>
      </w:r>
      <w:r w:rsidRPr="00AA223A">
        <w:tab/>
        <w:t>CONTINUING DISCLOSURE UNDERTAKING AGREEMENT</w:t>
      </w:r>
      <w:r w:rsidRPr="00AA223A">
        <w:tab/>
        <w:t>E</w:t>
      </w:r>
      <w:r w:rsidRPr="00AA223A">
        <w:noBreakHyphen/>
        <w:t>1</w:t>
      </w:r>
    </w:p>
    <w:p w:rsidRPr="00AA223A" w:rsidR="00AF72E5" w:rsidP="00885C25" w:rsidRDefault="00AF72E5" w14:paraId="695985A4" w14:textId="77777777">
      <w:pPr>
        <w:widowControl/>
        <w:tabs>
          <w:tab w:val="left" w:pos="1560"/>
          <w:tab w:val="right" w:leader="dot" w:pos="9360"/>
        </w:tabs>
        <w:ind w:right="-400"/>
      </w:pPr>
      <w:bookmarkStart w:name="_DV_M178" w:id="48"/>
      <w:bookmarkEnd w:id="48"/>
      <w:r w:rsidRPr="00AA223A">
        <w:t>APPENDIX F</w:t>
      </w:r>
      <w:r w:rsidRPr="00AA223A">
        <w:tab/>
        <w:t>CERTAIN DEFINITIONS</w:t>
      </w:r>
      <w:r w:rsidRPr="00AA223A">
        <w:tab/>
        <w:t>F</w:t>
      </w:r>
      <w:r w:rsidRPr="00AA223A">
        <w:noBreakHyphen/>
        <w:t>1</w:t>
      </w:r>
    </w:p>
    <w:p w:rsidRPr="00AA223A" w:rsidR="00A10112" w:rsidP="00885C25" w:rsidRDefault="00A10112" w14:paraId="2A68C65C" w14:textId="77777777">
      <w:pPr>
        <w:widowControl/>
        <w:tabs>
          <w:tab w:val="left" w:pos="1560"/>
          <w:tab w:val="right" w:leader="dot" w:pos="9360"/>
        </w:tabs>
        <w:ind w:right="-400"/>
      </w:pPr>
      <w:r w:rsidRPr="00AA223A">
        <w:t>APPENDIX G</w:t>
      </w:r>
      <w:r w:rsidRPr="00AA223A">
        <w:tab/>
      </w:r>
      <w:r w:rsidRPr="00AA223A" w:rsidR="00B16133">
        <w:t>PROJECTED PERCENTAGES OF INITIAL PR</w:t>
      </w:r>
      <w:r w:rsidRPr="00AA223A">
        <w:t xml:space="preserve">INCIPAL BALANCE OUTSTANDING </w:t>
      </w:r>
    </w:p>
    <w:p w:rsidRPr="00AA223A" w:rsidR="00B16133" w:rsidP="00885C25" w:rsidRDefault="00A10112" w14:paraId="108E92D6" w14:textId="4E11551C">
      <w:pPr>
        <w:widowControl/>
        <w:tabs>
          <w:tab w:val="left" w:pos="1560"/>
          <w:tab w:val="right" w:leader="dot" w:pos="9360"/>
        </w:tabs>
        <w:ind w:right="-400"/>
      </w:pPr>
      <w:r w:rsidRPr="00AA223A">
        <w:tab/>
      </w:r>
      <w:r w:rsidRPr="00AA223A" w:rsidR="00CE7D1A">
        <w:t xml:space="preserve">AND </w:t>
      </w:r>
      <w:r w:rsidRPr="00AA223A" w:rsidR="00B16133">
        <w:t xml:space="preserve">ESTIMATED WEIGHTED AVERAGE LIVES OF </w:t>
      </w:r>
      <w:r w:rsidR="00A1322C">
        <w:t>2024C-2</w:t>
      </w:r>
      <w:r w:rsidR="00A6413E">
        <w:t xml:space="preserve"> PAC</w:t>
      </w:r>
      <w:r w:rsidRPr="00AA223A" w:rsidR="00B16133">
        <w:t xml:space="preserve"> BONDS</w:t>
      </w:r>
      <w:r w:rsidRPr="00AA223A" w:rsidR="00B16133">
        <w:tab/>
        <w:t>G-1</w:t>
      </w:r>
    </w:p>
    <w:p w:rsidR="00FE207E" w:rsidP="00885C25" w:rsidRDefault="00AA223A" w14:paraId="083F338C" w14:textId="51D6CD4C">
      <w:pPr>
        <w:widowControl/>
        <w:tabs>
          <w:tab w:val="left" w:pos="1560"/>
          <w:tab w:val="right" w:leader="dot" w:pos="9360"/>
        </w:tabs>
        <w:ind w:right="-400"/>
      </w:pPr>
      <w:r w:rsidRPr="00AA223A">
        <w:t>APPENDIX</w:t>
      </w:r>
      <w:r w:rsidR="00A762F4">
        <w:t xml:space="preserve"> H</w:t>
      </w:r>
      <w:r w:rsidRPr="00AA223A">
        <w:tab/>
        <w:t xml:space="preserve">DEBT </w:t>
      </w:r>
      <w:r w:rsidR="00C87199">
        <w:t xml:space="preserve">OUTSTANDING DETAIL AS OF </w:t>
      </w:r>
      <w:r w:rsidR="00C9166F">
        <w:t>JULY</w:t>
      </w:r>
      <w:r w:rsidR="00D56C20">
        <w:t xml:space="preserve"> 1, 2024</w:t>
      </w:r>
      <w:r w:rsidRPr="00AA223A">
        <w:tab/>
        <w:t>H-1</w:t>
      </w:r>
    </w:p>
    <w:p w:rsidRPr="00AA223A" w:rsidR="00AA223A" w:rsidP="00885C25" w:rsidRDefault="00FE207E" w14:paraId="75C5A633" w14:textId="37735824">
      <w:pPr>
        <w:widowControl/>
        <w:tabs>
          <w:tab w:val="left" w:pos="1560"/>
          <w:tab w:val="right" w:leader="dot" w:pos="9360"/>
        </w:tabs>
        <w:ind w:right="-400"/>
      </w:pPr>
      <w:r>
        <w:t>APPENDIX I</w:t>
      </w:r>
      <w:r>
        <w:tab/>
        <w:t>FORM OF SOCIAL BOND</w:t>
      </w:r>
      <w:r w:rsidR="00DC0FD2">
        <w:t>S ANNUAL REPORT</w:t>
      </w:r>
      <w:r w:rsidR="00DC0FD2">
        <w:tab/>
        <w:t>I-1</w:t>
      </w:r>
      <w:r>
        <w:tab/>
      </w:r>
    </w:p>
    <w:p w:rsidRPr="00B34407" w:rsidR="00885C25" w:rsidP="00885C25" w:rsidRDefault="00885C25" w14:paraId="09A8CCA6" w14:textId="77777777">
      <w:pPr>
        <w:widowControl/>
        <w:tabs>
          <w:tab w:val="left" w:pos="1560"/>
          <w:tab w:val="left" w:pos="8960"/>
          <w:tab w:val="right" w:leader="dot" w:pos="9000"/>
          <w:tab w:val="left" w:pos="9090"/>
        </w:tabs>
        <w:jc w:val="left"/>
      </w:pPr>
    </w:p>
    <w:p w:rsidRPr="00B34407" w:rsidR="00885C25" w:rsidP="00885C25" w:rsidRDefault="00885C25" w14:paraId="2BBFAF7B" w14:textId="77777777">
      <w:pPr>
        <w:widowControl/>
        <w:tabs>
          <w:tab w:val="left" w:pos="1560"/>
          <w:tab w:val="left" w:pos="8960"/>
          <w:tab w:val="right" w:leader="dot" w:pos="9000"/>
          <w:tab w:val="left" w:pos="9090"/>
        </w:tabs>
        <w:jc w:val="left"/>
      </w:pPr>
    </w:p>
    <w:p w:rsidRPr="00B34407" w:rsidR="00AF72E5" w:rsidP="00885C25" w:rsidRDefault="00CE1616" w14:paraId="52C6C12F" w14:textId="76A7EA65">
      <w:pPr>
        <w:widowControl/>
        <w:tabs>
          <w:tab w:val="left" w:pos="1560"/>
          <w:tab w:val="left" w:pos="8960"/>
          <w:tab w:val="right" w:leader="dot" w:pos="9000"/>
          <w:tab w:val="left" w:pos="9090"/>
        </w:tabs>
        <w:jc w:val="left"/>
        <w:sectPr w:rsidRPr="00B34407" w:rsidR="00AF72E5" w:rsidSect="004D0191">
          <w:headerReference w:type="default" r:id="rId18"/>
          <w:footerReference w:type="default" r:id="rId19"/>
          <w:pgSz w:w="12240" w:h="15840"/>
          <w:pgMar w:top="1440" w:right="1440" w:bottom="1440" w:left="1440" w:header="1440" w:footer="720" w:gutter="0"/>
          <w:pgNumType w:fmt="lowerRoman" w:start="1"/>
          <w:cols w:space="720"/>
        </w:sectPr>
      </w:pPr>
      <w:r w:rsidRPr="00B34407">
        <w:tab/>
      </w:r>
      <w:r w:rsidRPr="00B34407" w:rsidR="00885C25">
        <w:t xml:space="preserve"> </w:t>
      </w:r>
    </w:p>
    <w:p w:rsidR="00677520" w:rsidP="00161551" w:rsidRDefault="00677520" w14:paraId="5202B64F" w14:textId="77777777">
      <w:pPr>
        <w:pStyle w:val="atitle"/>
        <w:widowControl/>
        <w:sectPr w:rsidR="00677520" w:rsidSect="0042371A">
          <w:headerReference w:type="default" r:id="rId20"/>
          <w:footerReference w:type="default" r:id="rId21"/>
          <w:headerReference w:type="first" r:id="rId22"/>
          <w:footerReference w:type="first" r:id="rId23"/>
          <w:footnotePr>
            <w:numFmt w:val="chicago"/>
            <w:numRestart w:val="eachPage"/>
          </w:footnotePr>
          <w:type w:val="continuous"/>
          <w:pgSz w:w="12240" w:h="15840" w:code="1"/>
          <w:pgMar w:top="1440" w:right="1440" w:bottom="1440" w:left="1440" w:header="720" w:footer="720" w:gutter="0"/>
          <w:pgNumType w:start="1"/>
          <w:cols w:space="720"/>
          <w:noEndnote/>
          <w:titlePg/>
          <w:docGrid w:linePitch="360"/>
        </w:sectPr>
      </w:pPr>
      <w:bookmarkStart w:name="_DV_M181" w:id="49"/>
      <w:bookmarkEnd w:id="49"/>
    </w:p>
    <w:p w:rsidR="00161551" w:rsidP="00161551" w:rsidRDefault="00B245DA" w14:paraId="1CCA329D" w14:textId="2695772A">
      <w:pPr>
        <w:pStyle w:val="atitle"/>
        <w:widowControl/>
        <w:rPr>
          <w:bCs w:val="0"/>
        </w:rPr>
      </w:pPr>
      <w:bookmarkStart w:name="ElPgBr9" w:id="50"/>
      <w:bookmarkEnd w:id="50"/>
      <w:r w:rsidRPr="00B34407">
        <w:lastRenderedPageBreak/>
        <w:t>OFFICIAL STATEMENT</w:t>
      </w:r>
      <w:r w:rsidRPr="00B34407" w:rsidR="00AF72E5">
        <w:br/>
        <w:t>relating to</w:t>
      </w:r>
      <w:r w:rsidRPr="00B34407" w:rsidR="00AF72E5">
        <w:br/>
      </w:r>
      <w:r w:rsidRPr="00B34407" w:rsidR="00AF72E5">
        <w:br/>
      </w:r>
      <w:r w:rsidR="00B83582">
        <w:t>$</w:t>
      </w:r>
      <w:r w:rsidR="00702569">
        <w:t>99,245,000</w:t>
      </w:r>
      <w:r w:rsidRPr="00B34407" w:rsidR="00AF72E5">
        <w:br/>
        <w:t>INDIANA HOUSING AND COMMUNITY DEVELOPMENT AUTHORITY</w:t>
      </w:r>
      <w:r w:rsidRPr="00B34407" w:rsidR="00AF72E5">
        <w:br/>
        <w:t>Single Family Mortgage Revenue Bonds</w:t>
      </w:r>
      <w:r w:rsidRPr="00B34407" w:rsidR="00AF72E5">
        <w:br/>
      </w:r>
      <w:r w:rsidR="00C7294C">
        <w:rPr>
          <w:bCs w:val="0"/>
        </w:rPr>
        <w:t>2024 Series C</w:t>
      </w:r>
      <w:r w:rsidR="00B4438E">
        <w:rPr>
          <w:bCs w:val="0"/>
        </w:rPr>
        <w:t>-1</w:t>
      </w:r>
      <w:r w:rsidR="00161551">
        <w:rPr>
          <w:bCs w:val="0"/>
        </w:rPr>
        <w:t xml:space="preserve"> (Social Bonds)</w:t>
      </w:r>
      <w:r w:rsidR="00C76D67">
        <w:rPr>
          <w:bCs w:val="0"/>
        </w:rPr>
        <w:t xml:space="preserve"> (Non-AMT)</w:t>
      </w:r>
    </w:p>
    <w:p w:rsidRPr="00161551" w:rsidR="00C76D67" w:rsidP="00161551" w:rsidRDefault="00C76D67" w14:paraId="77161652" w14:textId="3448814F">
      <w:pPr>
        <w:pStyle w:val="atitle"/>
        <w:widowControl/>
        <w:rPr>
          <w:bCs w:val="0"/>
        </w:rPr>
      </w:pPr>
      <w:r>
        <w:t>$</w:t>
      </w:r>
      <w:r w:rsidR="00702569">
        <w:t>98,655,000</w:t>
      </w:r>
      <w:r w:rsidRPr="00B34407">
        <w:br/>
        <w:t>INDIANA HOUSING AND COMMUNITY DEVELOPMENT AUTHORITY</w:t>
      </w:r>
      <w:r w:rsidRPr="00B34407">
        <w:br/>
        <w:t>Single Family Mortgage Revenue Bonds</w:t>
      </w:r>
      <w:r w:rsidRPr="00B34407">
        <w:br/>
      </w:r>
      <w:r w:rsidR="00C7294C">
        <w:rPr>
          <w:bCs w:val="0"/>
        </w:rPr>
        <w:t>2024 Series C</w:t>
      </w:r>
      <w:r w:rsidR="00B4438E">
        <w:rPr>
          <w:bCs w:val="0"/>
        </w:rPr>
        <w:t>-2</w:t>
      </w:r>
      <w:r>
        <w:rPr>
          <w:bCs w:val="0"/>
        </w:rPr>
        <w:t xml:space="preserve"> (Social Bonds) (Taxable) </w:t>
      </w:r>
    </w:p>
    <w:p w:rsidRPr="00B34407" w:rsidR="00AF72E5" w:rsidP="00AA223A" w:rsidRDefault="00AF72E5" w14:paraId="1E3C8626" w14:textId="77777777">
      <w:pPr>
        <w:pStyle w:val="aHEADING"/>
      </w:pPr>
      <w:bookmarkStart w:name="_DV_M183" w:id="51"/>
      <w:bookmarkStart w:name="_DV_M188" w:id="52"/>
      <w:bookmarkStart w:name="_DV_M191" w:id="53"/>
      <w:bookmarkStart w:name="_Toc212948756" w:id="54"/>
      <w:bookmarkStart w:name="_Toc3865656" w:id="55"/>
      <w:bookmarkStart w:name="_Toc85337900" w:id="56"/>
      <w:bookmarkStart w:name="_Toc534620326" w:id="57"/>
      <w:bookmarkStart w:name="_Toc534620436" w:id="58"/>
      <w:bookmarkStart w:name="_Toc534620554" w:id="59"/>
      <w:bookmarkStart w:name="_Toc534620875" w:id="60"/>
      <w:bookmarkStart w:name="_Toc534621106" w:id="61"/>
      <w:bookmarkStart w:name="_Toc172841911" w:id="62"/>
      <w:bookmarkEnd w:id="51"/>
      <w:bookmarkEnd w:id="52"/>
      <w:bookmarkEnd w:id="53"/>
      <w:r w:rsidRPr="00AA223A">
        <w:t>INTRODUCTION</w:t>
      </w:r>
      <w:bookmarkEnd w:id="54"/>
      <w:bookmarkEnd w:id="55"/>
      <w:bookmarkEnd w:id="56"/>
      <w:bookmarkEnd w:id="57"/>
      <w:bookmarkEnd w:id="58"/>
      <w:bookmarkEnd w:id="59"/>
      <w:bookmarkEnd w:id="60"/>
      <w:bookmarkEnd w:id="61"/>
      <w:bookmarkEnd w:id="62"/>
    </w:p>
    <w:p w:rsidRPr="00B34407" w:rsidR="00CB0D61" w:rsidP="00BB2DFB" w:rsidRDefault="00AF72E5" w14:paraId="12F32112" w14:textId="6EE28A22">
      <w:pPr>
        <w:pStyle w:val="BodyTextFirstIndent"/>
      </w:pPr>
      <w:bookmarkStart w:name="_DV_M192" w:id="63"/>
      <w:bookmarkEnd w:id="63"/>
      <w:r w:rsidRPr="00B34407">
        <w:t xml:space="preserve">This Official Statement, including the cover page hereof and appendices hereto, is provided for the purpose of presenting certain information relating to the Indiana Housing and Community Development Authority (the </w:t>
      </w:r>
      <w:r w:rsidR="00C34AEA">
        <w:t>“</w:t>
      </w:r>
      <w:r w:rsidRPr="00B34407">
        <w:rPr>
          <w:i/>
        </w:rPr>
        <w:t>Authority</w:t>
      </w:r>
      <w:r w:rsidR="00C34AEA">
        <w:t>”</w:t>
      </w:r>
      <w:r w:rsidRPr="00B34407">
        <w:t>) in connection with the initial offering and sale of its Single Family Mortgage Revenue Bonds,</w:t>
      </w:r>
      <w:r w:rsidRPr="00B34407" w:rsidR="005A032A">
        <w:t xml:space="preserve"> </w:t>
      </w:r>
      <w:r w:rsidR="00C7294C">
        <w:t>2024 Series C</w:t>
      </w:r>
      <w:r w:rsidR="00D069EB">
        <w:t>-1</w:t>
      </w:r>
      <w:r w:rsidR="00161551">
        <w:t xml:space="preserve"> (Social Bonds)</w:t>
      </w:r>
      <w:r w:rsidR="00BC37DE">
        <w:t xml:space="preserve"> (Non-AMT)</w:t>
      </w:r>
      <w:r w:rsidRPr="00B34407">
        <w:t xml:space="preserve"> (the </w:t>
      </w:r>
      <w:r w:rsidR="00C34AEA">
        <w:t>“</w:t>
      </w:r>
      <w:r w:rsidR="00C7294C">
        <w:rPr>
          <w:bCs/>
          <w:i/>
        </w:rPr>
        <w:t>2024 Series C</w:t>
      </w:r>
      <w:r w:rsidR="00B4438E">
        <w:rPr>
          <w:bCs/>
          <w:i/>
        </w:rPr>
        <w:t>-1 Bond</w:t>
      </w:r>
      <w:r w:rsidRPr="00B34407" w:rsidR="0089533B">
        <w:rPr>
          <w:bCs/>
          <w:i/>
        </w:rPr>
        <w:t>s</w:t>
      </w:r>
      <w:r w:rsidR="00C34AEA">
        <w:t>”</w:t>
      </w:r>
      <w:r w:rsidRPr="00B34407">
        <w:t>)</w:t>
      </w:r>
      <w:r w:rsidRPr="00677019" w:rsidR="00677019">
        <w:t xml:space="preserve"> </w:t>
      </w:r>
      <w:r w:rsidR="00BC37DE">
        <w:t xml:space="preserve">and </w:t>
      </w:r>
      <w:r w:rsidRPr="00677019" w:rsidR="00BC37DE">
        <w:t xml:space="preserve">Single Family Mortgage Revenue Bonds, </w:t>
      </w:r>
      <w:r w:rsidR="00C7294C">
        <w:t>2024 Series C</w:t>
      </w:r>
      <w:r w:rsidR="00B4438E">
        <w:t>-2</w:t>
      </w:r>
      <w:r w:rsidRPr="00677019" w:rsidR="00BC37DE">
        <w:t xml:space="preserve"> (Social Bonds)</w:t>
      </w:r>
      <w:r w:rsidR="00BC37DE">
        <w:t xml:space="preserve"> (Taxable)</w:t>
      </w:r>
      <w:r w:rsidRPr="00BC37DE" w:rsidR="00BC37DE">
        <w:t xml:space="preserve"> (the </w:t>
      </w:r>
      <w:r w:rsidR="00C34AEA">
        <w:t>“</w:t>
      </w:r>
      <w:r w:rsidR="00C7294C">
        <w:rPr>
          <w:i/>
        </w:rPr>
        <w:t>2024 Series C</w:t>
      </w:r>
      <w:r w:rsidR="00B4438E">
        <w:rPr>
          <w:i/>
        </w:rPr>
        <w:t>-2 Bond</w:t>
      </w:r>
      <w:r w:rsidRPr="00BC37DE" w:rsidR="00BC37DE">
        <w:rPr>
          <w:i/>
        </w:rPr>
        <w:t>s</w:t>
      </w:r>
      <w:r w:rsidR="00C34AEA">
        <w:t>”</w:t>
      </w:r>
      <w:r w:rsidRPr="00BC37DE" w:rsidR="00BC37DE">
        <w:t xml:space="preserve">, and together with the </w:t>
      </w:r>
      <w:r w:rsidR="00C7294C">
        <w:t>2024 Series C</w:t>
      </w:r>
      <w:r w:rsidR="00B4438E">
        <w:t>-1 Bond</w:t>
      </w:r>
      <w:r w:rsidRPr="00BC37DE" w:rsidR="00BC37DE">
        <w:t xml:space="preserve">s, the </w:t>
      </w:r>
      <w:r w:rsidR="00C34AEA">
        <w:t>“</w:t>
      </w:r>
      <w:r w:rsidR="00C7294C">
        <w:rPr>
          <w:i/>
        </w:rPr>
        <w:t>2024 Series C</w:t>
      </w:r>
      <w:r w:rsidR="005B3036">
        <w:rPr>
          <w:i/>
        </w:rPr>
        <w:t xml:space="preserve"> Bond</w:t>
      </w:r>
      <w:r w:rsidR="006C550F">
        <w:rPr>
          <w:i/>
        </w:rPr>
        <w:t>s</w:t>
      </w:r>
      <w:r w:rsidR="00C34AEA">
        <w:t>”</w:t>
      </w:r>
      <w:r w:rsidRPr="00BC37DE" w:rsidR="00BC37DE">
        <w:t>)</w:t>
      </w:r>
      <w:r w:rsidR="00677019">
        <w:t>.</w:t>
      </w:r>
      <w:r w:rsidRPr="00B34407" w:rsidR="007F3E10">
        <w:t xml:space="preserve"> </w:t>
      </w:r>
      <w:r w:rsidR="00677019">
        <w:t xml:space="preserve"> </w:t>
      </w:r>
      <w:r w:rsidRPr="00677019" w:rsidR="00677019">
        <w:t xml:space="preserve">The </w:t>
      </w:r>
      <w:r w:rsidR="00C7294C">
        <w:t>2024 Series C</w:t>
      </w:r>
      <w:r w:rsidR="005B3036">
        <w:t xml:space="preserve"> Bond</w:t>
      </w:r>
      <w:r w:rsidR="006C550F">
        <w:t>s</w:t>
      </w:r>
      <w:r w:rsidRPr="00677019" w:rsidR="00677019">
        <w:t xml:space="preserve"> </w:t>
      </w:r>
      <w:r w:rsidRPr="00B34407" w:rsidR="007F3E10">
        <w:t>will be issued</w:t>
      </w:r>
      <w:r w:rsidRPr="00B34407">
        <w:t xml:space="preserve"> in the </w:t>
      </w:r>
      <w:r w:rsidR="00941515">
        <w:t xml:space="preserve">combined </w:t>
      </w:r>
      <w:r w:rsidRPr="00B34407">
        <w:t xml:space="preserve">aggregate principal amount of </w:t>
      </w:r>
      <w:r w:rsidR="00B83582">
        <w:t>$</w:t>
      </w:r>
      <w:r w:rsidR="00702569">
        <w:t>197,900,000</w:t>
      </w:r>
      <w:r w:rsidRPr="00B34407">
        <w:t>.</w:t>
      </w:r>
      <w:r w:rsidRPr="00B34407" w:rsidR="009A6855">
        <w:t xml:space="preserve">  The </w:t>
      </w:r>
      <w:r w:rsidR="00C7294C">
        <w:t>2024 Series C</w:t>
      </w:r>
      <w:r w:rsidR="00B4438E">
        <w:t xml:space="preserve"> Bond</w:t>
      </w:r>
      <w:r w:rsidRPr="00B34407" w:rsidR="00BB2DFB">
        <w:t>s will be issued</w:t>
      </w:r>
      <w:r w:rsidRPr="00B34407" w:rsidR="00E4312F">
        <w:t xml:space="preserve"> pursuant to </w:t>
      </w:r>
      <w:bookmarkStart w:name="_Hlk521662845" w:id="64"/>
      <w:r w:rsidRPr="00B34407" w:rsidR="00E4312F">
        <w:t>Chapter 1 of Article 20 of Title 5 of the Indiana Code</w:t>
      </w:r>
      <w:bookmarkEnd w:id="64"/>
      <w:r w:rsidRPr="00B34407" w:rsidR="00E4312F">
        <w:t xml:space="preserve">, as amended (the </w:t>
      </w:r>
      <w:r w:rsidR="00C34AEA">
        <w:t>“</w:t>
      </w:r>
      <w:r w:rsidRPr="00B34407" w:rsidR="00E4312F">
        <w:rPr>
          <w:i/>
        </w:rPr>
        <w:t>Act</w:t>
      </w:r>
      <w:r w:rsidR="00C34AEA">
        <w:t>”</w:t>
      </w:r>
      <w:r w:rsidRPr="00B34407" w:rsidR="00E4312F">
        <w:t>),</w:t>
      </w:r>
      <w:r w:rsidRPr="00B34407" w:rsidR="00BB2DFB">
        <w:t xml:space="preserve"> under a 2016 Amended and Restated Indenture of Trust dated as of June 1, 2016 (as subsequently supplemented and amended, the </w:t>
      </w:r>
      <w:r w:rsidR="00C34AEA">
        <w:t>“</w:t>
      </w:r>
      <w:r w:rsidRPr="00B34407" w:rsidR="00BB2DFB">
        <w:rPr>
          <w:i/>
        </w:rPr>
        <w:t>Master Indenture</w:t>
      </w:r>
      <w:r w:rsidR="00C34AEA">
        <w:t>”</w:t>
      </w:r>
      <w:r w:rsidRPr="00B34407" w:rsidR="00C21AC9">
        <w:t>)</w:t>
      </w:r>
      <w:r w:rsidRPr="00B34407" w:rsidR="00881AAE">
        <w:t xml:space="preserve"> </w:t>
      </w:r>
      <w:r w:rsidRPr="00B34407" w:rsidR="00C21AC9">
        <w:t xml:space="preserve">and a </w:t>
      </w:r>
      <w:r w:rsidR="00C7294C">
        <w:t>2024 Series C</w:t>
      </w:r>
      <w:r w:rsidRPr="00B34407" w:rsidR="00C21AC9">
        <w:t xml:space="preserve"> Supplementa</w:t>
      </w:r>
      <w:r w:rsidRPr="00B34407" w:rsidR="00881AAE">
        <w:t>l Indenture dated as of</w:t>
      </w:r>
      <w:r w:rsidR="00094D30">
        <w:t xml:space="preserve"> </w:t>
      </w:r>
      <w:r w:rsidR="002D34C5">
        <w:t>August 1, 2024</w:t>
      </w:r>
      <w:r w:rsidRPr="00B34407" w:rsidR="00BA6836">
        <w:t xml:space="preserve"> </w:t>
      </w:r>
      <w:r w:rsidRPr="00B34407" w:rsidR="00BB2DFB">
        <w:t xml:space="preserve">(the </w:t>
      </w:r>
      <w:r w:rsidR="00C34AEA">
        <w:t>“</w:t>
      </w:r>
      <w:r w:rsidR="00C7294C">
        <w:rPr>
          <w:i/>
        </w:rPr>
        <w:t>2024 Series C</w:t>
      </w:r>
      <w:r w:rsidRPr="00B34407" w:rsidR="00BB2DFB">
        <w:rPr>
          <w:i/>
        </w:rPr>
        <w:t xml:space="preserve"> Supplement</w:t>
      </w:r>
      <w:r w:rsidR="00C34AEA">
        <w:t>”</w:t>
      </w:r>
      <w:r w:rsidRPr="00FA106A" w:rsidR="00FA106A">
        <w:t xml:space="preserve"> </w:t>
      </w:r>
      <w:r w:rsidRPr="007F1ECD" w:rsidR="00FA106A">
        <w:t xml:space="preserve">and together with the Master Indenture, the </w:t>
      </w:r>
      <w:r w:rsidR="00FA106A">
        <w:t>“</w:t>
      </w:r>
      <w:r w:rsidRPr="007F1ECD" w:rsidR="00FA106A">
        <w:rPr>
          <w:i/>
        </w:rPr>
        <w:t>Indenture</w:t>
      </w:r>
      <w:r w:rsidR="00FA106A">
        <w:t>”</w:t>
      </w:r>
      <w:r w:rsidRPr="007F1ECD" w:rsidR="00FA106A">
        <w:t>),</w:t>
      </w:r>
      <w:r w:rsidRPr="00B34407" w:rsidR="00BB2DFB">
        <w:t xml:space="preserve"> between the Authority and The Bank of New York </w:t>
      </w:r>
      <w:r w:rsidR="00D3106A">
        <w:t>Mellon Trust Company, N.A.</w:t>
      </w:r>
      <w:r w:rsidRPr="00B34407" w:rsidR="00BB2DFB">
        <w:t xml:space="preserve">, </w:t>
      </w:r>
      <w:r w:rsidRPr="00B34407" w:rsidR="00CB0D61">
        <w:t xml:space="preserve">as trustee (such trustee, together with any successor or successors or any other person substituted in its place pursuant to the Indenture, the </w:t>
      </w:r>
      <w:r w:rsidR="00C34AEA">
        <w:t>“</w:t>
      </w:r>
      <w:r w:rsidRPr="00B34407" w:rsidR="00CB0D61">
        <w:rPr>
          <w:i/>
        </w:rPr>
        <w:t>Trustee</w:t>
      </w:r>
      <w:r w:rsidR="00C34AEA">
        <w:t>”</w:t>
      </w:r>
      <w:r w:rsidRPr="00B34407" w:rsidR="00CB0D61">
        <w:t xml:space="preserve">).  </w:t>
      </w:r>
    </w:p>
    <w:p w:rsidRPr="00B34407" w:rsidR="00AF72E5" w:rsidP="00AF72E5" w:rsidRDefault="00AF72E5" w14:paraId="14486B09" w14:textId="5AFFF6EE">
      <w:pPr>
        <w:pStyle w:val="BodyTextFirstIndent"/>
        <w:rPr>
          <w:b/>
          <w:bCs/>
        </w:rPr>
      </w:pPr>
      <w:bookmarkStart w:name="_DV_M195" w:id="65"/>
      <w:bookmarkEnd w:id="65"/>
      <w:r w:rsidRPr="00B34407">
        <w:rPr>
          <w:b/>
          <w:bCs/>
        </w:rPr>
        <w:t>The Authority has previously issued numerous series</w:t>
      </w:r>
      <w:r w:rsidRPr="00B34407" w:rsidR="0027357F">
        <w:rPr>
          <w:b/>
          <w:bCs/>
        </w:rPr>
        <w:t xml:space="preserve"> of bonds and notes under the Master Indenture and related supplemental indentures.  A</w:t>
      </w:r>
      <w:r w:rsidRPr="00B34407">
        <w:rPr>
          <w:b/>
          <w:bCs/>
        </w:rPr>
        <w:t xml:space="preserve">s </w:t>
      </w:r>
      <w:r w:rsidRPr="00E33176">
        <w:rPr>
          <w:b/>
          <w:bCs/>
        </w:rPr>
        <w:t>of</w:t>
      </w:r>
      <w:r w:rsidRPr="00E33176" w:rsidR="00F621A9">
        <w:rPr>
          <w:b/>
          <w:bCs/>
        </w:rPr>
        <w:t xml:space="preserve"> </w:t>
      </w:r>
      <w:r w:rsidR="00051B08">
        <w:rPr>
          <w:b/>
          <w:bCs/>
        </w:rPr>
        <w:t>July</w:t>
      </w:r>
      <w:r w:rsidR="00D56C20">
        <w:rPr>
          <w:b/>
          <w:bCs/>
        </w:rPr>
        <w:t xml:space="preserve"> 1, 2024</w:t>
      </w:r>
      <w:r w:rsidRPr="00E33176">
        <w:rPr>
          <w:b/>
          <w:bCs/>
        </w:rPr>
        <w:t xml:space="preserve">, </w:t>
      </w:r>
      <w:r w:rsidRPr="00E33176" w:rsidR="00134BBF">
        <w:rPr>
          <w:b/>
          <w:bCs/>
        </w:rPr>
        <w:t xml:space="preserve">the Authority </w:t>
      </w:r>
      <w:r w:rsidRPr="00E33176">
        <w:rPr>
          <w:b/>
          <w:bCs/>
        </w:rPr>
        <w:t xml:space="preserve">had outstanding </w:t>
      </w:r>
      <w:r w:rsidRPr="00E33176" w:rsidR="00F621A9">
        <w:rPr>
          <w:b/>
          <w:bCs/>
        </w:rPr>
        <w:t>$</w:t>
      </w:r>
      <w:r w:rsidR="005134B7">
        <w:rPr>
          <w:b/>
          <w:bCs/>
        </w:rPr>
        <w:t>1,567,650,000</w:t>
      </w:r>
      <w:r w:rsidRPr="00B63DED" w:rsidR="0098238D">
        <w:rPr>
          <w:b/>
          <w:bCs/>
        </w:rPr>
        <w:t xml:space="preserve"> </w:t>
      </w:r>
      <w:r w:rsidRPr="00B34407">
        <w:rPr>
          <w:b/>
          <w:bCs/>
        </w:rPr>
        <w:t>aggregate principal amount of</w:t>
      </w:r>
      <w:r w:rsidRPr="00B34407" w:rsidR="00D827E3">
        <w:rPr>
          <w:b/>
          <w:bCs/>
        </w:rPr>
        <w:t xml:space="preserve"> such obligations</w:t>
      </w:r>
      <w:r w:rsidRPr="00B34407">
        <w:rPr>
          <w:b/>
          <w:bCs/>
        </w:rPr>
        <w:t xml:space="preserve">.  See </w:t>
      </w:r>
      <w:r w:rsidR="00C34AEA">
        <w:rPr>
          <w:b/>
          <w:bCs/>
        </w:rPr>
        <w:t>“</w:t>
      </w:r>
      <w:r w:rsidRPr="00B34407">
        <w:rPr>
          <w:b/>
          <w:bCs/>
        </w:rPr>
        <w:t>SINGLE FAMILY MORTGAGE PROGRAM</w:t>
      </w:r>
      <w:r w:rsidR="00C34AEA">
        <w:rPr>
          <w:b/>
          <w:bCs/>
        </w:rPr>
        <w:t>”</w:t>
      </w:r>
      <w:r w:rsidRPr="00B34407" w:rsidR="00656554">
        <w:rPr>
          <w:b/>
          <w:bCs/>
        </w:rPr>
        <w:t xml:space="preserve"> herein.</w:t>
      </w:r>
      <w:r w:rsidRPr="00B34407">
        <w:rPr>
          <w:b/>
          <w:bCs/>
        </w:rPr>
        <w:t xml:space="preserve">  The </w:t>
      </w:r>
      <w:r w:rsidR="00C7294C">
        <w:rPr>
          <w:b/>
          <w:bCs/>
        </w:rPr>
        <w:t>2024 Series C</w:t>
      </w:r>
      <w:r w:rsidR="005B3036">
        <w:rPr>
          <w:b/>
          <w:bCs/>
        </w:rPr>
        <w:t xml:space="preserve"> Bond</w:t>
      </w:r>
      <w:r w:rsidR="006C550F">
        <w:rPr>
          <w:b/>
          <w:bCs/>
        </w:rPr>
        <w:t>s</w:t>
      </w:r>
      <w:r w:rsidRPr="00B34407">
        <w:rPr>
          <w:b/>
          <w:bCs/>
        </w:rPr>
        <w:t xml:space="preserve"> (together with any and all other bonds and notes which have been or may be issued under the Indenture, collectively, the </w:t>
      </w:r>
      <w:r w:rsidR="00C34AEA">
        <w:rPr>
          <w:b/>
          <w:bCs/>
        </w:rPr>
        <w:t>“</w:t>
      </w:r>
      <w:r w:rsidRPr="00B34407">
        <w:rPr>
          <w:b/>
          <w:bCs/>
          <w:i/>
        </w:rPr>
        <w:t>Bonds</w:t>
      </w:r>
      <w:r w:rsidR="00C34AEA">
        <w:rPr>
          <w:b/>
          <w:bCs/>
        </w:rPr>
        <w:t>”</w:t>
      </w:r>
      <w:r w:rsidRPr="00B34407">
        <w:rPr>
          <w:b/>
          <w:bCs/>
        </w:rPr>
        <w:t xml:space="preserve">) are equally and ratably secured on parity with any and all other Bonds.  See </w:t>
      </w:r>
      <w:r w:rsidR="00C34AEA">
        <w:rPr>
          <w:b/>
          <w:bCs/>
        </w:rPr>
        <w:t>“</w:t>
      </w:r>
      <w:r w:rsidRPr="00B34407">
        <w:rPr>
          <w:b/>
          <w:bCs/>
        </w:rPr>
        <w:t>APPENDIX D:  SUMMARY OF CERTAIN PROVISIONS OF INDENTURE—Provisions for Issuance of Bonds,</w:t>
      </w:r>
      <w:r w:rsidR="00C34AEA">
        <w:rPr>
          <w:b/>
          <w:bCs/>
        </w:rPr>
        <w:t>”</w:t>
      </w:r>
      <w:r w:rsidRPr="00B34407">
        <w:rPr>
          <w:b/>
          <w:bCs/>
        </w:rPr>
        <w:t xml:space="preserve"> </w:t>
      </w:r>
      <w:r w:rsidR="00C34AEA">
        <w:rPr>
          <w:b/>
          <w:bCs/>
        </w:rPr>
        <w:t>“</w:t>
      </w:r>
      <w:r w:rsidRPr="00B34407">
        <w:rPr>
          <w:b/>
          <w:bCs/>
        </w:rPr>
        <w:t>—Provisions for Refunding Issues</w:t>
      </w:r>
      <w:r w:rsidR="00C34AEA">
        <w:rPr>
          <w:b/>
          <w:bCs/>
        </w:rPr>
        <w:t>”</w:t>
      </w:r>
      <w:r w:rsidRPr="00B34407">
        <w:rPr>
          <w:b/>
          <w:bCs/>
        </w:rPr>
        <w:t xml:space="preserve"> and </w:t>
      </w:r>
      <w:r w:rsidR="00C34AEA">
        <w:rPr>
          <w:b/>
          <w:bCs/>
        </w:rPr>
        <w:t>“</w:t>
      </w:r>
      <w:r w:rsidRPr="00B34407">
        <w:rPr>
          <w:b/>
          <w:bCs/>
        </w:rPr>
        <w:t>—Additional Bonds</w:t>
      </w:r>
      <w:r w:rsidR="00C34AEA">
        <w:rPr>
          <w:b/>
          <w:bCs/>
        </w:rPr>
        <w:t>”</w:t>
      </w:r>
      <w:r w:rsidRPr="00B34407" w:rsidR="00656554">
        <w:rPr>
          <w:b/>
          <w:bCs/>
        </w:rPr>
        <w:t xml:space="preserve"> attached hereto.</w:t>
      </w:r>
    </w:p>
    <w:p w:rsidR="00D917C9" w:rsidP="006651A0" w:rsidRDefault="002415FA" w14:paraId="4D567390" w14:textId="00FAE62B">
      <w:pPr>
        <w:widowControl/>
        <w:autoSpaceDE/>
        <w:autoSpaceDN/>
        <w:adjustRightInd/>
        <w:spacing w:after="240"/>
        <w:rPr>
          <w:rFonts w:eastAsiaTheme="minorHAnsi"/>
          <w:sz w:val="24"/>
          <w:szCs w:val="24"/>
        </w:rPr>
      </w:pPr>
      <w:bookmarkStart w:name="_DV_M196" w:id="66"/>
      <w:bookmarkEnd w:id="66"/>
      <w:r>
        <w:tab/>
      </w:r>
      <w:r w:rsidR="00D917C9">
        <w:t xml:space="preserve">Mortgage Loan activity is held in the form of Mortgage Certificates, except for specific references herein to down payment assistance loans which are Mortgage Loans which are not held as Mortgage Certificates.  Therefore, references to Mortgage Loans in this Official Statement are in fact references to the Mortgage Certificates into which the underlying loans have been securitized, except </w:t>
      </w:r>
      <w:r w:rsidRPr="005C57CC" w:rsidR="00D917C9">
        <w:t xml:space="preserve">for specific references herein to down payment assistance loans which are Mortgage Loans which are not held as Mortgage Certificates.  </w:t>
      </w:r>
    </w:p>
    <w:p w:rsidR="006651A0" w:rsidP="006651A0" w:rsidRDefault="006651A0" w14:paraId="55A00B70" w14:textId="18045564">
      <w:pPr>
        <w:pStyle w:val="BodyTextFirstIndent"/>
      </w:pPr>
      <w:r w:rsidRPr="00981F19">
        <w:t xml:space="preserve">Below is a summary of certain assets held under the Master </w:t>
      </w:r>
      <w:r w:rsidRPr="005134B7">
        <w:t xml:space="preserve">Indenture as of </w:t>
      </w:r>
      <w:r w:rsidRPr="005134B7" w:rsidR="005134B7">
        <w:t>June 30</w:t>
      </w:r>
      <w:r w:rsidRPr="005134B7">
        <w:t>, 2024:</w:t>
      </w:r>
    </w:p>
    <w:tbl>
      <w:tblPr>
        <w:tblW w:w="10075" w:type="dxa"/>
        <w:tblLook w:val="04A0" w:firstRow="1" w:lastRow="0" w:firstColumn="1" w:lastColumn="0" w:noHBand="0" w:noVBand="1"/>
      </w:tblPr>
      <w:tblGrid>
        <w:gridCol w:w="222"/>
        <w:gridCol w:w="222"/>
        <w:gridCol w:w="450"/>
        <w:gridCol w:w="2546"/>
        <w:gridCol w:w="2600"/>
        <w:gridCol w:w="222"/>
        <w:gridCol w:w="933"/>
        <w:gridCol w:w="960"/>
        <w:gridCol w:w="960"/>
        <w:gridCol w:w="960"/>
      </w:tblGrid>
      <w:tr w:rsidRPr="00981F19" w:rsidR="006651A0" w:rsidTr="00581747" w14:paraId="2A2BC3C3" w14:textId="77777777">
        <w:trPr>
          <w:trHeight w:val="345"/>
        </w:trPr>
        <w:tc>
          <w:tcPr>
            <w:tcW w:w="222" w:type="dxa"/>
            <w:tcBorders>
              <w:top w:val="nil"/>
              <w:left w:val="nil"/>
              <w:bottom w:val="nil"/>
              <w:right w:val="nil"/>
            </w:tcBorders>
            <w:shd w:val="clear" w:color="auto" w:fill="auto"/>
            <w:noWrap/>
            <w:vAlign w:val="bottom"/>
            <w:hideMark/>
          </w:tcPr>
          <w:p w:rsidRPr="00D00351" w:rsidR="006651A0" w:rsidP="00581747" w:rsidRDefault="006651A0" w14:paraId="77E3BDEC"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D00351" w:rsidR="006651A0" w:rsidP="00581747" w:rsidRDefault="006651A0" w14:paraId="76F9F8B3" w14:textId="77777777">
            <w:pPr>
              <w:widowControl/>
              <w:autoSpaceDE/>
              <w:autoSpaceDN/>
              <w:adjustRightInd/>
              <w:jc w:val="left"/>
            </w:pPr>
          </w:p>
        </w:tc>
        <w:tc>
          <w:tcPr>
            <w:tcW w:w="2996" w:type="dxa"/>
            <w:gridSpan w:val="2"/>
            <w:tcBorders>
              <w:top w:val="nil"/>
              <w:left w:val="nil"/>
              <w:bottom w:val="nil"/>
              <w:right w:val="nil"/>
            </w:tcBorders>
            <w:shd w:val="clear" w:color="auto" w:fill="auto"/>
            <w:noWrap/>
            <w:vAlign w:val="bottom"/>
            <w:hideMark/>
          </w:tcPr>
          <w:p w:rsidRPr="00C458F4" w:rsidR="006651A0" w:rsidP="00581747" w:rsidRDefault="006651A0" w14:paraId="6EC6CF81" w14:textId="77777777">
            <w:pPr>
              <w:widowControl/>
              <w:autoSpaceDE/>
              <w:autoSpaceDN/>
              <w:adjustRightInd/>
              <w:jc w:val="left"/>
              <w:rPr>
                <w:b/>
                <w:bCs/>
                <w:color w:val="000000"/>
              </w:rPr>
            </w:pPr>
            <w:r w:rsidRPr="00C458F4">
              <w:rPr>
                <w:b/>
                <w:bCs/>
                <w:color w:val="000000"/>
              </w:rPr>
              <w:t xml:space="preserve">Mortgage Certificates </w:t>
            </w:r>
            <w:r w:rsidRPr="00C458F4">
              <w:rPr>
                <w:b/>
                <w:bCs/>
                <w:color w:val="000000"/>
                <w:vertAlign w:val="superscript"/>
              </w:rPr>
              <w:t>(1)</w:t>
            </w:r>
          </w:p>
        </w:tc>
        <w:tc>
          <w:tcPr>
            <w:tcW w:w="2600" w:type="dxa"/>
            <w:tcBorders>
              <w:top w:val="nil"/>
              <w:left w:val="nil"/>
              <w:bottom w:val="nil"/>
              <w:right w:val="nil"/>
            </w:tcBorders>
            <w:shd w:val="clear" w:color="auto" w:fill="auto"/>
            <w:noWrap/>
            <w:vAlign w:val="bottom"/>
            <w:hideMark/>
          </w:tcPr>
          <w:p w:rsidRPr="00C458F4" w:rsidR="006651A0" w:rsidP="00581747" w:rsidRDefault="006651A0" w14:paraId="5C137808" w14:textId="77777777">
            <w:pPr>
              <w:widowControl/>
              <w:autoSpaceDE/>
              <w:autoSpaceDN/>
              <w:adjustRightInd/>
              <w:jc w:val="left"/>
              <w:rPr>
                <w:b/>
                <w:bCs/>
                <w:color w:val="000000"/>
              </w:rPr>
            </w:pPr>
          </w:p>
        </w:tc>
        <w:tc>
          <w:tcPr>
            <w:tcW w:w="222" w:type="dxa"/>
            <w:tcBorders>
              <w:top w:val="nil"/>
              <w:left w:val="nil"/>
              <w:bottom w:val="nil"/>
              <w:right w:val="nil"/>
            </w:tcBorders>
            <w:shd w:val="clear" w:color="auto" w:fill="auto"/>
            <w:noWrap/>
            <w:vAlign w:val="bottom"/>
            <w:hideMark/>
          </w:tcPr>
          <w:p w:rsidRPr="00C458F4" w:rsidR="006651A0" w:rsidP="00581747" w:rsidRDefault="006651A0" w14:paraId="71F0A198" w14:textId="77777777">
            <w:pPr>
              <w:widowControl/>
              <w:autoSpaceDE/>
              <w:autoSpaceDN/>
              <w:adjustRightInd/>
              <w:jc w:val="left"/>
            </w:pPr>
          </w:p>
        </w:tc>
        <w:tc>
          <w:tcPr>
            <w:tcW w:w="933" w:type="dxa"/>
            <w:tcBorders>
              <w:top w:val="nil"/>
              <w:left w:val="nil"/>
              <w:bottom w:val="nil"/>
              <w:right w:val="nil"/>
            </w:tcBorders>
            <w:shd w:val="clear" w:color="auto" w:fill="auto"/>
            <w:noWrap/>
            <w:vAlign w:val="bottom"/>
            <w:hideMark/>
          </w:tcPr>
          <w:p w:rsidRPr="00C458F4" w:rsidR="006651A0" w:rsidP="00581747" w:rsidRDefault="006651A0" w14:paraId="37744A7E"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035A8A6F"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437D82D1"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41105222" w14:textId="77777777">
            <w:pPr>
              <w:widowControl/>
              <w:autoSpaceDE/>
              <w:autoSpaceDN/>
              <w:adjustRightInd/>
              <w:jc w:val="left"/>
            </w:pPr>
          </w:p>
        </w:tc>
      </w:tr>
      <w:tr w:rsidRPr="00981F19" w:rsidR="006651A0" w:rsidTr="00581747" w14:paraId="179DFCFC" w14:textId="77777777">
        <w:trPr>
          <w:trHeight w:val="300"/>
        </w:trPr>
        <w:tc>
          <w:tcPr>
            <w:tcW w:w="222" w:type="dxa"/>
            <w:tcBorders>
              <w:top w:val="nil"/>
              <w:left w:val="nil"/>
              <w:bottom w:val="nil"/>
              <w:right w:val="nil"/>
            </w:tcBorders>
            <w:shd w:val="clear" w:color="auto" w:fill="auto"/>
            <w:noWrap/>
            <w:vAlign w:val="bottom"/>
            <w:hideMark/>
          </w:tcPr>
          <w:p w:rsidRPr="00D00351" w:rsidR="006651A0" w:rsidP="00581747" w:rsidRDefault="006651A0" w14:paraId="6C01C869"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D00351" w:rsidR="006651A0" w:rsidP="00581747" w:rsidRDefault="006651A0" w14:paraId="1B72434E" w14:textId="77777777">
            <w:pPr>
              <w:widowControl/>
              <w:autoSpaceDE/>
              <w:autoSpaceDN/>
              <w:adjustRightInd/>
              <w:jc w:val="left"/>
            </w:pPr>
          </w:p>
        </w:tc>
        <w:tc>
          <w:tcPr>
            <w:tcW w:w="450" w:type="dxa"/>
            <w:tcBorders>
              <w:top w:val="nil"/>
              <w:left w:val="nil"/>
              <w:bottom w:val="nil"/>
              <w:right w:val="nil"/>
            </w:tcBorders>
            <w:shd w:val="clear" w:color="auto" w:fill="auto"/>
            <w:noWrap/>
            <w:vAlign w:val="bottom"/>
            <w:hideMark/>
          </w:tcPr>
          <w:p w:rsidRPr="006651A0" w:rsidR="006651A0" w:rsidP="00581747" w:rsidRDefault="006651A0" w14:paraId="098CD531" w14:textId="77777777">
            <w:pPr>
              <w:widowControl/>
              <w:autoSpaceDE/>
              <w:autoSpaceDN/>
              <w:adjustRightInd/>
              <w:jc w:val="left"/>
              <w:rPr>
                <w:highlight w:val="yellow"/>
              </w:rPr>
            </w:pPr>
          </w:p>
        </w:tc>
        <w:tc>
          <w:tcPr>
            <w:tcW w:w="2546" w:type="dxa"/>
            <w:tcBorders>
              <w:top w:val="nil"/>
              <w:left w:val="nil"/>
              <w:bottom w:val="nil"/>
              <w:right w:val="nil"/>
            </w:tcBorders>
            <w:shd w:val="clear" w:color="auto" w:fill="auto"/>
            <w:noWrap/>
            <w:vAlign w:val="bottom"/>
            <w:hideMark/>
          </w:tcPr>
          <w:p w:rsidRPr="00C458F4" w:rsidR="006651A0" w:rsidP="00581747" w:rsidRDefault="006651A0" w14:paraId="7ADB61B5" w14:textId="77777777">
            <w:pPr>
              <w:widowControl/>
              <w:autoSpaceDE/>
              <w:autoSpaceDN/>
              <w:adjustRightInd/>
              <w:jc w:val="left"/>
              <w:rPr>
                <w:color w:val="000000"/>
              </w:rPr>
            </w:pPr>
            <w:r w:rsidRPr="00C458F4">
              <w:rPr>
                <w:color w:val="000000"/>
              </w:rPr>
              <w:t>GNMA Certificates</w:t>
            </w:r>
          </w:p>
        </w:tc>
        <w:tc>
          <w:tcPr>
            <w:tcW w:w="2600" w:type="dxa"/>
            <w:tcBorders>
              <w:top w:val="nil"/>
              <w:left w:val="nil"/>
              <w:bottom w:val="nil"/>
              <w:right w:val="nil"/>
            </w:tcBorders>
            <w:shd w:val="clear" w:color="auto" w:fill="auto"/>
            <w:noWrap/>
            <w:vAlign w:val="bottom"/>
            <w:hideMark/>
          </w:tcPr>
          <w:p w:rsidRPr="00C458F4" w:rsidR="006651A0" w:rsidP="00C458F4" w:rsidRDefault="00C458F4" w14:paraId="4D4063B3" w14:textId="0AC19E57">
            <w:pPr>
              <w:widowControl/>
              <w:tabs>
                <w:tab w:val="decimal" w:pos="1855"/>
              </w:tabs>
              <w:autoSpaceDE/>
              <w:autoSpaceDN/>
              <w:adjustRightInd/>
              <w:jc w:val="left"/>
              <w:rPr>
                <w:color w:val="000000"/>
              </w:rPr>
            </w:pPr>
            <w:r w:rsidRPr="00C458F4">
              <w:rPr>
                <w:color w:val="000000"/>
              </w:rPr>
              <w:t xml:space="preserve">$          </w:t>
            </w:r>
            <w:r w:rsidRPr="00C458F4" w:rsidR="005134B7">
              <w:rPr>
                <w:color w:val="000000"/>
              </w:rPr>
              <w:t>1,029,841,048</w:t>
            </w:r>
          </w:p>
        </w:tc>
        <w:tc>
          <w:tcPr>
            <w:tcW w:w="222" w:type="dxa"/>
            <w:tcBorders>
              <w:top w:val="nil"/>
              <w:left w:val="nil"/>
              <w:bottom w:val="nil"/>
              <w:right w:val="nil"/>
            </w:tcBorders>
            <w:shd w:val="clear" w:color="auto" w:fill="auto"/>
            <w:noWrap/>
            <w:vAlign w:val="bottom"/>
            <w:hideMark/>
          </w:tcPr>
          <w:p w:rsidRPr="00C458F4" w:rsidR="006651A0" w:rsidP="00581747" w:rsidRDefault="006651A0" w14:paraId="3A3DA91D" w14:textId="77777777">
            <w:pPr>
              <w:widowControl/>
              <w:autoSpaceDE/>
              <w:autoSpaceDN/>
              <w:adjustRightInd/>
              <w:jc w:val="left"/>
              <w:rPr>
                <w:color w:val="000000"/>
              </w:rPr>
            </w:pPr>
          </w:p>
        </w:tc>
        <w:tc>
          <w:tcPr>
            <w:tcW w:w="933" w:type="dxa"/>
            <w:tcBorders>
              <w:top w:val="nil"/>
              <w:left w:val="nil"/>
              <w:bottom w:val="nil"/>
              <w:right w:val="nil"/>
            </w:tcBorders>
            <w:shd w:val="clear" w:color="auto" w:fill="auto"/>
            <w:noWrap/>
            <w:vAlign w:val="bottom"/>
            <w:hideMark/>
          </w:tcPr>
          <w:p w:rsidRPr="00C458F4" w:rsidR="006651A0" w:rsidP="00581747" w:rsidRDefault="005134B7" w14:paraId="6A8D8444" w14:textId="18DF8616">
            <w:pPr>
              <w:widowControl/>
              <w:autoSpaceDE/>
              <w:autoSpaceDN/>
              <w:adjustRightInd/>
              <w:jc w:val="right"/>
              <w:rPr>
                <w:color w:val="000000"/>
              </w:rPr>
            </w:pPr>
            <w:r w:rsidRPr="00C458F4">
              <w:rPr>
                <w:color w:val="000000"/>
              </w:rPr>
              <w:t>72.53</w:t>
            </w:r>
            <w:r w:rsidRPr="00C458F4" w:rsidR="006651A0">
              <w:rPr>
                <w:color w:val="000000"/>
              </w:rPr>
              <w:t>%</w:t>
            </w:r>
          </w:p>
        </w:tc>
        <w:tc>
          <w:tcPr>
            <w:tcW w:w="960" w:type="dxa"/>
            <w:tcBorders>
              <w:top w:val="nil"/>
              <w:left w:val="nil"/>
              <w:bottom w:val="nil"/>
              <w:right w:val="nil"/>
            </w:tcBorders>
            <w:shd w:val="clear" w:color="auto" w:fill="auto"/>
            <w:noWrap/>
            <w:vAlign w:val="bottom"/>
            <w:hideMark/>
          </w:tcPr>
          <w:p w:rsidRPr="00981F19" w:rsidR="006651A0" w:rsidP="00581747" w:rsidRDefault="006651A0" w14:paraId="52181086" w14:textId="77777777">
            <w:pPr>
              <w:widowControl/>
              <w:autoSpaceDE/>
              <w:autoSpaceDN/>
              <w:adjustRightInd/>
              <w:jc w:val="right"/>
              <w:rPr>
                <w:color w:val="000000"/>
              </w:rPr>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003ECD22"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04504CC6" w14:textId="77777777">
            <w:pPr>
              <w:widowControl/>
              <w:autoSpaceDE/>
              <w:autoSpaceDN/>
              <w:adjustRightInd/>
              <w:jc w:val="left"/>
            </w:pPr>
          </w:p>
        </w:tc>
      </w:tr>
      <w:tr w:rsidRPr="00981F19" w:rsidR="006651A0" w:rsidTr="00581747" w14:paraId="5E9BFF4F" w14:textId="77777777">
        <w:trPr>
          <w:trHeight w:val="300"/>
        </w:trPr>
        <w:tc>
          <w:tcPr>
            <w:tcW w:w="222" w:type="dxa"/>
            <w:tcBorders>
              <w:top w:val="nil"/>
              <w:left w:val="nil"/>
              <w:bottom w:val="nil"/>
              <w:right w:val="nil"/>
            </w:tcBorders>
            <w:shd w:val="clear" w:color="auto" w:fill="auto"/>
            <w:noWrap/>
            <w:vAlign w:val="bottom"/>
            <w:hideMark/>
          </w:tcPr>
          <w:p w:rsidRPr="00D00351" w:rsidR="006651A0" w:rsidP="00581747" w:rsidRDefault="006651A0" w14:paraId="22FF021D"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D00351" w:rsidR="006651A0" w:rsidP="00581747" w:rsidRDefault="006651A0" w14:paraId="2C00C66D" w14:textId="77777777">
            <w:pPr>
              <w:widowControl/>
              <w:autoSpaceDE/>
              <w:autoSpaceDN/>
              <w:adjustRightInd/>
              <w:jc w:val="left"/>
            </w:pPr>
          </w:p>
        </w:tc>
        <w:tc>
          <w:tcPr>
            <w:tcW w:w="450" w:type="dxa"/>
            <w:tcBorders>
              <w:top w:val="nil"/>
              <w:left w:val="nil"/>
              <w:bottom w:val="nil"/>
              <w:right w:val="nil"/>
            </w:tcBorders>
            <w:shd w:val="clear" w:color="auto" w:fill="auto"/>
            <w:noWrap/>
            <w:vAlign w:val="bottom"/>
            <w:hideMark/>
          </w:tcPr>
          <w:p w:rsidRPr="006651A0" w:rsidR="006651A0" w:rsidP="00581747" w:rsidRDefault="006651A0" w14:paraId="34C9020D" w14:textId="77777777">
            <w:pPr>
              <w:widowControl/>
              <w:autoSpaceDE/>
              <w:autoSpaceDN/>
              <w:adjustRightInd/>
              <w:jc w:val="left"/>
              <w:rPr>
                <w:highlight w:val="yellow"/>
              </w:rPr>
            </w:pPr>
          </w:p>
        </w:tc>
        <w:tc>
          <w:tcPr>
            <w:tcW w:w="2546" w:type="dxa"/>
            <w:tcBorders>
              <w:top w:val="nil"/>
              <w:left w:val="nil"/>
              <w:bottom w:val="nil"/>
              <w:right w:val="nil"/>
            </w:tcBorders>
            <w:shd w:val="clear" w:color="auto" w:fill="auto"/>
            <w:noWrap/>
            <w:vAlign w:val="bottom"/>
            <w:hideMark/>
          </w:tcPr>
          <w:p w:rsidRPr="00C458F4" w:rsidR="006651A0" w:rsidP="00581747" w:rsidRDefault="006651A0" w14:paraId="1E6082A1" w14:textId="77777777">
            <w:pPr>
              <w:widowControl/>
              <w:autoSpaceDE/>
              <w:autoSpaceDN/>
              <w:adjustRightInd/>
              <w:jc w:val="left"/>
              <w:rPr>
                <w:color w:val="000000"/>
              </w:rPr>
            </w:pPr>
            <w:r w:rsidRPr="00C458F4">
              <w:rPr>
                <w:color w:val="000000"/>
              </w:rPr>
              <w:t>UMBS - Fannie Mae</w:t>
            </w:r>
          </w:p>
        </w:tc>
        <w:tc>
          <w:tcPr>
            <w:tcW w:w="2600" w:type="dxa"/>
            <w:tcBorders>
              <w:top w:val="nil"/>
              <w:left w:val="nil"/>
              <w:bottom w:val="nil"/>
              <w:right w:val="nil"/>
            </w:tcBorders>
            <w:shd w:val="clear" w:color="auto" w:fill="auto"/>
            <w:noWrap/>
            <w:vAlign w:val="bottom"/>
            <w:hideMark/>
          </w:tcPr>
          <w:p w:rsidRPr="00C458F4" w:rsidR="006651A0" w:rsidP="00C458F4" w:rsidRDefault="00C458F4" w14:paraId="77802AC5" w14:textId="7DC807D7">
            <w:pPr>
              <w:widowControl/>
              <w:tabs>
                <w:tab w:val="decimal" w:pos="1855"/>
              </w:tabs>
              <w:autoSpaceDE/>
              <w:autoSpaceDN/>
              <w:adjustRightInd/>
              <w:jc w:val="left"/>
              <w:rPr>
                <w:color w:val="000000"/>
              </w:rPr>
            </w:pPr>
            <w:r w:rsidRPr="00C458F4">
              <w:rPr>
                <w:color w:val="000000"/>
              </w:rPr>
              <w:t xml:space="preserve">$             </w:t>
            </w:r>
            <w:r w:rsidRPr="00C458F4" w:rsidR="005134B7">
              <w:rPr>
                <w:color w:val="000000"/>
              </w:rPr>
              <w:t>188,321,314</w:t>
            </w:r>
          </w:p>
        </w:tc>
        <w:tc>
          <w:tcPr>
            <w:tcW w:w="222" w:type="dxa"/>
            <w:tcBorders>
              <w:top w:val="nil"/>
              <w:left w:val="nil"/>
              <w:bottom w:val="nil"/>
              <w:right w:val="nil"/>
            </w:tcBorders>
            <w:shd w:val="clear" w:color="auto" w:fill="auto"/>
            <w:noWrap/>
            <w:vAlign w:val="bottom"/>
            <w:hideMark/>
          </w:tcPr>
          <w:p w:rsidRPr="00C458F4" w:rsidR="006651A0" w:rsidP="00581747" w:rsidRDefault="006651A0" w14:paraId="0AF5CCAE" w14:textId="77777777">
            <w:pPr>
              <w:widowControl/>
              <w:autoSpaceDE/>
              <w:autoSpaceDN/>
              <w:adjustRightInd/>
              <w:jc w:val="left"/>
              <w:rPr>
                <w:color w:val="000000"/>
              </w:rPr>
            </w:pPr>
          </w:p>
        </w:tc>
        <w:tc>
          <w:tcPr>
            <w:tcW w:w="933" w:type="dxa"/>
            <w:tcBorders>
              <w:top w:val="nil"/>
              <w:left w:val="nil"/>
              <w:bottom w:val="nil"/>
              <w:right w:val="nil"/>
            </w:tcBorders>
            <w:shd w:val="clear" w:color="auto" w:fill="auto"/>
            <w:noWrap/>
            <w:vAlign w:val="bottom"/>
            <w:hideMark/>
          </w:tcPr>
          <w:p w:rsidRPr="00C458F4" w:rsidR="006651A0" w:rsidP="00581747" w:rsidRDefault="005134B7" w14:paraId="12B9E9E2" w14:textId="0E90129C">
            <w:pPr>
              <w:widowControl/>
              <w:autoSpaceDE/>
              <w:autoSpaceDN/>
              <w:adjustRightInd/>
              <w:jc w:val="right"/>
              <w:rPr>
                <w:color w:val="000000"/>
              </w:rPr>
            </w:pPr>
            <w:r w:rsidRPr="00C458F4">
              <w:rPr>
                <w:color w:val="000000"/>
              </w:rPr>
              <w:t>13.26</w:t>
            </w:r>
            <w:r w:rsidRPr="00C458F4" w:rsidR="006651A0">
              <w:rPr>
                <w:color w:val="000000"/>
              </w:rPr>
              <w:t>%</w:t>
            </w:r>
          </w:p>
        </w:tc>
        <w:tc>
          <w:tcPr>
            <w:tcW w:w="960" w:type="dxa"/>
            <w:tcBorders>
              <w:top w:val="nil"/>
              <w:left w:val="nil"/>
              <w:bottom w:val="nil"/>
              <w:right w:val="nil"/>
            </w:tcBorders>
            <w:shd w:val="clear" w:color="auto" w:fill="auto"/>
            <w:noWrap/>
            <w:vAlign w:val="bottom"/>
            <w:hideMark/>
          </w:tcPr>
          <w:p w:rsidRPr="00981F19" w:rsidR="006651A0" w:rsidP="00581747" w:rsidRDefault="006651A0" w14:paraId="014E3F33" w14:textId="77777777">
            <w:pPr>
              <w:widowControl/>
              <w:autoSpaceDE/>
              <w:autoSpaceDN/>
              <w:adjustRightInd/>
              <w:jc w:val="right"/>
              <w:rPr>
                <w:color w:val="000000"/>
              </w:rPr>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31DB2E91"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40963C81" w14:textId="77777777">
            <w:pPr>
              <w:widowControl/>
              <w:autoSpaceDE/>
              <w:autoSpaceDN/>
              <w:adjustRightInd/>
              <w:jc w:val="left"/>
            </w:pPr>
          </w:p>
        </w:tc>
      </w:tr>
      <w:tr w:rsidRPr="00981F19" w:rsidR="006651A0" w:rsidTr="00581747" w14:paraId="033F512F" w14:textId="77777777">
        <w:trPr>
          <w:trHeight w:val="300"/>
        </w:trPr>
        <w:tc>
          <w:tcPr>
            <w:tcW w:w="222" w:type="dxa"/>
            <w:tcBorders>
              <w:top w:val="nil"/>
              <w:left w:val="nil"/>
              <w:bottom w:val="nil"/>
              <w:right w:val="nil"/>
            </w:tcBorders>
            <w:shd w:val="clear" w:color="auto" w:fill="auto"/>
            <w:noWrap/>
            <w:vAlign w:val="bottom"/>
            <w:hideMark/>
          </w:tcPr>
          <w:p w:rsidRPr="00D00351" w:rsidR="006651A0" w:rsidP="00581747" w:rsidRDefault="006651A0" w14:paraId="219E6526"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D00351" w:rsidR="006651A0" w:rsidP="00581747" w:rsidRDefault="006651A0" w14:paraId="549B286A" w14:textId="77777777">
            <w:pPr>
              <w:widowControl/>
              <w:autoSpaceDE/>
              <w:autoSpaceDN/>
              <w:adjustRightInd/>
              <w:jc w:val="left"/>
            </w:pPr>
          </w:p>
        </w:tc>
        <w:tc>
          <w:tcPr>
            <w:tcW w:w="450" w:type="dxa"/>
            <w:tcBorders>
              <w:top w:val="nil"/>
              <w:left w:val="nil"/>
              <w:bottom w:val="nil"/>
              <w:right w:val="nil"/>
            </w:tcBorders>
            <w:shd w:val="clear" w:color="auto" w:fill="auto"/>
            <w:noWrap/>
            <w:vAlign w:val="bottom"/>
            <w:hideMark/>
          </w:tcPr>
          <w:p w:rsidRPr="006651A0" w:rsidR="006651A0" w:rsidP="00581747" w:rsidRDefault="006651A0" w14:paraId="5F6A3A88" w14:textId="77777777">
            <w:pPr>
              <w:widowControl/>
              <w:autoSpaceDE/>
              <w:autoSpaceDN/>
              <w:adjustRightInd/>
              <w:jc w:val="left"/>
              <w:rPr>
                <w:highlight w:val="yellow"/>
              </w:rPr>
            </w:pPr>
          </w:p>
        </w:tc>
        <w:tc>
          <w:tcPr>
            <w:tcW w:w="2546" w:type="dxa"/>
            <w:tcBorders>
              <w:top w:val="nil"/>
              <w:left w:val="nil"/>
              <w:bottom w:val="nil"/>
              <w:right w:val="nil"/>
            </w:tcBorders>
            <w:shd w:val="clear" w:color="auto" w:fill="auto"/>
            <w:noWrap/>
            <w:vAlign w:val="bottom"/>
            <w:hideMark/>
          </w:tcPr>
          <w:p w:rsidRPr="00C458F4" w:rsidR="006651A0" w:rsidP="00581747" w:rsidRDefault="006651A0" w14:paraId="09544CF3" w14:textId="77777777">
            <w:pPr>
              <w:widowControl/>
              <w:autoSpaceDE/>
              <w:autoSpaceDN/>
              <w:adjustRightInd/>
              <w:jc w:val="left"/>
              <w:rPr>
                <w:color w:val="000000"/>
              </w:rPr>
            </w:pPr>
            <w:r w:rsidRPr="00C458F4">
              <w:rPr>
                <w:color w:val="000000"/>
              </w:rPr>
              <w:t>UMBS - Freddie Mac</w:t>
            </w:r>
          </w:p>
        </w:tc>
        <w:tc>
          <w:tcPr>
            <w:tcW w:w="2600" w:type="dxa"/>
            <w:tcBorders>
              <w:top w:val="nil"/>
              <w:left w:val="nil"/>
              <w:bottom w:val="single" w:color="auto" w:sz="4" w:space="0"/>
              <w:right w:val="nil"/>
            </w:tcBorders>
            <w:shd w:val="clear" w:color="auto" w:fill="auto"/>
            <w:noWrap/>
            <w:vAlign w:val="bottom"/>
            <w:hideMark/>
          </w:tcPr>
          <w:p w:rsidRPr="00C458F4" w:rsidR="006651A0" w:rsidP="00C458F4" w:rsidRDefault="00C458F4" w14:paraId="0218BC14" w14:textId="4A25112C">
            <w:pPr>
              <w:widowControl/>
              <w:tabs>
                <w:tab w:val="decimal" w:pos="1855"/>
              </w:tabs>
              <w:autoSpaceDE/>
              <w:autoSpaceDN/>
              <w:adjustRightInd/>
              <w:jc w:val="left"/>
              <w:rPr>
                <w:color w:val="000000"/>
              </w:rPr>
            </w:pPr>
            <w:r w:rsidRPr="00C458F4">
              <w:rPr>
                <w:color w:val="000000"/>
              </w:rPr>
              <w:t xml:space="preserve">$             </w:t>
            </w:r>
            <w:r w:rsidRPr="00C458F4" w:rsidR="005134B7">
              <w:rPr>
                <w:color w:val="000000"/>
              </w:rPr>
              <w:t>201,675,299</w:t>
            </w:r>
          </w:p>
        </w:tc>
        <w:tc>
          <w:tcPr>
            <w:tcW w:w="222" w:type="dxa"/>
            <w:tcBorders>
              <w:top w:val="nil"/>
              <w:left w:val="nil"/>
              <w:bottom w:val="nil"/>
              <w:right w:val="nil"/>
            </w:tcBorders>
            <w:shd w:val="clear" w:color="auto" w:fill="auto"/>
            <w:noWrap/>
            <w:vAlign w:val="bottom"/>
            <w:hideMark/>
          </w:tcPr>
          <w:p w:rsidRPr="00C458F4" w:rsidR="006651A0" w:rsidP="00581747" w:rsidRDefault="006651A0" w14:paraId="09F40EC8" w14:textId="77777777">
            <w:pPr>
              <w:widowControl/>
              <w:autoSpaceDE/>
              <w:autoSpaceDN/>
              <w:adjustRightInd/>
              <w:jc w:val="left"/>
              <w:rPr>
                <w:color w:val="000000"/>
              </w:rPr>
            </w:pPr>
          </w:p>
        </w:tc>
        <w:tc>
          <w:tcPr>
            <w:tcW w:w="933" w:type="dxa"/>
            <w:tcBorders>
              <w:top w:val="nil"/>
              <w:left w:val="nil"/>
              <w:bottom w:val="single" w:color="auto" w:sz="4" w:space="0"/>
              <w:right w:val="nil"/>
            </w:tcBorders>
            <w:shd w:val="clear" w:color="auto" w:fill="auto"/>
            <w:noWrap/>
            <w:vAlign w:val="bottom"/>
            <w:hideMark/>
          </w:tcPr>
          <w:p w:rsidRPr="00C458F4" w:rsidR="006651A0" w:rsidP="00581747" w:rsidRDefault="005134B7" w14:paraId="72E7B505" w14:textId="5A1C5B6A">
            <w:pPr>
              <w:widowControl/>
              <w:autoSpaceDE/>
              <w:autoSpaceDN/>
              <w:adjustRightInd/>
              <w:jc w:val="right"/>
              <w:rPr>
                <w:color w:val="000000"/>
              </w:rPr>
            </w:pPr>
            <w:r w:rsidRPr="00C458F4">
              <w:rPr>
                <w:color w:val="000000"/>
              </w:rPr>
              <w:t>14.20</w:t>
            </w:r>
            <w:r w:rsidRPr="00C458F4" w:rsidR="006651A0">
              <w:rPr>
                <w:color w:val="000000"/>
              </w:rPr>
              <w:t>%</w:t>
            </w:r>
          </w:p>
        </w:tc>
        <w:tc>
          <w:tcPr>
            <w:tcW w:w="960" w:type="dxa"/>
            <w:tcBorders>
              <w:top w:val="nil"/>
              <w:left w:val="nil"/>
              <w:bottom w:val="nil"/>
              <w:right w:val="nil"/>
            </w:tcBorders>
            <w:shd w:val="clear" w:color="auto" w:fill="auto"/>
            <w:noWrap/>
            <w:vAlign w:val="bottom"/>
            <w:hideMark/>
          </w:tcPr>
          <w:p w:rsidRPr="00981F19" w:rsidR="006651A0" w:rsidP="00581747" w:rsidRDefault="006651A0" w14:paraId="3E1871A6" w14:textId="77777777">
            <w:pPr>
              <w:widowControl/>
              <w:autoSpaceDE/>
              <w:autoSpaceDN/>
              <w:adjustRightInd/>
              <w:jc w:val="right"/>
              <w:rPr>
                <w:color w:val="000000"/>
              </w:rPr>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4ACCCD23"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2DE69DC5" w14:textId="77777777">
            <w:pPr>
              <w:widowControl/>
              <w:autoSpaceDE/>
              <w:autoSpaceDN/>
              <w:adjustRightInd/>
              <w:jc w:val="left"/>
            </w:pPr>
          </w:p>
        </w:tc>
      </w:tr>
      <w:tr w:rsidRPr="00981F19" w:rsidR="006651A0" w:rsidTr="00581747" w14:paraId="0147BDF7" w14:textId="77777777">
        <w:trPr>
          <w:trHeight w:val="345"/>
        </w:trPr>
        <w:tc>
          <w:tcPr>
            <w:tcW w:w="222" w:type="dxa"/>
            <w:tcBorders>
              <w:top w:val="nil"/>
              <w:left w:val="nil"/>
              <w:bottom w:val="nil"/>
              <w:right w:val="nil"/>
            </w:tcBorders>
            <w:shd w:val="clear" w:color="auto" w:fill="auto"/>
            <w:noWrap/>
            <w:vAlign w:val="bottom"/>
            <w:hideMark/>
          </w:tcPr>
          <w:p w:rsidRPr="00D00351" w:rsidR="006651A0" w:rsidP="00581747" w:rsidRDefault="006651A0" w14:paraId="2F1A178C"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D00351" w:rsidR="006651A0" w:rsidP="00581747" w:rsidRDefault="006651A0" w14:paraId="1706146E" w14:textId="77777777">
            <w:pPr>
              <w:widowControl/>
              <w:autoSpaceDE/>
              <w:autoSpaceDN/>
              <w:adjustRightInd/>
              <w:jc w:val="left"/>
            </w:pPr>
          </w:p>
        </w:tc>
        <w:tc>
          <w:tcPr>
            <w:tcW w:w="450" w:type="dxa"/>
            <w:tcBorders>
              <w:top w:val="nil"/>
              <w:left w:val="nil"/>
              <w:bottom w:val="nil"/>
              <w:right w:val="nil"/>
            </w:tcBorders>
            <w:shd w:val="clear" w:color="auto" w:fill="auto"/>
            <w:noWrap/>
            <w:vAlign w:val="bottom"/>
            <w:hideMark/>
          </w:tcPr>
          <w:p w:rsidRPr="006651A0" w:rsidR="006651A0" w:rsidP="00581747" w:rsidRDefault="006651A0" w14:paraId="5F4A7DC6" w14:textId="77777777">
            <w:pPr>
              <w:widowControl/>
              <w:autoSpaceDE/>
              <w:autoSpaceDN/>
              <w:adjustRightInd/>
              <w:jc w:val="left"/>
              <w:rPr>
                <w:highlight w:val="yellow"/>
              </w:rPr>
            </w:pPr>
          </w:p>
        </w:tc>
        <w:tc>
          <w:tcPr>
            <w:tcW w:w="2546" w:type="dxa"/>
            <w:tcBorders>
              <w:top w:val="nil"/>
              <w:left w:val="nil"/>
              <w:bottom w:val="nil"/>
              <w:right w:val="nil"/>
            </w:tcBorders>
            <w:shd w:val="clear" w:color="auto" w:fill="auto"/>
            <w:noWrap/>
            <w:vAlign w:val="bottom"/>
            <w:hideMark/>
          </w:tcPr>
          <w:p w:rsidRPr="00C458F4" w:rsidR="006651A0" w:rsidP="00581747" w:rsidRDefault="006651A0" w14:paraId="47C80F83" w14:textId="77777777">
            <w:pPr>
              <w:widowControl/>
              <w:autoSpaceDE/>
              <w:autoSpaceDN/>
              <w:adjustRightInd/>
              <w:jc w:val="right"/>
              <w:rPr>
                <w:color w:val="000000"/>
              </w:rPr>
            </w:pPr>
            <w:r w:rsidRPr="00C458F4">
              <w:rPr>
                <w:color w:val="000000"/>
              </w:rPr>
              <w:t xml:space="preserve">Subtotal </w:t>
            </w:r>
            <w:r w:rsidRPr="00C458F4">
              <w:rPr>
                <w:color w:val="000000"/>
                <w:vertAlign w:val="superscript"/>
              </w:rPr>
              <w:t>(2)</w:t>
            </w:r>
          </w:p>
        </w:tc>
        <w:tc>
          <w:tcPr>
            <w:tcW w:w="2600" w:type="dxa"/>
            <w:tcBorders>
              <w:top w:val="nil"/>
              <w:left w:val="nil"/>
              <w:bottom w:val="nil"/>
              <w:right w:val="nil"/>
            </w:tcBorders>
            <w:shd w:val="clear" w:color="auto" w:fill="auto"/>
            <w:noWrap/>
            <w:vAlign w:val="bottom"/>
            <w:hideMark/>
          </w:tcPr>
          <w:p w:rsidRPr="00C458F4" w:rsidR="006651A0" w:rsidP="00C458F4" w:rsidRDefault="006651A0" w14:paraId="6107F4B9" w14:textId="3F58C0A8">
            <w:pPr>
              <w:widowControl/>
              <w:tabs>
                <w:tab w:val="decimal" w:pos="1855"/>
              </w:tabs>
              <w:autoSpaceDE/>
              <w:autoSpaceDN/>
              <w:adjustRightInd/>
              <w:jc w:val="left"/>
              <w:rPr>
                <w:color w:val="000000"/>
              </w:rPr>
            </w:pPr>
            <w:r w:rsidRPr="00C458F4">
              <w:rPr>
                <w:color w:val="000000"/>
              </w:rPr>
              <w:t xml:space="preserve">$      </w:t>
            </w:r>
            <w:r w:rsidRPr="00C458F4" w:rsidR="00C458F4">
              <w:rPr>
                <w:color w:val="000000"/>
              </w:rPr>
              <w:t xml:space="preserve"> </w:t>
            </w:r>
            <w:r w:rsidRPr="00C458F4">
              <w:rPr>
                <w:color w:val="000000"/>
              </w:rPr>
              <w:t xml:space="preserve">   1,</w:t>
            </w:r>
            <w:r w:rsidRPr="00C458F4" w:rsidR="005134B7">
              <w:rPr>
                <w:color w:val="000000"/>
              </w:rPr>
              <w:t>419,837,661</w:t>
            </w:r>
            <w:r w:rsidRPr="00C458F4">
              <w:rPr>
                <w:color w:val="000000"/>
              </w:rPr>
              <w:t xml:space="preserve"> </w:t>
            </w:r>
          </w:p>
        </w:tc>
        <w:tc>
          <w:tcPr>
            <w:tcW w:w="222" w:type="dxa"/>
            <w:tcBorders>
              <w:top w:val="nil"/>
              <w:left w:val="nil"/>
              <w:bottom w:val="nil"/>
              <w:right w:val="nil"/>
            </w:tcBorders>
            <w:shd w:val="clear" w:color="auto" w:fill="auto"/>
            <w:noWrap/>
            <w:vAlign w:val="bottom"/>
            <w:hideMark/>
          </w:tcPr>
          <w:p w:rsidRPr="00C458F4" w:rsidR="006651A0" w:rsidP="00581747" w:rsidRDefault="006651A0" w14:paraId="094438C6" w14:textId="77777777">
            <w:pPr>
              <w:widowControl/>
              <w:autoSpaceDE/>
              <w:autoSpaceDN/>
              <w:adjustRightInd/>
              <w:jc w:val="left"/>
              <w:rPr>
                <w:color w:val="000000"/>
              </w:rPr>
            </w:pPr>
          </w:p>
        </w:tc>
        <w:tc>
          <w:tcPr>
            <w:tcW w:w="933" w:type="dxa"/>
            <w:tcBorders>
              <w:top w:val="nil"/>
              <w:left w:val="nil"/>
              <w:bottom w:val="nil"/>
              <w:right w:val="nil"/>
            </w:tcBorders>
            <w:shd w:val="clear" w:color="auto" w:fill="auto"/>
            <w:noWrap/>
            <w:vAlign w:val="bottom"/>
            <w:hideMark/>
          </w:tcPr>
          <w:p w:rsidRPr="00C458F4" w:rsidR="006651A0" w:rsidP="00581747" w:rsidRDefault="006651A0" w14:paraId="1942B60F" w14:textId="77777777">
            <w:pPr>
              <w:widowControl/>
              <w:autoSpaceDE/>
              <w:autoSpaceDN/>
              <w:adjustRightInd/>
              <w:jc w:val="right"/>
              <w:rPr>
                <w:color w:val="000000"/>
              </w:rPr>
            </w:pPr>
            <w:r w:rsidRPr="00C458F4">
              <w:rPr>
                <w:color w:val="000000"/>
              </w:rPr>
              <w:t>100.00%</w:t>
            </w:r>
          </w:p>
        </w:tc>
        <w:tc>
          <w:tcPr>
            <w:tcW w:w="960" w:type="dxa"/>
            <w:tcBorders>
              <w:top w:val="nil"/>
              <w:left w:val="nil"/>
              <w:bottom w:val="nil"/>
              <w:right w:val="nil"/>
            </w:tcBorders>
            <w:shd w:val="clear" w:color="auto" w:fill="auto"/>
            <w:noWrap/>
            <w:vAlign w:val="bottom"/>
            <w:hideMark/>
          </w:tcPr>
          <w:p w:rsidRPr="00981F19" w:rsidR="006651A0" w:rsidP="00581747" w:rsidRDefault="006651A0" w14:paraId="2F4F24C8" w14:textId="77777777">
            <w:pPr>
              <w:widowControl/>
              <w:autoSpaceDE/>
              <w:autoSpaceDN/>
              <w:adjustRightInd/>
              <w:jc w:val="right"/>
              <w:rPr>
                <w:color w:val="000000"/>
              </w:rPr>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0A42E380"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431E6CFB" w14:textId="77777777">
            <w:pPr>
              <w:widowControl/>
              <w:autoSpaceDE/>
              <w:autoSpaceDN/>
              <w:adjustRightInd/>
              <w:jc w:val="left"/>
            </w:pPr>
          </w:p>
        </w:tc>
      </w:tr>
      <w:tr w:rsidRPr="00981F19" w:rsidR="006651A0" w:rsidTr="00581747" w14:paraId="42A3FEBA" w14:textId="77777777">
        <w:trPr>
          <w:trHeight w:val="345"/>
        </w:trPr>
        <w:tc>
          <w:tcPr>
            <w:tcW w:w="222" w:type="dxa"/>
            <w:tcBorders>
              <w:top w:val="nil"/>
              <w:left w:val="nil"/>
              <w:bottom w:val="nil"/>
              <w:right w:val="nil"/>
            </w:tcBorders>
            <w:shd w:val="clear" w:color="auto" w:fill="auto"/>
            <w:noWrap/>
            <w:vAlign w:val="bottom"/>
            <w:hideMark/>
          </w:tcPr>
          <w:p w:rsidRPr="00D00351" w:rsidR="006651A0" w:rsidP="00581747" w:rsidRDefault="006651A0" w14:paraId="384F6BF9"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E671A2" w:rsidR="006651A0" w:rsidP="00581747" w:rsidRDefault="006651A0" w14:paraId="59EDEE9F" w14:textId="77777777">
            <w:pPr>
              <w:widowControl/>
              <w:autoSpaceDE/>
              <w:autoSpaceDN/>
              <w:adjustRightInd/>
              <w:jc w:val="left"/>
            </w:pPr>
          </w:p>
        </w:tc>
        <w:tc>
          <w:tcPr>
            <w:tcW w:w="2996" w:type="dxa"/>
            <w:gridSpan w:val="2"/>
            <w:tcBorders>
              <w:top w:val="nil"/>
              <w:left w:val="nil"/>
              <w:bottom w:val="nil"/>
              <w:right w:val="nil"/>
            </w:tcBorders>
            <w:shd w:val="clear" w:color="auto" w:fill="auto"/>
            <w:noWrap/>
            <w:vAlign w:val="bottom"/>
            <w:hideMark/>
          </w:tcPr>
          <w:p w:rsidRPr="00E671A2" w:rsidR="006651A0" w:rsidP="00581747" w:rsidRDefault="006651A0" w14:paraId="17E833CA" w14:textId="77777777">
            <w:pPr>
              <w:widowControl/>
              <w:autoSpaceDE/>
              <w:autoSpaceDN/>
              <w:adjustRightInd/>
              <w:jc w:val="left"/>
              <w:rPr>
                <w:b/>
                <w:bCs/>
                <w:color w:val="000000"/>
              </w:rPr>
            </w:pPr>
            <w:r w:rsidRPr="00E671A2">
              <w:rPr>
                <w:b/>
                <w:bCs/>
                <w:color w:val="000000"/>
              </w:rPr>
              <w:t>Investment Securities</w:t>
            </w:r>
            <w:r w:rsidRPr="00E671A2">
              <w:rPr>
                <w:b/>
                <w:bCs/>
                <w:color w:val="000000"/>
                <w:vertAlign w:val="superscript"/>
              </w:rPr>
              <w:t>(3)</w:t>
            </w:r>
          </w:p>
        </w:tc>
        <w:tc>
          <w:tcPr>
            <w:tcW w:w="2600" w:type="dxa"/>
            <w:tcBorders>
              <w:top w:val="nil"/>
              <w:left w:val="nil"/>
              <w:bottom w:val="nil"/>
              <w:right w:val="nil"/>
            </w:tcBorders>
            <w:shd w:val="clear" w:color="auto" w:fill="auto"/>
            <w:noWrap/>
            <w:vAlign w:val="bottom"/>
            <w:hideMark/>
          </w:tcPr>
          <w:p w:rsidRPr="006651A0" w:rsidR="006651A0" w:rsidP="00581747" w:rsidRDefault="006651A0" w14:paraId="421780AF" w14:textId="77777777">
            <w:pPr>
              <w:widowControl/>
              <w:autoSpaceDE/>
              <w:autoSpaceDN/>
              <w:adjustRightInd/>
              <w:jc w:val="left"/>
              <w:rPr>
                <w:b/>
                <w:bCs/>
                <w:color w:val="000000"/>
                <w:highlight w:val="yellow"/>
              </w:rPr>
            </w:pPr>
          </w:p>
        </w:tc>
        <w:tc>
          <w:tcPr>
            <w:tcW w:w="222" w:type="dxa"/>
            <w:tcBorders>
              <w:top w:val="nil"/>
              <w:left w:val="nil"/>
              <w:bottom w:val="nil"/>
              <w:right w:val="nil"/>
            </w:tcBorders>
            <w:shd w:val="clear" w:color="auto" w:fill="auto"/>
            <w:noWrap/>
            <w:vAlign w:val="bottom"/>
            <w:hideMark/>
          </w:tcPr>
          <w:p w:rsidRPr="00D00351" w:rsidR="006651A0" w:rsidP="00581747" w:rsidRDefault="006651A0" w14:paraId="1AB08B2C" w14:textId="77777777">
            <w:pPr>
              <w:widowControl/>
              <w:autoSpaceDE/>
              <w:autoSpaceDN/>
              <w:adjustRightInd/>
              <w:jc w:val="left"/>
            </w:pPr>
          </w:p>
        </w:tc>
        <w:tc>
          <w:tcPr>
            <w:tcW w:w="933" w:type="dxa"/>
            <w:tcBorders>
              <w:top w:val="nil"/>
              <w:left w:val="nil"/>
              <w:bottom w:val="nil"/>
              <w:right w:val="nil"/>
            </w:tcBorders>
            <w:shd w:val="clear" w:color="auto" w:fill="auto"/>
            <w:noWrap/>
            <w:vAlign w:val="bottom"/>
            <w:hideMark/>
          </w:tcPr>
          <w:p w:rsidRPr="00D00351" w:rsidR="006651A0" w:rsidP="00581747" w:rsidRDefault="006651A0" w14:paraId="01D7E969"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53220D20"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5C5E765E"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2EEFDAA7" w14:textId="77777777">
            <w:pPr>
              <w:widowControl/>
              <w:autoSpaceDE/>
              <w:autoSpaceDN/>
              <w:adjustRightInd/>
              <w:jc w:val="left"/>
            </w:pPr>
          </w:p>
        </w:tc>
      </w:tr>
      <w:tr w:rsidRPr="00981F19" w:rsidR="006651A0" w:rsidTr="00581747" w14:paraId="0ABC8791" w14:textId="77777777">
        <w:trPr>
          <w:trHeight w:val="300"/>
        </w:trPr>
        <w:tc>
          <w:tcPr>
            <w:tcW w:w="222" w:type="dxa"/>
            <w:tcBorders>
              <w:top w:val="nil"/>
              <w:left w:val="nil"/>
              <w:bottom w:val="nil"/>
              <w:right w:val="nil"/>
            </w:tcBorders>
            <w:shd w:val="clear" w:color="auto" w:fill="auto"/>
            <w:noWrap/>
            <w:vAlign w:val="bottom"/>
            <w:hideMark/>
          </w:tcPr>
          <w:p w:rsidRPr="00E671A2" w:rsidR="006651A0" w:rsidP="00581747" w:rsidRDefault="006651A0" w14:paraId="286FF90B"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E671A2" w:rsidR="006651A0" w:rsidP="00581747" w:rsidRDefault="006651A0" w14:paraId="6AB1DBCF" w14:textId="77777777">
            <w:pPr>
              <w:widowControl/>
              <w:autoSpaceDE/>
              <w:autoSpaceDN/>
              <w:adjustRightInd/>
              <w:jc w:val="left"/>
            </w:pPr>
          </w:p>
        </w:tc>
        <w:tc>
          <w:tcPr>
            <w:tcW w:w="450" w:type="dxa"/>
            <w:tcBorders>
              <w:top w:val="nil"/>
              <w:left w:val="nil"/>
              <w:bottom w:val="nil"/>
              <w:right w:val="nil"/>
            </w:tcBorders>
            <w:shd w:val="clear" w:color="auto" w:fill="auto"/>
            <w:noWrap/>
            <w:vAlign w:val="bottom"/>
            <w:hideMark/>
          </w:tcPr>
          <w:p w:rsidRPr="00E671A2" w:rsidR="006651A0" w:rsidP="00581747" w:rsidRDefault="006651A0" w14:paraId="444A729C" w14:textId="77777777">
            <w:pPr>
              <w:widowControl/>
              <w:autoSpaceDE/>
              <w:autoSpaceDN/>
              <w:adjustRightInd/>
              <w:jc w:val="left"/>
            </w:pPr>
          </w:p>
        </w:tc>
        <w:tc>
          <w:tcPr>
            <w:tcW w:w="2546" w:type="dxa"/>
            <w:tcBorders>
              <w:top w:val="nil"/>
              <w:left w:val="nil"/>
              <w:bottom w:val="nil"/>
              <w:right w:val="nil"/>
            </w:tcBorders>
            <w:shd w:val="clear" w:color="auto" w:fill="auto"/>
            <w:noWrap/>
            <w:vAlign w:val="bottom"/>
            <w:hideMark/>
          </w:tcPr>
          <w:p w:rsidRPr="00E671A2" w:rsidR="006651A0" w:rsidP="00581747" w:rsidRDefault="006651A0" w14:paraId="771B9F6A" w14:textId="77777777">
            <w:pPr>
              <w:widowControl/>
              <w:autoSpaceDE/>
              <w:autoSpaceDN/>
              <w:adjustRightInd/>
              <w:jc w:val="left"/>
              <w:rPr>
                <w:color w:val="000000"/>
              </w:rPr>
            </w:pPr>
            <w:r w:rsidRPr="00E671A2">
              <w:rPr>
                <w:color w:val="000000"/>
              </w:rPr>
              <w:t>Loan Account</w:t>
            </w:r>
          </w:p>
        </w:tc>
        <w:tc>
          <w:tcPr>
            <w:tcW w:w="2600" w:type="dxa"/>
            <w:tcBorders>
              <w:top w:val="nil"/>
              <w:left w:val="nil"/>
              <w:bottom w:val="nil"/>
              <w:right w:val="nil"/>
            </w:tcBorders>
            <w:shd w:val="clear" w:color="auto" w:fill="auto"/>
            <w:noWrap/>
            <w:vAlign w:val="bottom"/>
            <w:hideMark/>
          </w:tcPr>
          <w:p w:rsidRPr="00E671A2" w:rsidR="006651A0" w:rsidP="00E671A2" w:rsidRDefault="00C458F4" w14:paraId="79BF900D" w14:textId="2D20BAAA">
            <w:pPr>
              <w:widowControl/>
              <w:tabs>
                <w:tab w:val="decimal" w:pos="1855"/>
              </w:tabs>
              <w:autoSpaceDE/>
              <w:autoSpaceDN/>
              <w:adjustRightInd/>
              <w:jc w:val="left"/>
              <w:rPr>
                <w:color w:val="000000"/>
              </w:rPr>
            </w:pPr>
            <w:r w:rsidRPr="00E671A2">
              <w:rPr>
                <w:color w:val="000000"/>
              </w:rPr>
              <w:t xml:space="preserve">$              </w:t>
            </w:r>
            <w:r w:rsidR="00E671A2">
              <w:rPr>
                <w:color w:val="000000"/>
              </w:rPr>
              <w:t>105,186,393</w:t>
            </w:r>
          </w:p>
        </w:tc>
        <w:tc>
          <w:tcPr>
            <w:tcW w:w="222" w:type="dxa"/>
            <w:tcBorders>
              <w:top w:val="nil"/>
              <w:left w:val="nil"/>
              <w:bottom w:val="nil"/>
              <w:right w:val="nil"/>
            </w:tcBorders>
            <w:shd w:val="clear" w:color="auto" w:fill="auto"/>
            <w:noWrap/>
            <w:vAlign w:val="bottom"/>
            <w:hideMark/>
          </w:tcPr>
          <w:p w:rsidRPr="00981F19" w:rsidR="006651A0" w:rsidP="00581747" w:rsidRDefault="006651A0" w14:paraId="45064E50" w14:textId="77777777">
            <w:pPr>
              <w:widowControl/>
              <w:autoSpaceDE/>
              <w:autoSpaceDN/>
              <w:adjustRightInd/>
              <w:jc w:val="left"/>
              <w:rPr>
                <w:color w:val="000000"/>
              </w:rPr>
            </w:pPr>
          </w:p>
        </w:tc>
        <w:tc>
          <w:tcPr>
            <w:tcW w:w="933" w:type="dxa"/>
            <w:tcBorders>
              <w:top w:val="nil"/>
              <w:left w:val="nil"/>
              <w:bottom w:val="nil"/>
              <w:right w:val="nil"/>
            </w:tcBorders>
            <w:shd w:val="clear" w:color="auto" w:fill="auto"/>
            <w:noWrap/>
            <w:vAlign w:val="bottom"/>
            <w:hideMark/>
          </w:tcPr>
          <w:p w:rsidRPr="00D00351" w:rsidR="006651A0" w:rsidP="00581747" w:rsidRDefault="006651A0" w14:paraId="1DF73C30"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30CCD135"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3C82BAF1"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7E4A7D79" w14:textId="77777777">
            <w:pPr>
              <w:widowControl/>
              <w:autoSpaceDE/>
              <w:autoSpaceDN/>
              <w:adjustRightInd/>
              <w:jc w:val="left"/>
            </w:pPr>
          </w:p>
        </w:tc>
      </w:tr>
      <w:tr w:rsidRPr="00981F19" w:rsidR="006651A0" w:rsidTr="00581747" w14:paraId="494050A6" w14:textId="77777777">
        <w:trPr>
          <w:trHeight w:val="300"/>
        </w:trPr>
        <w:tc>
          <w:tcPr>
            <w:tcW w:w="222" w:type="dxa"/>
            <w:tcBorders>
              <w:top w:val="nil"/>
              <w:left w:val="nil"/>
              <w:bottom w:val="nil"/>
              <w:right w:val="nil"/>
            </w:tcBorders>
            <w:shd w:val="clear" w:color="auto" w:fill="auto"/>
            <w:noWrap/>
            <w:vAlign w:val="bottom"/>
            <w:hideMark/>
          </w:tcPr>
          <w:p w:rsidRPr="00E671A2" w:rsidR="006651A0" w:rsidP="00581747" w:rsidRDefault="006651A0" w14:paraId="7DA97BD8"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E671A2" w:rsidR="006651A0" w:rsidP="00581747" w:rsidRDefault="006651A0" w14:paraId="6A011A2F" w14:textId="77777777">
            <w:pPr>
              <w:widowControl/>
              <w:autoSpaceDE/>
              <w:autoSpaceDN/>
              <w:adjustRightInd/>
              <w:jc w:val="left"/>
            </w:pPr>
          </w:p>
        </w:tc>
        <w:tc>
          <w:tcPr>
            <w:tcW w:w="450" w:type="dxa"/>
            <w:tcBorders>
              <w:top w:val="nil"/>
              <w:left w:val="nil"/>
              <w:bottom w:val="nil"/>
              <w:right w:val="nil"/>
            </w:tcBorders>
            <w:shd w:val="clear" w:color="auto" w:fill="auto"/>
            <w:noWrap/>
            <w:vAlign w:val="bottom"/>
            <w:hideMark/>
          </w:tcPr>
          <w:p w:rsidRPr="00E671A2" w:rsidR="006651A0" w:rsidP="00581747" w:rsidRDefault="006651A0" w14:paraId="47565BB5" w14:textId="77777777">
            <w:pPr>
              <w:widowControl/>
              <w:autoSpaceDE/>
              <w:autoSpaceDN/>
              <w:adjustRightInd/>
              <w:jc w:val="left"/>
            </w:pPr>
          </w:p>
        </w:tc>
        <w:tc>
          <w:tcPr>
            <w:tcW w:w="2546" w:type="dxa"/>
            <w:tcBorders>
              <w:top w:val="nil"/>
              <w:left w:val="nil"/>
              <w:bottom w:val="nil"/>
              <w:right w:val="nil"/>
            </w:tcBorders>
            <w:shd w:val="clear" w:color="auto" w:fill="auto"/>
            <w:noWrap/>
            <w:vAlign w:val="bottom"/>
            <w:hideMark/>
          </w:tcPr>
          <w:p w:rsidRPr="00E671A2" w:rsidR="006651A0" w:rsidP="00581747" w:rsidRDefault="006651A0" w14:paraId="57091867" w14:textId="77777777">
            <w:pPr>
              <w:widowControl/>
              <w:autoSpaceDE/>
              <w:autoSpaceDN/>
              <w:adjustRightInd/>
              <w:jc w:val="left"/>
              <w:rPr>
                <w:color w:val="000000"/>
              </w:rPr>
            </w:pPr>
            <w:r w:rsidRPr="00E671A2">
              <w:rPr>
                <w:color w:val="000000"/>
              </w:rPr>
              <w:t>Revenue Account</w:t>
            </w:r>
          </w:p>
        </w:tc>
        <w:tc>
          <w:tcPr>
            <w:tcW w:w="2600" w:type="dxa"/>
            <w:tcBorders>
              <w:top w:val="nil"/>
              <w:left w:val="nil"/>
              <w:bottom w:val="single" w:color="auto" w:sz="4" w:space="0"/>
              <w:right w:val="nil"/>
            </w:tcBorders>
            <w:shd w:val="clear" w:color="auto" w:fill="auto"/>
            <w:noWrap/>
            <w:vAlign w:val="bottom"/>
            <w:hideMark/>
          </w:tcPr>
          <w:p w:rsidRPr="00E671A2" w:rsidR="006651A0" w:rsidP="00E671A2" w:rsidRDefault="00C458F4" w14:paraId="12FA059B" w14:textId="300F4691">
            <w:pPr>
              <w:widowControl/>
              <w:tabs>
                <w:tab w:val="decimal" w:pos="1855"/>
              </w:tabs>
              <w:autoSpaceDE/>
              <w:autoSpaceDN/>
              <w:adjustRightInd/>
              <w:jc w:val="left"/>
              <w:rPr>
                <w:color w:val="000000"/>
              </w:rPr>
            </w:pPr>
            <w:r w:rsidRPr="00E671A2">
              <w:rPr>
                <w:color w:val="000000"/>
              </w:rPr>
              <w:t xml:space="preserve">$            </w:t>
            </w:r>
            <w:r w:rsidR="00E671A2">
              <w:rPr>
                <w:color w:val="000000"/>
              </w:rPr>
              <w:t>209,369,730</w:t>
            </w:r>
          </w:p>
        </w:tc>
        <w:tc>
          <w:tcPr>
            <w:tcW w:w="222" w:type="dxa"/>
            <w:tcBorders>
              <w:top w:val="nil"/>
              <w:left w:val="nil"/>
              <w:bottom w:val="nil"/>
              <w:right w:val="nil"/>
            </w:tcBorders>
            <w:shd w:val="clear" w:color="auto" w:fill="auto"/>
            <w:noWrap/>
            <w:vAlign w:val="bottom"/>
            <w:hideMark/>
          </w:tcPr>
          <w:p w:rsidRPr="00981F19" w:rsidR="006651A0" w:rsidP="00581747" w:rsidRDefault="006651A0" w14:paraId="1CB5CB26" w14:textId="77777777">
            <w:pPr>
              <w:widowControl/>
              <w:autoSpaceDE/>
              <w:autoSpaceDN/>
              <w:adjustRightInd/>
              <w:jc w:val="left"/>
              <w:rPr>
                <w:color w:val="000000"/>
              </w:rPr>
            </w:pPr>
          </w:p>
        </w:tc>
        <w:tc>
          <w:tcPr>
            <w:tcW w:w="933" w:type="dxa"/>
            <w:tcBorders>
              <w:top w:val="nil"/>
              <w:left w:val="nil"/>
              <w:bottom w:val="nil"/>
              <w:right w:val="nil"/>
            </w:tcBorders>
            <w:shd w:val="clear" w:color="auto" w:fill="auto"/>
            <w:noWrap/>
            <w:vAlign w:val="bottom"/>
            <w:hideMark/>
          </w:tcPr>
          <w:p w:rsidRPr="00D00351" w:rsidR="006651A0" w:rsidP="00581747" w:rsidRDefault="006651A0" w14:paraId="053F415B"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66BAFDA6"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2EA1AEFC"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0BC2BFAF" w14:textId="77777777">
            <w:pPr>
              <w:widowControl/>
              <w:autoSpaceDE/>
              <w:autoSpaceDN/>
              <w:adjustRightInd/>
              <w:jc w:val="left"/>
            </w:pPr>
          </w:p>
        </w:tc>
      </w:tr>
      <w:tr w:rsidRPr="00981F19" w:rsidR="006651A0" w:rsidTr="00581747" w14:paraId="14B2D683" w14:textId="77777777">
        <w:trPr>
          <w:trHeight w:val="345"/>
        </w:trPr>
        <w:tc>
          <w:tcPr>
            <w:tcW w:w="222" w:type="dxa"/>
            <w:tcBorders>
              <w:top w:val="nil"/>
              <w:left w:val="nil"/>
              <w:bottom w:val="nil"/>
              <w:right w:val="nil"/>
            </w:tcBorders>
            <w:shd w:val="clear" w:color="auto" w:fill="auto"/>
            <w:noWrap/>
            <w:vAlign w:val="bottom"/>
            <w:hideMark/>
          </w:tcPr>
          <w:p w:rsidRPr="00E671A2" w:rsidR="006651A0" w:rsidP="00581747" w:rsidRDefault="006651A0" w14:paraId="4362D35C"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E671A2" w:rsidR="006651A0" w:rsidP="00581747" w:rsidRDefault="006651A0" w14:paraId="41534F35" w14:textId="77777777">
            <w:pPr>
              <w:widowControl/>
              <w:autoSpaceDE/>
              <w:autoSpaceDN/>
              <w:adjustRightInd/>
              <w:jc w:val="left"/>
            </w:pPr>
          </w:p>
        </w:tc>
        <w:tc>
          <w:tcPr>
            <w:tcW w:w="450" w:type="dxa"/>
            <w:tcBorders>
              <w:top w:val="nil"/>
              <w:left w:val="nil"/>
              <w:bottom w:val="nil"/>
              <w:right w:val="nil"/>
            </w:tcBorders>
            <w:shd w:val="clear" w:color="auto" w:fill="auto"/>
            <w:noWrap/>
            <w:vAlign w:val="bottom"/>
            <w:hideMark/>
          </w:tcPr>
          <w:p w:rsidRPr="00E671A2" w:rsidR="006651A0" w:rsidP="00581747" w:rsidRDefault="006651A0" w14:paraId="3412757A" w14:textId="77777777">
            <w:pPr>
              <w:widowControl/>
              <w:autoSpaceDE/>
              <w:autoSpaceDN/>
              <w:adjustRightInd/>
              <w:jc w:val="left"/>
            </w:pPr>
          </w:p>
        </w:tc>
        <w:tc>
          <w:tcPr>
            <w:tcW w:w="2546" w:type="dxa"/>
            <w:tcBorders>
              <w:top w:val="nil"/>
              <w:left w:val="nil"/>
              <w:bottom w:val="nil"/>
              <w:right w:val="nil"/>
            </w:tcBorders>
            <w:shd w:val="clear" w:color="auto" w:fill="auto"/>
            <w:noWrap/>
            <w:vAlign w:val="bottom"/>
            <w:hideMark/>
          </w:tcPr>
          <w:p w:rsidRPr="00E671A2" w:rsidR="006651A0" w:rsidP="00581747" w:rsidRDefault="006651A0" w14:paraId="43319F43" w14:textId="77777777">
            <w:pPr>
              <w:widowControl/>
              <w:autoSpaceDE/>
              <w:autoSpaceDN/>
              <w:adjustRightInd/>
              <w:jc w:val="right"/>
              <w:rPr>
                <w:color w:val="000000"/>
              </w:rPr>
            </w:pPr>
            <w:r w:rsidRPr="00E671A2">
              <w:rPr>
                <w:color w:val="000000"/>
              </w:rPr>
              <w:t xml:space="preserve">Subtotal </w:t>
            </w:r>
            <w:r w:rsidRPr="00E671A2">
              <w:rPr>
                <w:color w:val="000000"/>
                <w:vertAlign w:val="superscript"/>
              </w:rPr>
              <w:t>(2)</w:t>
            </w:r>
          </w:p>
        </w:tc>
        <w:tc>
          <w:tcPr>
            <w:tcW w:w="2600" w:type="dxa"/>
            <w:tcBorders>
              <w:top w:val="nil"/>
              <w:left w:val="nil"/>
              <w:bottom w:val="nil"/>
              <w:right w:val="nil"/>
            </w:tcBorders>
            <w:shd w:val="clear" w:color="auto" w:fill="auto"/>
            <w:noWrap/>
            <w:vAlign w:val="bottom"/>
            <w:hideMark/>
          </w:tcPr>
          <w:p w:rsidRPr="00E671A2" w:rsidR="006651A0" w:rsidP="00E671A2" w:rsidRDefault="00C458F4" w14:paraId="61B7B44A" w14:textId="2F323A4A">
            <w:pPr>
              <w:widowControl/>
              <w:tabs>
                <w:tab w:val="decimal" w:pos="1855"/>
              </w:tabs>
              <w:autoSpaceDE/>
              <w:autoSpaceDN/>
              <w:adjustRightInd/>
              <w:jc w:val="left"/>
              <w:rPr>
                <w:color w:val="000000"/>
              </w:rPr>
            </w:pPr>
            <w:r w:rsidRPr="00E671A2">
              <w:rPr>
                <w:color w:val="000000"/>
              </w:rPr>
              <w:t xml:space="preserve">$            </w:t>
            </w:r>
            <w:r w:rsidR="00E671A2">
              <w:rPr>
                <w:color w:val="000000"/>
              </w:rPr>
              <w:t>314,556,123</w:t>
            </w:r>
          </w:p>
        </w:tc>
        <w:tc>
          <w:tcPr>
            <w:tcW w:w="222" w:type="dxa"/>
            <w:tcBorders>
              <w:top w:val="nil"/>
              <w:left w:val="nil"/>
              <w:bottom w:val="nil"/>
              <w:right w:val="nil"/>
            </w:tcBorders>
            <w:shd w:val="clear" w:color="auto" w:fill="auto"/>
            <w:noWrap/>
            <w:vAlign w:val="bottom"/>
            <w:hideMark/>
          </w:tcPr>
          <w:p w:rsidRPr="00981F19" w:rsidR="006651A0" w:rsidP="00581747" w:rsidRDefault="006651A0" w14:paraId="5F8C6AC0" w14:textId="77777777">
            <w:pPr>
              <w:widowControl/>
              <w:autoSpaceDE/>
              <w:autoSpaceDN/>
              <w:adjustRightInd/>
              <w:jc w:val="left"/>
              <w:rPr>
                <w:color w:val="000000"/>
              </w:rPr>
            </w:pPr>
          </w:p>
        </w:tc>
        <w:tc>
          <w:tcPr>
            <w:tcW w:w="933" w:type="dxa"/>
            <w:tcBorders>
              <w:top w:val="nil"/>
              <w:left w:val="nil"/>
              <w:bottom w:val="nil"/>
              <w:right w:val="nil"/>
            </w:tcBorders>
            <w:shd w:val="clear" w:color="auto" w:fill="auto"/>
            <w:noWrap/>
            <w:vAlign w:val="bottom"/>
            <w:hideMark/>
          </w:tcPr>
          <w:p w:rsidRPr="00D00351" w:rsidR="006651A0" w:rsidP="00581747" w:rsidRDefault="006651A0" w14:paraId="28E828DC"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6D7442FB"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203A86D4"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00533F5F" w14:textId="77777777">
            <w:pPr>
              <w:widowControl/>
              <w:autoSpaceDE/>
              <w:autoSpaceDN/>
              <w:adjustRightInd/>
              <w:jc w:val="left"/>
            </w:pPr>
          </w:p>
        </w:tc>
      </w:tr>
      <w:tr w:rsidRPr="00981F19" w:rsidR="006651A0" w:rsidTr="00581747" w14:paraId="5E405DDC" w14:textId="77777777">
        <w:trPr>
          <w:trHeight w:val="300"/>
        </w:trPr>
        <w:tc>
          <w:tcPr>
            <w:tcW w:w="222" w:type="dxa"/>
            <w:tcBorders>
              <w:top w:val="nil"/>
              <w:left w:val="nil"/>
              <w:bottom w:val="nil"/>
              <w:right w:val="nil"/>
            </w:tcBorders>
            <w:shd w:val="clear" w:color="auto" w:fill="auto"/>
            <w:noWrap/>
            <w:vAlign w:val="bottom"/>
            <w:hideMark/>
          </w:tcPr>
          <w:p w:rsidRPr="00E671A2" w:rsidR="006651A0" w:rsidP="00581747" w:rsidRDefault="006651A0" w14:paraId="2BDC1F82"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E671A2" w:rsidR="006651A0" w:rsidP="00581747" w:rsidRDefault="006651A0" w14:paraId="36B17DBF" w14:textId="77777777">
            <w:pPr>
              <w:widowControl/>
              <w:autoSpaceDE/>
              <w:autoSpaceDN/>
              <w:adjustRightInd/>
              <w:jc w:val="left"/>
            </w:pPr>
          </w:p>
        </w:tc>
        <w:tc>
          <w:tcPr>
            <w:tcW w:w="2996" w:type="dxa"/>
            <w:gridSpan w:val="2"/>
            <w:tcBorders>
              <w:top w:val="nil"/>
              <w:left w:val="nil"/>
              <w:bottom w:val="nil"/>
              <w:right w:val="nil"/>
            </w:tcBorders>
            <w:shd w:val="clear" w:color="auto" w:fill="auto"/>
            <w:noWrap/>
            <w:vAlign w:val="bottom"/>
            <w:hideMark/>
          </w:tcPr>
          <w:p w:rsidRPr="00E671A2" w:rsidR="006651A0" w:rsidP="00581747" w:rsidRDefault="006651A0" w14:paraId="5231EB4B" w14:textId="77777777">
            <w:pPr>
              <w:widowControl/>
              <w:autoSpaceDE/>
              <w:autoSpaceDN/>
              <w:adjustRightInd/>
              <w:jc w:val="left"/>
              <w:rPr>
                <w:b/>
                <w:bCs/>
                <w:color w:val="000000"/>
              </w:rPr>
            </w:pPr>
            <w:r w:rsidRPr="00E671A2">
              <w:rPr>
                <w:b/>
                <w:bCs/>
                <w:color w:val="000000"/>
              </w:rPr>
              <w:t>Total Certain Assets Held</w:t>
            </w:r>
          </w:p>
        </w:tc>
        <w:tc>
          <w:tcPr>
            <w:tcW w:w="2600" w:type="dxa"/>
            <w:tcBorders>
              <w:top w:val="nil"/>
              <w:left w:val="nil"/>
              <w:bottom w:val="nil"/>
              <w:right w:val="nil"/>
            </w:tcBorders>
            <w:shd w:val="clear" w:color="auto" w:fill="auto"/>
            <w:noWrap/>
            <w:vAlign w:val="bottom"/>
            <w:hideMark/>
          </w:tcPr>
          <w:p w:rsidRPr="00E671A2" w:rsidR="006651A0" w:rsidP="00E671A2" w:rsidRDefault="00C458F4" w14:paraId="601C6D18" w14:textId="2D82B584">
            <w:pPr>
              <w:widowControl/>
              <w:tabs>
                <w:tab w:val="decimal" w:pos="1855"/>
              </w:tabs>
              <w:autoSpaceDE/>
              <w:autoSpaceDN/>
              <w:adjustRightInd/>
              <w:jc w:val="left"/>
              <w:rPr>
                <w:b/>
                <w:bCs/>
                <w:color w:val="000000"/>
              </w:rPr>
            </w:pPr>
            <w:r w:rsidRPr="00E671A2">
              <w:rPr>
                <w:b/>
                <w:bCs/>
                <w:color w:val="000000"/>
              </w:rPr>
              <w:t>$         1,</w:t>
            </w:r>
            <w:r w:rsidR="00E671A2">
              <w:rPr>
                <w:b/>
                <w:bCs/>
                <w:color w:val="000000"/>
              </w:rPr>
              <w:t>734,393,783</w:t>
            </w:r>
          </w:p>
        </w:tc>
        <w:tc>
          <w:tcPr>
            <w:tcW w:w="222" w:type="dxa"/>
            <w:tcBorders>
              <w:top w:val="nil"/>
              <w:left w:val="nil"/>
              <w:bottom w:val="nil"/>
              <w:right w:val="nil"/>
            </w:tcBorders>
            <w:shd w:val="clear" w:color="auto" w:fill="auto"/>
            <w:noWrap/>
            <w:vAlign w:val="bottom"/>
            <w:hideMark/>
          </w:tcPr>
          <w:p w:rsidRPr="00981F19" w:rsidR="006651A0" w:rsidP="00581747" w:rsidRDefault="006651A0" w14:paraId="3D920B2F" w14:textId="77777777">
            <w:pPr>
              <w:widowControl/>
              <w:autoSpaceDE/>
              <w:autoSpaceDN/>
              <w:adjustRightInd/>
              <w:jc w:val="left"/>
              <w:rPr>
                <w:b/>
                <w:bCs/>
                <w:color w:val="000000"/>
              </w:rPr>
            </w:pPr>
          </w:p>
        </w:tc>
        <w:tc>
          <w:tcPr>
            <w:tcW w:w="933" w:type="dxa"/>
            <w:tcBorders>
              <w:top w:val="nil"/>
              <w:left w:val="nil"/>
              <w:bottom w:val="nil"/>
              <w:right w:val="nil"/>
            </w:tcBorders>
            <w:shd w:val="clear" w:color="auto" w:fill="auto"/>
            <w:noWrap/>
            <w:vAlign w:val="bottom"/>
            <w:hideMark/>
          </w:tcPr>
          <w:p w:rsidRPr="00D00351" w:rsidR="006651A0" w:rsidP="00581747" w:rsidRDefault="006651A0" w14:paraId="26C3DF45"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435921B3"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4D6E9C61"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2772129A" w14:textId="77777777">
            <w:pPr>
              <w:widowControl/>
              <w:autoSpaceDE/>
              <w:autoSpaceDN/>
              <w:adjustRightInd/>
              <w:jc w:val="left"/>
            </w:pPr>
          </w:p>
        </w:tc>
      </w:tr>
      <w:tr w:rsidRPr="00981F19" w:rsidR="006651A0" w:rsidTr="00581747" w14:paraId="3C7F16A1" w14:textId="77777777">
        <w:trPr>
          <w:trHeight w:val="300"/>
        </w:trPr>
        <w:tc>
          <w:tcPr>
            <w:tcW w:w="222" w:type="dxa"/>
            <w:tcBorders>
              <w:top w:val="nil"/>
              <w:left w:val="nil"/>
              <w:bottom w:val="nil"/>
              <w:right w:val="nil"/>
            </w:tcBorders>
            <w:shd w:val="clear" w:color="auto" w:fill="auto"/>
            <w:noWrap/>
            <w:vAlign w:val="bottom"/>
            <w:hideMark/>
          </w:tcPr>
          <w:p w:rsidRPr="00D00351" w:rsidR="006651A0" w:rsidP="00581747" w:rsidRDefault="006651A0" w14:paraId="665D9870"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D00351" w:rsidR="006651A0" w:rsidP="00581747" w:rsidRDefault="006651A0" w14:paraId="2FADE086" w14:textId="77777777">
            <w:pPr>
              <w:widowControl/>
              <w:autoSpaceDE/>
              <w:autoSpaceDN/>
              <w:adjustRightInd/>
              <w:jc w:val="left"/>
            </w:pPr>
          </w:p>
        </w:tc>
        <w:tc>
          <w:tcPr>
            <w:tcW w:w="450" w:type="dxa"/>
            <w:tcBorders>
              <w:top w:val="nil"/>
              <w:left w:val="nil"/>
              <w:bottom w:val="nil"/>
              <w:right w:val="nil"/>
            </w:tcBorders>
            <w:shd w:val="clear" w:color="auto" w:fill="auto"/>
            <w:noWrap/>
            <w:vAlign w:val="bottom"/>
            <w:hideMark/>
          </w:tcPr>
          <w:p w:rsidRPr="00D00351" w:rsidR="006651A0" w:rsidP="00581747" w:rsidRDefault="006651A0" w14:paraId="3C8B345F" w14:textId="77777777">
            <w:pPr>
              <w:widowControl/>
              <w:autoSpaceDE/>
              <w:autoSpaceDN/>
              <w:adjustRightInd/>
              <w:jc w:val="left"/>
            </w:pPr>
          </w:p>
        </w:tc>
        <w:tc>
          <w:tcPr>
            <w:tcW w:w="2546" w:type="dxa"/>
            <w:tcBorders>
              <w:top w:val="nil"/>
              <w:left w:val="nil"/>
              <w:bottom w:val="nil"/>
              <w:right w:val="nil"/>
            </w:tcBorders>
            <w:shd w:val="clear" w:color="auto" w:fill="auto"/>
            <w:noWrap/>
            <w:vAlign w:val="bottom"/>
            <w:hideMark/>
          </w:tcPr>
          <w:p w:rsidRPr="00D00351" w:rsidR="006651A0" w:rsidP="00581747" w:rsidRDefault="006651A0" w14:paraId="4364E320" w14:textId="77777777">
            <w:pPr>
              <w:widowControl/>
              <w:autoSpaceDE/>
              <w:autoSpaceDN/>
              <w:adjustRightInd/>
              <w:jc w:val="left"/>
            </w:pPr>
          </w:p>
        </w:tc>
        <w:tc>
          <w:tcPr>
            <w:tcW w:w="2600" w:type="dxa"/>
            <w:tcBorders>
              <w:top w:val="nil"/>
              <w:left w:val="nil"/>
              <w:bottom w:val="nil"/>
              <w:right w:val="nil"/>
            </w:tcBorders>
            <w:shd w:val="clear" w:color="auto" w:fill="auto"/>
            <w:noWrap/>
            <w:vAlign w:val="bottom"/>
            <w:hideMark/>
          </w:tcPr>
          <w:p w:rsidRPr="00D00351" w:rsidR="006651A0" w:rsidP="00581747" w:rsidRDefault="006651A0" w14:paraId="106A0876" w14:textId="77777777">
            <w:pPr>
              <w:widowControl/>
              <w:autoSpaceDE/>
              <w:autoSpaceDN/>
              <w:adjustRightInd/>
              <w:jc w:val="left"/>
            </w:pPr>
          </w:p>
        </w:tc>
        <w:tc>
          <w:tcPr>
            <w:tcW w:w="222" w:type="dxa"/>
            <w:tcBorders>
              <w:top w:val="nil"/>
              <w:left w:val="nil"/>
              <w:bottom w:val="nil"/>
              <w:right w:val="nil"/>
            </w:tcBorders>
            <w:shd w:val="clear" w:color="auto" w:fill="auto"/>
            <w:noWrap/>
            <w:vAlign w:val="bottom"/>
            <w:hideMark/>
          </w:tcPr>
          <w:p w:rsidRPr="00D00351" w:rsidR="006651A0" w:rsidP="00581747" w:rsidRDefault="006651A0" w14:paraId="4ED3556F" w14:textId="77777777">
            <w:pPr>
              <w:widowControl/>
              <w:autoSpaceDE/>
              <w:autoSpaceDN/>
              <w:adjustRightInd/>
              <w:jc w:val="left"/>
            </w:pPr>
          </w:p>
        </w:tc>
        <w:tc>
          <w:tcPr>
            <w:tcW w:w="933" w:type="dxa"/>
            <w:tcBorders>
              <w:top w:val="nil"/>
              <w:left w:val="nil"/>
              <w:bottom w:val="nil"/>
              <w:right w:val="nil"/>
            </w:tcBorders>
            <w:shd w:val="clear" w:color="auto" w:fill="auto"/>
            <w:noWrap/>
            <w:vAlign w:val="bottom"/>
            <w:hideMark/>
          </w:tcPr>
          <w:p w:rsidRPr="00D00351" w:rsidR="006651A0" w:rsidP="00581747" w:rsidRDefault="006651A0" w14:paraId="1C815081"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27FA1BCA"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4108CD54" w14:textId="77777777">
            <w:pPr>
              <w:widowControl/>
              <w:autoSpaceDE/>
              <w:autoSpaceDN/>
              <w:adjustRightInd/>
              <w:jc w:val="left"/>
            </w:pPr>
          </w:p>
        </w:tc>
        <w:tc>
          <w:tcPr>
            <w:tcW w:w="960" w:type="dxa"/>
            <w:tcBorders>
              <w:top w:val="nil"/>
              <w:left w:val="nil"/>
              <w:bottom w:val="nil"/>
              <w:right w:val="nil"/>
            </w:tcBorders>
            <w:shd w:val="clear" w:color="auto" w:fill="auto"/>
            <w:noWrap/>
            <w:vAlign w:val="bottom"/>
            <w:hideMark/>
          </w:tcPr>
          <w:p w:rsidRPr="00D00351" w:rsidR="006651A0" w:rsidP="00581747" w:rsidRDefault="006651A0" w14:paraId="09B9EB28" w14:textId="77777777">
            <w:pPr>
              <w:widowControl/>
              <w:autoSpaceDE/>
              <w:autoSpaceDN/>
              <w:adjustRightInd/>
              <w:jc w:val="left"/>
            </w:pPr>
          </w:p>
        </w:tc>
      </w:tr>
      <w:tr w:rsidRPr="00981F19" w:rsidR="006651A0" w:rsidTr="00581747" w14:paraId="76CDC5D6" w14:textId="77777777">
        <w:trPr>
          <w:trHeight w:val="540"/>
        </w:trPr>
        <w:tc>
          <w:tcPr>
            <w:tcW w:w="222" w:type="dxa"/>
            <w:tcBorders>
              <w:top w:val="nil"/>
              <w:left w:val="nil"/>
              <w:bottom w:val="nil"/>
              <w:right w:val="nil"/>
            </w:tcBorders>
            <w:shd w:val="clear" w:color="auto" w:fill="auto"/>
            <w:noWrap/>
            <w:hideMark/>
          </w:tcPr>
          <w:p w:rsidRPr="00D00351" w:rsidR="006651A0" w:rsidP="00581747" w:rsidRDefault="006651A0" w14:paraId="7293E1B2" w14:textId="77777777">
            <w:pPr>
              <w:widowControl/>
              <w:autoSpaceDE/>
              <w:autoSpaceDN/>
              <w:adjustRightInd/>
              <w:jc w:val="left"/>
            </w:pPr>
          </w:p>
        </w:tc>
        <w:tc>
          <w:tcPr>
            <w:tcW w:w="222" w:type="dxa"/>
            <w:tcBorders>
              <w:top w:val="nil"/>
              <w:left w:val="nil"/>
              <w:bottom w:val="nil"/>
              <w:right w:val="nil"/>
            </w:tcBorders>
            <w:shd w:val="clear" w:color="auto" w:fill="auto"/>
            <w:noWrap/>
            <w:hideMark/>
          </w:tcPr>
          <w:p w:rsidRPr="00D00351" w:rsidR="006651A0" w:rsidP="00581747" w:rsidRDefault="006651A0" w14:paraId="2E46673F" w14:textId="77777777">
            <w:pPr>
              <w:widowControl/>
              <w:autoSpaceDE/>
              <w:autoSpaceDN/>
              <w:adjustRightInd/>
              <w:jc w:val="left"/>
            </w:pPr>
          </w:p>
        </w:tc>
        <w:tc>
          <w:tcPr>
            <w:tcW w:w="450" w:type="dxa"/>
            <w:tcBorders>
              <w:top w:val="nil"/>
              <w:left w:val="nil"/>
              <w:bottom w:val="nil"/>
              <w:right w:val="nil"/>
            </w:tcBorders>
            <w:shd w:val="clear" w:color="auto" w:fill="auto"/>
            <w:noWrap/>
            <w:hideMark/>
          </w:tcPr>
          <w:p w:rsidRPr="00981F19" w:rsidR="006651A0" w:rsidP="00581747" w:rsidRDefault="006651A0" w14:paraId="5DF39FD8" w14:textId="77777777">
            <w:pPr>
              <w:widowControl/>
              <w:autoSpaceDE/>
              <w:autoSpaceDN/>
              <w:adjustRightInd/>
              <w:jc w:val="left"/>
              <w:rPr>
                <w:color w:val="000000"/>
              </w:rPr>
            </w:pPr>
            <w:r w:rsidRPr="00981F19">
              <w:rPr>
                <w:color w:val="000000"/>
              </w:rPr>
              <w:t>(1)</w:t>
            </w:r>
          </w:p>
        </w:tc>
        <w:tc>
          <w:tcPr>
            <w:tcW w:w="9181" w:type="dxa"/>
            <w:gridSpan w:val="7"/>
            <w:tcBorders>
              <w:top w:val="nil"/>
              <w:left w:val="nil"/>
              <w:bottom w:val="nil"/>
              <w:right w:val="nil"/>
            </w:tcBorders>
            <w:shd w:val="clear" w:color="auto" w:fill="auto"/>
            <w:noWrap/>
            <w:hideMark/>
          </w:tcPr>
          <w:p w:rsidRPr="00981F19" w:rsidR="006651A0" w:rsidP="00E671A2" w:rsidRDefault="006651A0" w14:paraId="66481801" w14:textId="0AFC54C4">
            <w:pPr>
              <w:widowControl/>
              <w:autoSpaceDE/>
              <w:autoSpaceDN/>
              <w:adjustRightInd/>
              <w:jc w:val="left"/>
              <w:rPr>
                <w:color w:val="000000"/>
              </w:rPr>
            </w:pPr>
            <w:r w:rsidRPr="00981F19">
              <w:rPr>
                <w:color w:val="000000"/>
              </w:rPr>
              <w:t>Outstanding principal amount of Mortgage Loans represented by Mortgage Certificates held under</w:t>
            </w:r>
            <w:r>
              <w:rPr>
                <w:color w:val="000000"/>
              </w:rPr>
              <w:t xml:space="preserve"> the Master Indenture as of </w:t>
            </w:r>
            <w:r w:rsidR="00E671A2">
              <w:rPr>
                <w:color w:val="000000"/>
              </w:rPr>
              <w:t>June 30, 2024</w:t>
            </w:r>
            <w:r>
              <w:rPr>
                <w:color w:val="000000"/>
              </w:rPr>
              <w:t>.</w:t>
            </w:r>
          </w:p>
        </w:tc>
      </w:tr>
      <w:tr w:rsidRPr="00981F19" w:rsidR="006651A0" w:rsidTr="00581747" w14:paraId="0EA4BE31" w14:textId="77777777">
        <w:trPr>
          <w:trHeight w:val="360"/>
        </w:trPr>
        <w:tc>
          <w:tcPr>
            <w:tcW w:w="222" w:type="dxa"/>
            <w:tcBorders>
              <w:top w:val="nil"/>
              <w:left w:val="nil"/>
              <w:bottom w:val="nil"/>
              <w:right w:val="nil"/>
            </w:tcBorders>
            <w:shd w:val="clear" w:color="auto" w:fill="auto"/>
            <w:noWrap/>
            <w:hideMark/>
          </w:tcPr>
          <w:p w:rsidRPr="00D00351" w:rsidR="006651A0" w:rsidP="00581747" w:rsidRDefault="006651A0" w14:paraId="4F2B9D06" w14:textId="77777777">
            <w:pPr>
              <w:widowControl/>
              <w:autoSpaceDE/>
              <w:autoSpaceDN/>
              <w:adjustRightInd/>
              <w:jc w:val="left"/>
            </w:pPr>
          </w:p>
        </w:tc>
        <w:tc>
          <w:tcPr>
            <w:tcW w:w="222" w:type="dxa"/>
            <w:tcBorders>
              <w:top w:val="nil"/>
              <w:left w:val="nil"/>
              <w:bottom w:val="nil"/>
              <w:right w:val="nil"/>
            </w:tcBorders>
            <w:shd w:val="clear" w:color="auto" w:fill="auto"/>
            <w:noWrap/>
            <w:hideMark/>
          </w:tcPr>
          <w:p w:rsidRPr="00D00351" w:rsidR="006651A0" w:rsidP="00581747" w:rsidRDefault="006651A0" w14:paraId="5733D9CD" w14:textId="77777777">
            <w:pPr>
              <w:widowControl/>
              <w:autoSpaceDE/>
              <w:autoSpaceDN/>
              <w:adjustRightInd/>
              <w:jc w:val="left"/>
            </w:pPr>
          </w:p>
        </w:tc>
        <w:tc>
          <w:tcPr>
            <w:tcW w:w="450" w:type="dxa"/>
            <w:tcBorders>
              <w:top w:val="nil"/>
              <w:left w:val="nil"/>
              <w:bottom w:val="nil"/>
              <w:right w:val="nil"/>
            </w:tcBorders>
            <w:shd w:val="clear" w:color="auto" w:fill="auto"/>
            <w:noWrap/>
            <w:hideMark/>
          </w:tcPr>
          <w:p w:rsidRPr="00981F19" w:rsidR="006651A0" w:rsidP="00581747" w:rsidRDefault="006651A0" w14:paraId="7B377984" w14:textId="77777777">
            <w:pPr>
              <w:widowControl/>
              <w:autoSpaceDE/>
              <w:autoSpaceDN/>
              <w:adjustRightInd/>
              <w:jc w:val="left"/>
              <w:rPr>
                <w:color w:val="000000"/>
              </w:rPr>
            </w:pPr>
            <w:r w:rsidRPr="00981F19">
              <w:rPr>
                <w:color w:val="000000"/>
              </w:rPr>
              <w:t>(2)</w:t>
            </w:r>
          </w:p>
        </w:tc>
        <w:tc>
          <w:tcPr>
            <w:tcW w:w="5146" w:type="dxa"/>
            <w:gridSpan w:val="2"/>
            <w:tcBorders>
              <w:top w:val="nil"/>
              <w:left w:val="nil"/>
              <w:bottom w:val="nil"/>
              <w:right w:val="nil"/>
            </w:tcBorders>
            <w:shd w:val="clear" w:color="auto" w:fill="auto"/>
            <w:noWrap/>
            <w:hideMark/>
          </w:tcPr>
          <w:p w:rsidRPr="00981F19" w:rsidR="006651A0" w:rsidP="00581747" w:rsidRDefault="006651A0" w14:paraId="1A3DBA50" w14:textId="77777777">
            <w:pPr>
              <w:widowControl/>
              <w:autoSpaceDE/>
              <w:autoSpaceDN/>
              <w:adjustRightInd/>
              <w:jc w:val="left"/>
              <w:rPr>
                <w:color w:val="000000"/>
              </w:rPr>
            </w:pPr>
            <w:r w:rsidRPr="00981F19">
              <w:rPr>
                <w:color w:val="000000"/>
              </w:rPr>
              <w:t>Amounts may not total due to rounding.</w:t>
            </w:r>
          </w:p>
        </w:tc>
        <w:tc>
          <w:tcPr>
            <w:tcW w:w="222" w:type="dxa"/>
            <w:tcBorders>
              <w:top w:val="nil"/>
              <w:left w:val="nil"/>
              <w:bottom w:val="nil"/>
              <w:right w:val="nil"/>
            </w:tcBorders>
            <w:shd w:val="clear" w:color="auto" w:fill="auto"/>
            <w:noWrap/>
            <w:hideMark/>
          </w:tcPr>
          <w:p w:rsidRPr="00981F19" w:rsidR="006651A0" w:rsidP="00581747" w:rsidRDefault="006651A0" w14:paraId="4D213E31" w14:textId="77777777">
            <w:pPr>
              <w:widowControl/>
              <w:autoSpaceDE/>
              <w:autoSpaceDN/>
              <w:adjustRightInd/>
              <w:jc w:val="left"/>
              <w:rPr>
                <w:color w:val="000000"/>
              </w:rPr>
            </w:pPr>
          </w:p>
        </w:tc>
        <w:tc>
          <w:tcPr>
            <w:tcW w:w="933" w:type="dxa"/>
            <w:tcBorders>
              <w:top w:val="nil"/>
              <w:left w:val="nil"/>
              <w:bottom w:val="nil"/>
              <w:right w:val="nil"/>
            </w:tcBorders>
            <w:shd w:val="clear" w:color="auto" w:fill="auto"/>
            <w:noWrap/>
            <w:hideMark/>
          </w:tcPr>
          <w:p w:rsidRPr="00D00351" w:rsidR="006651A0" w:rsidP="00581747" w:rsidRDefault="006651A0" w14:paraId="0F5BC14F" w14:textId="77777777">
            <w:pPr>
              <w:widowControl/>
              <w:autoSpaceDE/>
              <w:autoSpaceDN/>
              <w:adjustRightInd/>
              <w:jc w:val="left"/>
            </w:pPr>
          </w:p>
        </w:tc>
        <w:tc>
          <w:tcPr>
            <w:tcW w:w="960" w:type="dxa"/>
            <w:tcBorders>
              <w:top w:val="nil"/>
              <w:left w:val="nil"/>
              <w:bottom w:val="nil"/>
              <w:right w:val="nil"/>
            </w:tcBorders>
            <w:shd w:val="clear" w:color="auto" w:fill="auto"/>
            <w:noWrap/>
            <w:hideMark/>
          </w:tcPr>
          <w:p w:rsidRPr="00D00351" w:rsidR="006651A0" w:rsidP="00581747" w:rsidRDefault="006651A0" w14:paraId="4E13AF91" w14:textId="77777777">
            <w:pPr>
              <w:widowControl/>
              <w:autoSpaceDE/>
              <w:autoSpaceDN/>
              <w:adjustRightInd/>
              <w:jc w:val="left"/>
            </w:pPr>
          </w:p>
        </w:tc>
        <w:tc>
          <w:tcPr>
            <w:tcW w:w="960" w:type="dxa"/>
            <w:tcBorders>
              <w:top w:val="nil"/>
              <w:left w:val="nil"/>
              <w:bottom w:val="nil"/>
              <w:right w:val="nil"/>
            </w:tcBorders>
            <w:shd w:val="clear" w:color="auto" w:fill="auto"/>
            <w:noWrap/>
            <w:hideMark/>
          </w:tcPr>
          <w:p w:rsidRPr="00D00351" w:rsidR="006651A0" w:rsidP="00581747" w:rsidRDefault="006651A0" w14:paraId="64432C88" w14:textId="77777777">
            <w:pPr>
              <w:widowControl/>
              <w:autoSpaceDE/>
              <w:autoSpaceDN/>
              <w:adjustRightInd/>
              <w:jc w:val="left"/>
            </w:pPr>
          </w:p>
        </w:tc>
        <w:tc>
          <w:tcPr>
            <w:tcW w:w="960" w:type="dxa"/>
            <w:tcBorders>
              <w:top w:val="nil"/>
              <w:left w:val="nil"/>
              <w:bottom w:val="nil"/>
              <w:right w:val="nil"/>
            </w:tcBorders>
            <w:shd w:val="clear" w:color="auto" w:fill="auto"/>
            <w:noWrap/>
            <w:hideMark/>
          </w:tcPr>
          <w:p w:rsidRPr="00D00351" w:rsidR="006651A0" w:rsidP="00581747" w:rsidRDefault="006651A0" w14:paraId="00105BF7" w14:textId="77777777">
            <w:pPr>
              <w:widowControl/>
              <w:autoSpaceDE/>
              <w:autoSpaceDN/>
              <w:adjustRightInd/>
              <w:jc w:val="left"/>
            </w:pPr>
          </w:p>
        </w:tc>
      </w:tr>
      <w:tr w:rsidRPr="00981F19" w:rsidR="006651A0" w:rsidTr="00581747" w14:paraId="3540E790" w14:textId="77777777">
        <w:trPr>
          <w:trHeight w:val="300"/>
        </w:trPr>
        <w:tc>
          <w:tcPr>
            <w:tcW w:w="222" w:type="dxa"/>
            <w:tcBorders>
              <w:top w:val="nil"/>
              <w:left w:val="nil"/>
              <w:bottom w:val="nil"/>
              <w:right w:val="nil"/>
            </w:tcBorders>
            <w:shd w:val="clear" w:color="auto" w:fill="auto"/>
            <w:noWrap/>
            <w:hideMark/>
          </w:tcPr>
          <w:p w:rsidRPr="00D00351" w:rsidR="006651A0" w:rsidP="00581747" w:rsidRDefault="006651A0" w14:paraId="61211EC3" w14:textId="77777777">
            <w:pPr>
              <w:widowControl/>
              <w:autoSpaceDE/>
              <w:autoSpaceDN/>
              <w:adjustRightInd/>
              <w:jc w:val="left"/>
            </w:pPr>
          </w:p>
        </w:tc>
        <w:tc>
          <w:tcPr>
            <w:tcW w:w="222" w:type="dxa"/>
            <w:tcBorders>
              <w:top w:val="nil"/>
              <w:left w:val="nil"/>
              <w:bottom w:val="nil"/>
              <w:right w:val="nil"/>
            </w:tcBorders>
            <w:shd w:val="clear" w:color="auto" w:fill="auto"/>
            <w:noWrap/>
            <w:hideMark/>
          </w:tcPr>
          <w:p w:rsidRPr="00D00351" w:rsidR="006651A0" w:rsidP="00581747" w:rsidRDefault="006651A0" w14:paraId="4EA618D7" w14:textId="77777777">
            <w:pPr>
              <w:widowControl/>
              <w:autoSpaceDE/>
              <w:autoSpaceDN/>
              <w:adjustRightInd/>
              <w:jc w:val="left"/>
            </w:pPr>
          </w:p>
        </w:tc>
        <w:tc>
          <w:tcPr>
            <w:tcW w:w="450" w:type="dxa"/>
            <w:tcBorders>
              <w:top w:val="nil"/>
              <w:left w:val="nil"/>
              <w:bottom w:val="nil"/>
              <w:right w:val="nil"/>
            </w:tcBorders>
            <w:shd w:val="clear" w:color="auto" w:fill="auto"/>
            <w:noWrap/>
            <w:hideMark/>
          </w:tcPr>
          <w:p w:rsidRPr="00981F19" w:rsidR="006651A0" w:rsidP="00581747" w:rsidRDefault="006651A0" w14:paraId="5513DD5A" w14:textId="77777777">
            <w:pPr>
              <w:widowControl/>
              <w:autoSpaceDE/>
              <w:autoSpaceDN/>
              <w:adjustRightInd/>
              <w:jc w:val="left"/>
              <w:rPr>
                <w:color w:val="000000"/>
              </w:rPr>
            </w:pPr>
            <w:r w:rsidRPr="00981F19">
              <w:rPr>
                <w:color w:val="000000"/>
              </w:rPr>
              <w:t>(3)</w:t>
            </w:r>
          </w:p>
        </w:tc>
        <w:tc>
          <w:tcPr>
            <w:tcW w:w="9181" w:type="dxa"/>
            <w:gridSpan w:val="7"/>
            <w:tcBorders>
              <w:top w:val="nil"/>
              <w:left w:val="nil"/>
              <w:bottom w:val="nil"/>
              <w:right w:val="nil"/>
            </w:tcBorders>
            <w:shd w:val="clear" w:color="auto" w:fill="auto"/>
            <w:noWrap/>
            <w:hideMark/>
          </w:tcPr>
          <w:p w:rsidRPr="00981F19" w:rsidR="006651A0" w:rsidP="00E671A2" w:rsidRDefault="006651A0" w14:paraId="761F9916" w14:textId="3B4BA137">
            <w:pPr>
              <w:widowControl/>
              <w:autoSpaceDE/>
              <w:autoSpaceDN/>
              <w:adjustRightInd/>
              <w:jc w:val="left"/>
              <w:rPr>
                <w:color w:val="000000"/>
              </w:rPr>
            </w:pPr>
            <w:r w:rsidRPr="00981F19">
              <w:rPr>
                <w:color w:val="000000"/>
              </w:rPr>
              <w:t xml:space="preserve">Market Value (which does not include accrued income) as of </w:t>
            </w:r>
            <w:r w:rsidR="00E671A2">
              <w:rPr>
                <w:color w:val="000000"/>
              </w:rPr>
              <w:t>June 30, 2024</w:t>
            </w:r>
            <w:r w:rsidRPr="00981F19">
              <w:rPr>
                <w:color w:val="000000"/>
              </w:rPr>
              <w:t>, based on</w:t>
            </w:r>
            <w:r>
              <w:rPr>
                <w:color w:val="000000"/>
              </w:rPr>
              <w:t xml:space="preserve"> </w:t>
            </w:r>
            <w:r w:rsidRPr="00B131AE">
              <w:rPr>
                <w:color w:val="000000"/>
              </w:rPr>
              <w:t>information</w:t>
            </w:r>
            <w:r>
              <w:rPr>
                <w:color w:val="000000"/>
              </w:rPr>
              <w:t xml:space="preserve"> provided by the Trustee as of such date.</w:t>
            </w:r>
          </w:p>
        </w:tc>
      </w:tr>
    </w:tbl>
    <w:p w:rsidR="006651A0" w:rsidP="006651A0" w:rsidRDefault="006651A0" w14:paraId="160061D9" w14:textId="77777777">
      <w:pPr>
        <w:pStyle w:val="BodyTextFirstIndent"/>
      </w:pPr>
    </w:p>
    <w:p w:rsidRPr="00B34407" w:rsidR="00863D54" w:rsidP="00AF72E5" w:rsidRDefault="00E47A7C" w14:paraId="393EF44A" w14:textId="309941AC">
      <w:pPr>
        <w:pStyle w:val="BodyTextFirstIndent"/>
      </w:pPr>
      <w:bookmarkStart w:name="ElPgBr10" w:id="67"/>
      <w:bookmarkEnd w:id="67"/>
      <w:r>
        <w:t xml:space="preserve">The </w:t>
      </w:r>
      <w:r w:rsidR="00C7294C">
        <w:t>2024 Series C</w:t>
      </w:r>
      <w:r w:rsidR="005B3036">
        <w:t xml:space="preserve"> Bond</w:t>
      </w:r>
      <w:r w:rsidR="006C550F">
        <w:t>s</w:t>
      </w:r>
      <w:r>
        <w:t xml:space="preserve"> are special obligations of the Authority, payable solely from and secured exclusively by certain Revenues (as defined herein) and assets pledged to the payment thereof under the Indenture.</w:t>
      </w:r>
      <w:bookmarkStart w:name="_DV_M197" w:id="68"/>
      <w:bookmarkEnd w:id="68"/>
      <w:r>
        <w:t xml:space="preserve">  </w:t>
      </w:r>
      <w:r w:rsidR="00830735">
        <w:t xml:space="preserve">See </w:t>
      </w:r>
      <w:r w:rsidR="00C34AEA">
        <w:t>“</w:t>
      </w:r>
      <w:r w:rsidR="00830735">
        <w:t>SECURITY FOR BONDS</w:t>
      </w:r>
      <w:r w:rsidR="00C34AEA">
        <w:t>”</w:t>
      </w:r>
      <w:r w:rsidR="00830735">
        <w:t xml:space="preserve"> herein for additional information.</w:t>
      </w:r>
    </w:p>
    <w:p w:rsidR="00AF72E5" w:rsidP="00AF72E5" w:rsidRDefault="00AF72E5" w14:paraId="7EA76C2F" w14:textId="7E3F913A">
      <w:pPr>
        <w:pStyle w:val="BodyTextFirstIndent"/>
      </w:pPr>
      <w:bookmarkStart w:name="_DV_M203" w:id="69"/>
      <w:bookmarkEnd w:id="69"/>
      <w:r w:rsidRPr="00B34407">
        <w:t>THE STATE OF INDIANA</w:t>
      </w:r>
      <w:r w:rsidRPr="00B34407" w:rsidR="007B080C">
        <w:t xml:space="preserve"> (THE </w:t>
      </w:r>
      <w:r w:rsidR="00C34AEA">
        <w:t>“</w:t>
      </w:r>
      <w:r w:rsidRPr="00B34407" w:rsidR="007B080C">
        <w:rPr>
          <w:i/>
        </w:rPr>
        <w:t>STATE</w:t>
      </w:r>
      <w:r w:rsidR="00C34AEA">
        <w:t>”</w:t>
      </w:r>
      <w:r w:rsidRPr="00B34407" w:rsidR="007B080C">
        <w:t>)</w:t>
      </w:r>
      <w:r w:rsidRPr="00B34407">
        <w:t xml:space="preserve"> </w:t>
      </w:r>
      <w:r w:rsidRPr="00B34407" w:rsidR="00D827E3">
        <w:t xml:space="preserve">HAS NO LIABILITY WITH RESPECT TO </w:t>
      </w:r>
      <w:r w:rsidRPr="00B34407">
        <w:t xml:space="preserve">THE </w:t>
      </w:r>
      <w:r w:rsidR="00C7294C">
        <w:rPr>
          <w:caps/>
        </w:rPr>
        <w:t>2024 Series C</w:t>
      </w:r>
      <w:r w:rsidR="005B3036">
        <w:rPr>
          <w:caps/>
        </w:rPr>
        <w:t xml:space="preserve"> Bond</w:t>
      </w:r>
      <w:r w:rsidR="006C550F">
        <w:rPr>
          <w:caps/>
        </w:rPr>
        <w:t>s</w:t>
      </w:r>
      <w:r w:rsidRPr="00B34407">
        <w:t xml:space="preserve"> AND THE </w:t>
      </w:r>
      <w:r w:rsidR="00C7294C">
        <w:rPr>
          <w:caps/>
        </w:rPr>
        <w:t>2024 Series C</w:t>
      </w:r>
      <w:r w:rsidR="005B3036">
        <w:rPr>
          <w:caps/>
        </w:rPr>
        <w:t xml:space="preserve"> Bond</w:t>
      </w:r>
      <w:r w:rsidR="006C550F">
        <w:rPr>
          <w:caps/>
        </w:rPr>
        <w:t>s</w:t>
      </w:r>
      <w:r w:rsidRPr="00B34407">
        <w:t xml:space="preserve"> DO NOT CONSTITUTE A DEBT, LIABILITY OR GENERAL, MORAL OR OTHER OBLIGATION OF THE STATE OR ANY POLITICAL SUBDIVISION OR TAXING AUTHORITY THEREOF.  NEITHER THE FAITH AND CREDIT NOR THE TAXING POWER OF THE STATE OR ANY POLITICAL SUBDIVISION OR ANY TAXING AUTHORITY THEREOF IS PLEDGED TO THE PAYMENT OF THE PRINCIPAL OF OR PREMIUM, IF ANY, OR INTEREST ON THE </w:t>
      </w:r>
      <w:r w:rsidR="00C7294C">
        <w:rPr>
          <w:caps/>
        </w:rPr>
        <w:t>2024 Series C</w:t>
      </w:r>
      <w:r w:rsidR="005B3036">
        <w:rPr>
          <w:caps/>
        </w:rPr>
        <w:t xml:space="preserve"> Bond</w:t>
      </w:r>
      <w:r w:rsidR="006C550F">
        <w:rPr>
          <w:caps/>
        </w:rPr>
        <w:t>s</w:t>
      </w:r>
      <w:r w:rsidRPr="00B34407">
        <w:t>.  THE AUTHORITY HAS NO TAXING POWER.</w:t>
      </w:r>
    </w:p>
    <w:p w:rsidRPr="00B34407" w:rsidR="00D879C9" w:rsidP="00D879C9" w:rsidRDefault="00D879C9" w14:paraId="793FCE4A" w14:textId="77FF4D4C">
      <w:pPr>
        <w:pStyle w:val="BodyTextFirstIndent"/>
      </w:pPr>
      <w:r w:rsidRPr="00B34407">
        <w:t xml:space="preserve">The </w:t>
      </w:r>
      <w:r w:rsidR="00C7294C">
        <w:t>2024 Series C</w:t>
      </w:r>
      <w:r>
        <w:t xml:space="preserve"> Bond</w:t>
      </w:r>
      <w:r w:rsidRPr="00B34407">
        <w:t xml:space="preserve">s are being issued by the Authority to </w:t>
      </w:r>
      <w:r>
        <w:t xml:space="preserve">(i) </w:t>
      </w:r>
      <w:r w:rsidRPr="00B34407">
        <w:t xml:space="preserve">finance </w:t>
      </w:r>
      <w:r w:rsidR="00C7294C">
        <w:t>2024 Series C</w:t>
      </w:r>
      <w:r w:rsidRPr="00C65F41">
        <w:t xml:space="preserve"> Mortgage Loans</w:t>
      </w:r>
      <w:r w:rsidRPr="00B34407">
        <w:t xml:space="preserve"> (defined herein) under its single family mortgage loan program through the purchase of Mortgage Certificates, as more fully described herein</w:t>
      </w:r>
      <w:r>
        <w:t>; and (ii) provide down payment assistance in connection therewith.</w:t>
      </w:r>
      <w:r w:rsidRPr="000361CB">
        <w:t xml:space="preserve">  See </w:t>
      </w:r>
      <w:r>
        <w:t>“</w:t>
      </w:r>
      <w:r w:rsidRPr="000361CB">
        <w:t>FINANCING PLAN,</w:t>
      </w:r>
      <w:r>
        <w:t>”</w:t>
      </w:r>
      <w:r w:rsidRPr="000361CB">
        <w:t xml:space="preserve"> </w:t>
      </w:r>
      <w:r>
        <w:t>“</w:t>
      </w:r>
      <w:r w:rsidRPr="000361CB">
        <w:t>SOURCES AND USES OF FUNDS</w:t>
      </w:r>
      <w:r>
        <w:t>”</w:t>
      </w:r>
      <w:r w:rsidRPr="000361CB">
        <w:t xml:space="preserve"> and </w:t>
      </w:r>
      <w:r>
        <w:t>“</w:t>
      </w:r>
      <w:r w:rsidRPr="000361CB">
        <w:t>SINGLE FAMILY MORTGAGE PROGRAM</w:t>
      </w:r>
      <w:r>
        <w:t>”</w:t>
      </w:r>
      <w:r w:rsidRPr="000361CB">
        <w:t xml:space="preserve"> herein.  </w:t>
      </w:r>
    </w:p>
    <w:p w:rsidRPr="00B34407" w:rsidR="00AF72E5" w:rsidP="00AF72E5" w:rsidRDefault="00AF72E5" w14:paraId="0B98BBE3" w14:textId="182E24BE">
      <w:pPr>
        <w:pStyle w:val="BodyTextFirstIndent"/>
      </w:pPr>
      <w:bookmarkStart w:name="_DV_M205" w:id="70"/>
      <w:bookmarkEnd w:id="70"/>
      <w:r w:rsidRPr="00B34407">
        <w:t xml:space="preserve">The </w:t>
      </w:r>
      <w:r w:rsidR="00C7294C">
        <w:t>2024 Series C</w:t>
      </w:r>
      <w:r w:rsidR="005B3036">
        <w:t xml:space="preserve"> Bond</w:t>
      </w:r>
      <w:r w:rsidR="006C550F">
        <w:t>s</w:t>
      </w:r>
      <w:r w:rsidRPr="00B34407">
        <w:t xml:space="preserve"> will be registered in the name of Cede &amp; Co., as nominee for The Depository Trust Company, New York, New York (</w:t>
      </w:r>
      <w:r w:rsidR="00C34AEA">
        <w:t>“</w:t>
      </w:r>
      <w:r w:rsidRPr="00B34407">
        <w:rPr>
          <w:i/>
        </w:rPr>
        <w:t>DTC</w:t>
      </w:r>
      <w:r w:rsidR="00C34AEA">
        <w:t>”</w:t>
      </w:r>
      <w:r w:rsidRPr="00B34407">
        <w:t xml:space="preserve">).  Purchasers of beneficial interests in the </w:t>
      </w:r>
      <w:r w:rsidR="00C7294C">
        <w:t>2024 Series C</w:t>
      </w:r>
      <w:r w:rsidR="005B3036">
        <w:t xml:space="preserve"> Bond</w:t>
      </w:r>
      <w:r w:rsidR="006C550F">
        <w:t>s</w:t>
      </w:r>
      <w:r w:rsidRPr="00B34407">
        <w:t xml:space="preserve"> (the </w:t>
      </w:r>
      <w:r w:rsidR="00C34AEA">
        <w:t>“</w:t>
      </w:r>
      <w:r w:rsidRPr="00B34407">
        <w:rPr>
          <w:i/>
        </w:rPr>
        <w:t>Beneficial Owners</w:t>
      </w:r>
      <w:r w:rsidR="00C34AEA">
        <w:t>”</w:t>
      </w:r>
      <w:r w:rsidRPr="00B34407">
        <w:t xml:space="preserve">) will not receive physical delivery of certificates representing their interest in the </w:t>
      </w:r>
      <w:r w:rsidR="00C7294C">
        <w:t>2024 Series C</w:t>
      </w:r>
      <w:r w:rsidR="005B3036">
        <w:t xml:space="preserve"> Bond</w:t>
      </w:r>
      <w:r w:rsidR="006C550F">
        <w:t>s</w:t>
      </w:r>
      <w:r w:rsidRPr="00B34407">
        <w:t xml:space="preserve">. </w:t>
      </w:r>
      <w:r w:rsidR="006714AF">
        <w:t xml:space="preserve"> </w:t>
      </w:r>
      <w:r w:rsidRPr="00B34407">
        <w:t xml:space="preserve">Purchases of beneficial interests in the </w:t>
      </w:r>
      <w:r w:rsidR="00C7294C">
        <w:t>2024 Series C</w:t>
      </w:r>
      <w:r w:rsidR="005B3036">
        <w:t xml:space="preserve"> Bond</w:t>
      </w:r>
      <w:r w:rsidR="006C550F">
        <w:t>s</w:t>
      </w:r>
      <w:r w:rsidRPr="00B34407">
        <w:t xml:space="preserve"> may be made in book-entry-only form in denominations of $5,000 or any integral multiple thereof.  The </w:t>
      </w:r>
      <w:r w:rsidR="00C7294C">
        <w:t>2024 Series C</w:t>
      </w:r>
      <w:r w:rsidR="005B3036">
        <w:t xml:space="preserve"> Bond</w:t>
      </w:r>
      <w:r w:rsidR="006C550F">
        <w:t>s</w:t>
      </w:r>
      <w:r w:rsidRPr="00B34407">
        <w:t xml:space="preserve"> will bear interest from the date of their delivery, payable on </w:t>
      </w:r>
      <w:r w:rsidRPr="00B34407" w:rsidR="00134BBF">
        <w:t xml:space="preserve">January 1 </w:t>
      </w:r>
      <w:r w:rsidRPr="00B34407">
        <w:t xml:space="preserve">and </w:t>
      </w:r>
      <w:r w:rsidRPr="00B34407" w:rsidR="00134BBF">
        <w:t xml:space="preserve">July 1 </w:t>
      </w:r>
      <w:r w:rsidRPr="00B34407">
        <w:t>of each year</w:t>
      </w:r>
      <w:r w:rsidRPr="00B34407" w:rsidR="00806428">
        <w:t xml:space="preserve"> </w:t>
      </w:r>
      <w:r w:rsidRPr="00B34407" w:rsidR="001C61A4">
        <w:t xml:space="preserve">(each an </w:t>
      </w:r>
      <w:r w:rsidR="00C34AEA">
        <w:t>“</w:t>
      </w:r>
      <w:r w:rsidRPr="00B34407" w:rsidR="001C61A4">
        <w:rPr>
          <w:i/>
        </w:rPr>
        <w:t>Interest Payment Date</w:t>
      </w:r>
      <w:r w:rsidR="00C34AEA">
        <w:t>”</w:t>
      </w:r>
      <w:r w:rsidRPr="00B34407" w:rsidR="001C61A4">
        <w:t>)</w:t>
      </w:r>
      <w:r w:rsidRPr="00B34407" w:rsidR="00D827E3">
        <w:t xml:space="preserve"> commen</w:t>
      </w:r>
      <w:r w:rsidRPr="00B34407" w:rsidR="0014068D">
        <w:t>c</w:t>
      </w:r>
      <w:r w:rsidR="00C87199">
        <w:t xml:space="preserve">ing on </w:t>
      </w:r>
      <w:r w:rsidR="006E60FF">
        <w:t>January</w:t>
      </w:r>
      <w:r w:rsidR="001B311A">
        <w:t xml:space="preserve"> 1, 202</w:t>
      </w:r>
      <w:r w:rsidR="006E60FF">
        <w:t>5</w:t>
      </w:r>
      <w:r w:rsidRPr="00BF0A3B" w:rsidR="0014068D">
        <w:t>,</w:t>
      </w:r>
      <w:r w:rsidRPr="00BF0A3B" w:rsidR="001C61A4">
        <w:t xml:space="preserve"> </w:t>
      </w:r>
      <w:r w:rsidRPr="00BF0A3B">
        <w:t>at the rates</w:t>
      </w:r>
      <w:r w:rsidRPr="00B34407">
        <w:t xml:space="preserve"> per annum and will mature in the corresponding amounts </w:t>
      </w:r>
      <w:r w:rsidRPr="00B34407" w:rsidR="0014068D">
        <w:t xml:space="preserve">all as </w:t>
      </w:r>
      <w:r w:rsidRPr="00B34407">
        <w:t>set forth on the inside cover page</w:t>
      </w:r>
      <w:r w:rsidR="00B15CA4">
        <w:t>s</w:t>
      </w:r>
      <w:r w:rsidRPr="00B34407">
        <w:t xml:space="preserve"> of this Official Statement.  See </w:t>
      </w:r>
      <w:r w:rsidR="00C34AEA">
        <w:t>“</w:t>
      </w:r>
      <w:r w:rsidRPr="00B34407">
        <w:rPr>
          <w:caps/>
        </w:rPr>
        <w:t>T</w:t>
      </w:r>
      <w:r w:rsidRPr="00B34407" w:rsidR="001C61A4">
        <w:rPr>
          <w:caps/>
        </w:rPr>
        <w:t>he</w:t>
      </w:r>
      <w:r w:rsidRPr="00B34407">
        <w:rPr>
          <w:caps/>
        </w:rPr>
        <w:t xml:space="preserve"> </w:t>
      </w:r>
      <w:r w:rsidR="00C7294C">
        <w:rPr>
          <w:caps/>
        </w:rPr>
        <w:t>2024 Series C</w:t>
      </w:r>
      <w:r w:rsidR="005B3036">
        <w:rPr>
          <w:caps/>
        </w:rPr>
        <w:t xml:space="preserve"> Bond</w:t>
      </w:r>
      <w:r w:rsidR="006C550F">
        <w:rPr>
          <w:caps/>
        </w:rPr>
        <w:t>s</w:t>
      </w:r>
      <w:r w:rsidR="00C34AEA">
        <w:t>”</w:t>
      </w:r>
      <w:r w:rsidRPr="00B34407">
        <w:t xml:space="preserve"> herein.</w:t>
      </w:r>
    </w:p>
    <w:p w:rsidRPr="00B34407" w:rsidR="00AF72E5" w:rsidP="00AF72E5" w:rsidRDefault="00AF72E5" w14:paraId="7D6CB2A0" w14:textId="501532D9">
      <w:pPr>
        <w:pStyle w:val="BodyTextFirstIndent"/>
      </w:pPr>
      <w:bookmarkStart w:name="_DV_M206" w:id="71"/>
      <w:bookmarkEnd w:id="71"/>
      <w:r w:rsidRPr="00B34407">
        <w:t xml:space="preserve">Interest on the </w:t>
      </w:r>
      <w:r w:rsidR="00C7294C">
        <w:t>2024 Series C</w:t>
      </w:r>
      <w:r w:rsidR="005B3036">
        <w:t xml:space="preserve"> Bond</w:t>
      </w:r>
      <w:r w:rsidR="006C550F">
        <w:t>s</w:t>
      </w:r>
      <w:r w:rsidRPr="00B34407">
        <w:t xml:space="preserve">, together with principal of and redemption premium, if any, on the </w:t>
      </w:r>
      <w:r w:rsidR="00C7294C">
        <w:t>2024 Series C</w:t>
      </w:r>
      <w:r w:rsidR="005B3036">
        <w:t xml:space="preserve"> Bond</w:t>
      </w:r>
      <w:r w:rsidR="006C550F">
        <w:t>s</w:t>
      </w:r>
      <w:r w:rsidRPr="00B34407">
        <w:t xml:space="preserve">, will be paid by The Bank of New York </w:t>
      </w:r>
      <w:r w:rsidR="00D3106A">
        <w:t>Mellon Trust Company, N.A.</w:t>
      </w:r>
      <w:r w:rsidRPr="00B34407">
        <w:t xml:space="preserve">, as paying agent (such paying agent, together with any successor or successors or any other person substituted in its place pursuant to the Indenture, the </w:t>
      </w:r>
      <w:r w:rsidR="00C34AEA">
        <w:t>“</w:t>
      </w:r>
      <w:r w:rsidRPr="00B34407">
        <w:rPr>
          <w:i/>
        </w:rPr>
        <w:t>Paying Agent</w:t>
      </w:r>
      <w:r w:rsidR="00C34AEA">
        <w:t>”</w:t>
      </w:r>
      <w:r w:rsidRPr="00B34407">
        <w:t xml:space="preserve">), directly to DTC, so long as DTC or its nominee is the registered owner of the </w:t>
      </w:r>
      <w:r w:rsidR="00C7294C">
        <w:t>2024 Series C</w:t>
      </w:r>
      <w:r w:rsidR="005B3036">
        <w:t xml:space="preserve"> Bond</w:t>
      </w:r>
      <w:r w:rsidR="006C550F">
        <w:t>s</w:t>
      </w:r>
      <w:r w:rsidRPr="00B34407">
        <w:t xml:space="preserve">.  The disbursement of such payments to Beneficial Owners will be the responsibility of the DTC Participants and Indirect Participants, as more fully described herein.  See </w:t>
      </w:r>
      <w:r w:rsidR="00C34AEA">
        <w:t>“</w:t>
      </w:r>
      <w:r w:rsidRPr="00B34407">
        <w:t>BOOK-ENTRY-ONLY SYSTEM.</w:t>
      </w:r>
      <w:r w:rsidR="00C34AEA">
        <w:t>”</w:t>
      </w:r>
      <w:r w:rsidRPr="00B34407">
        <w:t xml:space="preserve">  In the event that the </w:t>
      </w:r>
      <w:r w:rsidR="00C7294C">
        <w:t>2024 Series C</w:t>
      </w:r>
      <w:r w:rsidR="005B3036">
        <w:t xml:space="preserve"> Bond</w:t>
      </w:r>
      <w:r w:rsidR="006C550F">
        <w:t>s</w:t>
      </w:r>
      <w:r w:rsidRPr="00B34407">
        <w:t xml:space="preserve"> are no longer held in book-entry form</w:t>
      </w:r>
      <w:r w:rsidRPr="00B34407" w:rsidR="0014068D">
        <w:t>, all payments</w:t>
      </w:r>
      <w:r w:rsidRPr="00B34407">
        <w:t xml:space="preserve"> on the </w:t>
      </w:r>
      <w:r w:rsidR="00C7294C">
        <w:t>2024 Series C</w:t>
      </w:r>
      <w:r w:rsidR="005B3036">
        <w:t xml:space="preserve"> Bond</w:t>
      </w:r>
      <w:r w:rsidR="006C550F">
        <w:t>s</w:t>
      </w:r>
      <w:r w:rsidRPr="00B34407">
        <w:t xml:space="preserve"> will be payable at the corporate trust operations office of the Paying Agent.</w:t>
      </w:r>
    </w:p>
    <w:p w:rsidRPr="00982CD9" w:rsidR="00CA7137" w:rsidP="00AA223A" w:rsidRDefault="00417975" w14:paraId="64BBC065" w14:textId="0715CB35">
      <w:pPr>
        <w:pStyle w:val="BodyTextFirstIndent"/>
      </w:pPr>
      <w:bookmarkStart w:name="_DV_M207" w:id="72"/>
      <w:bookmarkEnd w:id="72"/>
      <w:r w:rsidRPr="00620DFE">
        <w:t xml:space="preserve">The </w:t>
      </w:r>
      <w:r w:rsidR="00C7294C">
        <w:t>2024 Series C</w:t>
      </w:r>
      <w:r w:rsidR="005B3036">
        <w:t xml:space="preserve"> Bond</w:t>
      </w:r>
      <w:r w:rsidR="006C550F">
        <w:t>s</w:t>
      </w:r>
      <w:r w:rsidRPr="00620DFE">
        <w:t xml:space="preserve"> are subject</w:t>
      </w:r>
      <w:r w:rsidRPr="00620DFE" w:rsidR="00AF72E5">
        <w:t xml:space="preserve"> to mandatory, optional and special redemption prior to maturity, including redemption at par from prepayments, repayments and excess revenues attributable to the </w:t>
      </w:r>
      <w:r w:rsidR="00C7294C">
        <w:t>2024 Series C</w:t>
      </w:r>
      <w:r w:rsidR="005B3036">
        <w:t xml:space="preserve"> Bond</w:t>
      </w:r>
      <w:r w:rsidR="006C550F">
        <w:t>s</w:t>
      </w:r>
      <w:r w:rsidRPr="00620DFE" w:rsidR="00AF72E5">
        <w:t xml:space="preserve"> and other Bonds issued under the Indenture and from other sources, and </w:t>
      </w:r>
      <w:r w:rsidRPr="00620DFE" w:rsidR="00863D54">
        <w:t xml:space="preserve">the </w:t>
      </w:r>
      <w:r w:rsidR="00C7294C">
        <w:t>2024 Series C</w:t>
      </w:r>
      <w:r w:rsidR="005B3036">
        <w:t xml:space="preserve"> Bond</w:t>
      </w:r>
      <w:r w:rsidR="006C550F">
        <w:t>s</w:t>
      </w:r>
      <w:r w:rsidRPr="00620DFE" w:rsidR="00863D54">
        <w:t xml:space="preserve"> are also subject to redemption </w:t>
      </w:r>
      <w:r w:rsidRPr="00620DFE" w:rsidR="00AF72E5">
        <w:t xml:space="preserve">from certain unexpended amounts attributable to the </w:t>
      </w:r>
      <w:r w:rsidR="00C7294C">
        <w:t>2024 Series C</w:t>
      </w:r>
      <w:r w:rsidR="005B3036">
        <w:t xml:space="preserve"> Bond</w:t>
      </w:r>
      <w:r w:rsidR="006C550F">
        <w:t>s</w:t>
      </w:r>
      <w:r w:rsidRPr="00620DFE" w:rsidR="00CA7137">
        <w:t>.</w:t>
      </w:r>
    </w:p>
    <w:p w:rsidR="008E4134" w:rsidP="008E4134" w:rsidRDefault="00AF72E5" w14:paraId="11D0C467" w14:textId="5ECDC6A6">
      <w:pPr>
        <w:pStyle w:val="BodyTextFirstIndent"/>
      </w:pPr>
      <w:r w:rsidRPr="00585ACE">
        <w:rPr>
          <w:b/>
          <w:bCs/>
        </w:rPr>
        <w:t xml:space="preserve">It is expected that a substantial portion of the </w:t>
      </w:r>
      <w:r w:rsidR="00C7294C">
        <w:rPr>
          <w:b/>
          <w:bCs/>
        </w:rPr>
        <w:t>2024 Series C</w:t>
      </w:r>
      <w:r w:rsidR="005B3036">
        <w:rPr>
          <w:b/>
          <w:bCs/>
        </w:rPr>
        <w:t xml:space="preserve"> Bond</w:t>
      </w:r>
      <w:r w:rsidR="006C550F">
        <w:rPr>
          <w:b/>
          <w:bCs/>
        </w:rPr>
        <w:t>s</w:t>
      </w:r>
      <w:r w:rsidRPr="00982CD9" w:rsidR="000E4768">
        <w:rPr>
          <w:b/>
          <w:bCs/>
        </w:rPr>
        <w:t xml:space="preserve"> </w:t>
      </w:r>
      <w:r w:rsidRPr="00585ACE" w:rsidR="0014068D">
        <w:rPr>
          <w:b/>
          <w:bCs/>
        </w:rPr>
        <w:t>will</w:t>
      </w:r>
      <w:r w:rsidRPr="00585ACE">
        <w:rPr>
          <w:b/>
          <w:bCs/>
        </w:rPr>
        <w:t xml:space="preserve"> be redeemed prior to their stated maturity</w:t>
      </w:r>
      <w:r w:rsidRPr="00585ACE" w:rsidR="008F002F">
        <w:rPr>
          <w:b/>
          <w:bCs/>
        </w:rPr>
        <w:t xml:space="preserve"> </w:t>
      </w:r>
      <w:r w:rsidRPr="00585ACE" w:rsidR="002A57E0">
        <w:rPr>
          <w:b/>
          <w:bCs/>
        </w:rPr>
        <w:t>dates</w:t>
      </w:r>
      <w:r w:rsidRPr="00585ACE">
        <w:rPr>
          <w:b/>
          <w:bCs/>
        </w:rPr>
        <w:t xml:space="preserve"> or scheduled mandatory sinking fund redemption dates.</w:t>
      </w:r>
      <w:r w:rsidRPr="00EB1000" w:rsidR="008E4134">
        <w:rPr>
          <w:bCs/>
        </w:rPr>
        <w:t xml:space="preserve"> </w:t>
      </w:r>
      <w:r w:rsidRPr="00EB1000" w:rsidR="00E41982">
        <w:t xml:space="preserve"> </w:t>
      </w:r>
      <w:r w:rsidRPr="00F34EA0">
        <w:t xml:space="preserve">See </w:t>
      </w:r>
      <w:r w:rsidR="00C34AEA">
        <w:t>“</w:t>
      </w:r>
      <w:r w:rsidRPr="00620DFE">
        <w:t xml:space="preserve">REDEMPTION OF </w:t>
      </w:r>
      <w:r w:rsidR="00C7294C">
        <w:t xml:space="preserve">2024 </w:t>
      </w:r>
      <w:r w:rsidR="006875B6">
        <w:t>SERIES</w:t>
      </w:r>
      <w:r w:rsidR="00C7294C">
        <w:t xml:space="preserve"> C</w:t>
      </w:r>
      <w:r w:rsidR="009E319D">
        <w:t xml:space="preserve"> BONDS</w:t>
      </w:r>
      <w:r w:rsidR="00C34AEA">
        <w:t>”</w:t>
      </w:r>
      <w:r w:rsidRPr="00585ACE">
        <w:t xml:space="preserve"> and </w:t>
      </w:r>
      <w:r w:rsidR="00C34AEA">
        <w:t>“</w:t>
      </w:r>
      <w:r w:rsidRPr="00585ACE">
        <w:t>RISK FACTORS—Prepayments</w:t>
      </w:r>
      <w:r w:rsidR="00C34AEA">
        <w:t>”</w:t>
      </w:r>
      <w:r w:rsidRPr="00EB1000" w:rsidR="00C835BC">
        <w:t xml:space="preserve"> </w:t>
      </w:r>
      <w:r w:rsidRPr="00EB1000" w:rsidR="00863D54">
        <w:t xml:space="preserve">and </w:t>
      </w:r>
      <w:r w:rsidR="00C34AEA">
        <w:t>“</w:t>
      </w:r>
      <w:r w:rsidRPr="00F34EA0" w:rsidR="004B25C6">
        <w:t>—</w:t>
      </w:r>
      <w:r w:rsidRPr="00F34EA0" w:rsidR="00863D54">
        <w:t>Non-Origination</w:t>
      </w:r>
      <w:r w:rsidR="00C34AEA">
        <w:t>”</w:t>
      </w:r>
      <w:r w:rsidRPr="00F34EA0" w:rsidR="007170AA">
        <w:t xml:space="preserve"> herein</w:t>
      </w:r>
      <w:r w:rsidRPr="00F34EA0" w:rsidR="00863D54">
        <w:t>.</w:t>
      </w:r>
    </w:p>
    <w:p w:rsidRPr="00B34407" w:rsidR="00AF72E5" w:rsidP="00AF72E5" w:rsidRDefault="00AF72E5" w14:paraId="110B5181" w14:textId="03F8CAA4">
      <w:pPr>
        <w:pStyle w:val="BodyTextFirstIndent"/>
      </w:pPr>
      <w:bookmarkStart w:name="_DV_M208" w:id="73"/>
      <w:bookmarkStart w:name="_DV_M212" w:id="74"/>
      <w:bookmarkEnd w:id="73"/>
      <w:bookmarkEnd w:id="74"/>
      <w:r w:rsidRPr="00B34407">
        <w:lastRenderedPageBreak/>
        <w:t xml:space="preserve">This Official Statement speaks only as of its date, and the information contained herein is subject to change.  The information contained under this caption </w:t>
      </w:r>
      <w:r w:rsidR="00C34AEA">
        <w:t>“</w:t>
      </w:r>
      <w:r w:rsidRPr="00B34407">
        <w:t>INTRODUCTION</w:t>
      </w:r>
      <w:r w:rsidR="00C34AEA">
        <w:t>”</w:t>
      </w:r>
      <w:r w:rsidRPr="00B34407">
        <w:t xml:space="preserve"> is qualified by reference to the entire Official Statement.  This introduction is only a brief description and potential investors should review the entire Official </w:t>
      </w:r>
      <w:bookmarkStart w:name="ElPgBr11" w:id="75"/>
      <w:bookmarkEnd w:id="75"/>
      <w:r w:rsidRPr="00B34407">
        <w:t>Statement, including the appendices hereto, as well as the documents summarized or described herein, in order to make an informed investment decision.</w:t>
      </w:r>
    </w:p>
    <w:p w:rsidRPr="00B34407" w:rsidR="00AF72E5" w:rsidP="00AF72E5" w:rsidRDefault="00AF72E5" w14:paraId="7A426A2C" w14:textId="194B57E3">
      <w:pPr>
        <w:pStyle w:val="BodyTextFirstIndent"/>
      </w:pPr>
      <w:bookmarkStart w:name="_DV_M213" w:id="76"/>
      <w:bookmarkEnd w:id="76"/>
      <w:r w:rsidRPr="00B34407">
        <w:t xml:space="preserve">Information concerning the </w:t>
      </w:r>
      <w:r w:rsidR="00C7294C">
        <w:t>2024 Series C</w:t>
      </w:r>
      <w:r w:rsidR="005B3036">
        <w:t xml:space="preserve"> Bond</w:t>
      </w:r>
      <w:r w:rsidR="006C550F">
        <w:t>s</w:t>
      </w:r>
      <w:r w:rsidRPr="00B34407">
        <w:t>, the Authority and the Program</w:t>
      </w:r>
      <w:r w:rsidRPr="00B34407" w:rsidR="007608AB">
        <w:t>s</w:t>
      </w:r>
      <w:r w:rsidRPr="00B34407" w:rsidR="008C19E7">
        <w:t xml:space="preserve"> (as defined herein)</w:t>
      </w:r>
      <w:r w:rsidRPr="00B34407">
        <w:t xml:space="preserve"> and descriptions of certain provisions of the Act, the </w:t>
      </w:r>
      <w:r w:rsidR="00C7294C">
        <w:t>2024 Series C</w:t>
      </w:r>
      <w:r w:rsidR="005B3036">
        <w:t xml:space="preserve"> Bond</w:t>
      </w:r>
      <w:r w:rsidR="006C550F">
        <w:t>s</w:t>
      </w:r>
      <w:r w:rsidRPr="00B34407">
        <w:t xml:space="preserve"> and the Indenture are included in this Official Statement.  All summaries herein of any statute, agreement or document are qualified in their entirety by reference to such statute, agreement or document, and all summaries of the </w:t>
      </w:r>
      <w:r w:rsidR="00C7294C">
        <w:t>2024 Series C</w:t>
      </w:r>
      <w:r w:rsidR="005B3036">
        <w:t xml:space="preserve"> Bond</w:t>
      </w:r>
      <w:r w:rsidR="006C550F">
        <w:t>s</w:t>
      </w:r>
      <w:r w:rsidRPr="00B34407">
        <w:t xml:space="preserve"> are qualified in their entirety by reference to the definitive form thereof and the information with respect thereto contained in the Indenture.  Copies of the Indenture are available for inspection at the offices of the Authority at 30 S</w:t>
      </w:r>
      <w:r w:rsidRPr="00B34407" w:rsidR="00887B56">
        <w:t>outh Meridian Street, Suite 900</w:t>
      </w:r>
      <w:r w:rsidRPr="00B34407">
        <w:t>, Indianapolis, Indiana 46204</w:t>
      </w:r>
      <w:r w:rsidRPr="00B34407">
        <w:noBreakHyphen/>
        <w:t>3564, (317) 232</w:t>
      </w:r>
      <w:r w:rsidRPr="00B34407">
        <w:noBreakHyphen/>
        <w:t>7777,</w:t>
      </w:r>
      <w:r w:rsidR="00D3106A">
        <w:t xml:space="preserve"> or electronically by making a request to </w:t>
      </w:r>
      <w:r w:rsidR="003A30CF">
        <w:t>Series</w:t>
      </w:r>
      <w:r w:rsidR="00F26ED6">
        <w:t>2024C</w:t>
      </w:r>
      <w:r w:rsidRPr="000A5E86" w:rsidR="00D3106A">
        <w:t>@ihcda.in.gov,</w:t>
      </w:r>
      <w:r w:rsidRPr="00B34407">
        <w:t xml:space="preserve"> and, during the offering period for the </w:t>
      </w:r>
      <w:r w:rsidR="00C7294C">
        <w:t>2024 Series C</w:t>
      </w:r>
      <w:r w:rsidR="005B3036">
        <w:t xml:space="preserve"> Bond</w:t>
      </w:r>
      <w:r w:rsidR="006C550F">
        <w:t>s</w:t>
      </w:r>
      <w:r w:rsidRPr="00B34407">
        <w:t>, at the offices of the Underwriters</w:t>
      </w:r>
      <w:r w:rsidR="00FC5C48">
        <w:t xml:space="preserve">, located at </w:t>
      </w:r>
      <w:r w:rsidR="00DC388C">
        <w:t>225 Franklin Street, 21</w:t>
      </w:r>
      <w:r w:rsidRPr="00DC388C" w:rsidR="00DC388C">
        <w:rPr>
          <w:vertAlign w:val="superscript"/>
        </w:rPr>
        <w:t>st</w:t>
      </w:r>
      <w:r w:rsidR="00DC388C">
        <w:t xml:space="preserve"> Floor, Boston, MA, 02110</w:t>
      </w:r>
      <w:r w:rsidR="002D6533">
        <w:t>, Attention Municipal Underwriting Desk</w:t>
      </w:r>
      <w:r w:rsidRPr="00B34407">
        <w:t>.</w:t>
      </w:r>
    </w:p>
    <w:p w:rsidRPr="00B34407" w:rsidR="009A72C5" w:rsidP="00AF72E5" w:rsidRDefault="00AF72E5" w14:paraId="60F00F8C" w14:textId="3A71C452">
      <w:pPr>
        <w:pStyle w:val="BodyTextFirstIndent"/>
      </w:pPr>
      <w:bookmarkStart w:name="_DV_M214" w:id="77"/>
      <w:bookmarkEnd w:id="77"/>
      <w:r w:rsidRPr="00B34407">
        <w:t xml:space="preserve">The Authority will enter into a Continuing Disclosure </w:t>
      </w:r>
      <w:r w:rsidRPr="00B34407" w:rsidR="009A72C5">
        <w:t>Undertaking Agreement dated as of</w:t>
      </w:r>
      <w:r w:rsidR="00094D30">
        <w:t xml:space="preserve"> </w:t>
      </w:r>
      <w:r w:rsidR="002D34C5">
        <w:t>August 1, 2024</w:t>
      </w:r>
      <w:r w:rsidRPr="00B34407" w:rsidR="009A72C5">
        <w:t xml:space="preserve">, </w:t>
      </w:r>
      <w:r w:rsidRPr="00B34407">
        <w:t xml:space="preserve">for the purpose of permitting the Underwriters to purchase the </w:t>
      </w:r>
      <w:r w:rsidR="00C7294C">
        <w:t>2024 Series C</w:t>
      </w:r>
      <w:r w:rsidR="005B3036">
        <w:t xml:space="preserve"> Bond</w:t>
      </w:r>
      <w:r w:rsidR="006C550F">
        <w:t>s</w:t>
      </w:r>
      <w:r w:rsidRPr="00B34407">
        <w:t xml:space="preserve"> in compliance with the Securities and Exchange Commission Rule 15c2</w:t>
      </w:r>
      <w:r w:rsidRPr="00B34407">
        <w:noBreakHyphen/>
        <w:t xml:space="preserve">12.  See </w:t>
      </w:r>
      <w:r w:rsidR="00C34AEA">
        <w:t>“</w:t>
      </w:r>
      <w:r w:rsidRPr="00B34407">
        <w:t>CONTINUING DISCLOSURE</w:t>
      </w:r>
      <w:r w:rsidR="00C34AEA">
        <w:t>”</w:t>
      </w:r>
      <w:r w:rsidRPr="00B34407">
        <w:t xml:space="preserve"> </w:t>
      </w:r>
      <w:r w:rsidRPr="00B34407" w:rsidR="004C2668">
        <w:t xml:space="preserve">herein </w:t>
      </w:r>
      <w:r w:rsidRPr="00B34407">
        <w:t xml:space="preserve">and </w:t>
      </w:r>
      <w:r w:rsidR="00C34AEA">
        <w:t>“</w:t>
      </w:r>
      <w:r w:rsidRPr="00B34407">
        <w:t>APPENDIX E:  CONTINUING DISCLOSURE UNDERTAKING AGREEMENT</w:t>
      </w:r>
      <w:r w:rsidR="00C34AEA">
        <w:t>”</w:t>
      </w:r>
      <w:r w:rsidRPr="00B34407" w:rsidR="0062749C">
        <w:t xml:space="preserve"> attached hereto.</w:t>
      </w:r>
      <w:r w:rsidRPr="00B34407" w:rsidR="001C61A4">
        <w:t xml:space="preserve"> </w:t>
      </w:r>
      <w:bookmarkStart w:name="_DV_M215" w:id="78"/>
      <w:bookmarkEnd w:id="78"/>
    </w:p>
    <w:p w:rsidRPr="00B34407" w:rsidR="00AF72E5" w:rsidP="00AF72E5" w:rsidRDefault="00AF72E5" w14:paraId="7491478C" w14:textId="3AD092D2">
      <w:pPr>
        <w:pStyle w:val="BodyTextFirstIndent"/>
      </w:pPr>
      <w:r w:rsidRPr="00B34407">
        <w:t xml:space="preserve">Certain terms used in this Official Statement are defined in </w:t>
      </w:r>
      <w:r w:rsidR="00C34AEA">
        <w:t>“</w:t>
      </w:r>
      <w:r w:rsidRPr="00B34407">
        <w:t>APPENDIX F: CERTAIN DEFINITIONS</w:t>
      </w:r>
      <w:r w:rsidR="00C34AEA">
        <w:t>”</w:t>
      </w:r>
      <w:r w:rsidRPr="00B34407" w:rsidR="0062749C">
        <w:t xml:space="preserve"> attached hereto.</w:t>
      </w:r>
    </w:p>
    <w:p w:rsidRPr="00B34407" w:rsidR="007817D4" w:rsidP="00AA223A" w:rsidRDefault="00AF72E5" w14:paraId="0472AFF6" w14:textId="77777777">
      <w:pPr>
        <w:pStyle w:val="aHEADING"/>
      </w:pPr>
      <w:bookmarkStart w:name="_DV_M216" w:id="79"/>
      <w:bookmarkStart w:name="_Toc212948757" w:id="80"/>
      <w:bookmarkStart w:name="_Toc3865657" w:id="81"/>
      <w:bookmarkStart w:name="_Toc85337901" w:id="82"/>
      <w:bookmarkStart w:name="_Toc534620327" w:id="83"/>
      <w:bookmarkStart w:name="_Toc534620437" w:id="84"/>
      <w:bookmarkStart w:name="_Toc534620555" w:id="85"/>
      <w:bookmarkStart w:name="_Toc534620876" w:id="86"/>
      <w:bookmarkStart w:name="_Toc534621107" w:id="87"/>
      <w:bookmarkStart w:name="_Toc172841912" w:id="88"/>
      <w:bookmarkEnd w:id="79"/>
      <w:r w:rsidRPr="00AA223A">
        <w:t>FINANCING</w:t>
      </w:r>
      <w:r w:rsidRPr="00B34407">
        <w:t xml:space="preserve"> PLAN</w:t>
      </w:r>
      <w:bookmarkEnd w:id="80"/>
      <w:bookmarkEnd w:id="81"/>
      <w:bookmarkEnd w:id="82"/>
      <w:bookmarkEnd w:id="83"/>
      <w:bookmarkEnd w:id="84"/>
      <w:bookmarkEnd w:id="85"/>
      <w:bookmarkEnd w:id="86"/>
      <w:bookmarkEnd w:id="87"/>
      <w:bookmarkEnd w:id="88"/>
    </w:p>
    <w:p w:rsidRPr="00AD7AE0" w:rsidR="00AD7AE0" w:rsidP="00AD7AE0" w:rsidRDefault="00AD7AE0" w14:paraId="59E89098" w14:textId="48CBD38F">
      <w:pPr>
        <w:pStyle w:val="aHEADINGSUB"/>
      </w:pPr>
      <w:bookmarkStart w:name="_DV_M217" w:id="89"/>
      <w:bookmarkStart w:name="_Toc172841913" w:id="90"/>
      <w:bookmarkEnd w:id="89"/>
      <w:r w:rsidRPr="00AD7AE0">
        <w:t>General</w:t>
      </w:r>
      <w:bookmarkEnd w:id="90"/>
    </w:p>
    <w:p w:rsidR="00AF72E5" w:rsidP="002F481E" w:rsidRDefault="00DB52DC" w14:paraId="3ED52BA3" w14:textId="7B4E54FA">
      <w:pPr>
        <w:pStyle w:val="Hbody"/>
        <w:keepNext w:val="0"/>
        <w:spacing w:before="240"/>
        <w:ind w:firstLine="720"/>
        <w:jc w:val="both"/>
        <w:rPr>
          <w:b w:val="0"/>
          <w:i/>
        </w:rPr>
      </w:pPr>
      <w:r>
        <w:rPr>
          <w:b w:val="0"/>
        </w:rPr>
        <w:t>T</w:t>
      </w:r>
      <w:r w:rsidRPr="00B34407" w:rsidR="00E14F34">
        <w:rPr>
          <w:b w:val="0"/>
        </w:rPr>
        <w:t xml:space="preserve">he </w:t>
      </w:r>
      <w:r w:rsidR="00C7294C">
        <w:rPr>
          <w:b w:val="0"/>
        </w:rPr>
        <w:t>2024 Series C</w:t>
      </w:r>
      <w:r w:rsidR="00B4438E">
        <w:rPr>
          <w:b w:val="0"/>
        </w:rPr>
        <w:t xml:space="preserve"> Bond</w:t>
      </w:r>
      <w:r w:rsidRPr="00B34407" w:rsidR="00E14F34">
        <w:rPr>
          <w:b w:val="0"/>
        </w:rPr>
        <w:t xml:space="preserve">s are being issued </w:t>
      </w:r>
      <w:r w:rsidR="00402C00">
        <w:rPr>
          <w:b w:val="0"/>
        </w:rPr>
        <w:t xml:space="preserve">to </w:t>
      </w:r>
      <w:r w:rsidRPr="00B34407" w:rsidR="00AF72E5">
        <w:rPr>
          <w:b w:val="0"/>
        </w:rPr>
        <w:t>make available moneys</w:t>
      </w:r>
      <w:r w:rsidRPr="00B34407" w:rsidR="00863D54">
        <w:rPr>
          <w:b w:val="0"/>
        </w:rPr>
        <w:t xml:space="preserve"> in the Loan Acc</w:t>
      </w:r>
      <w:r w:rsidRPr="00B34407" w:rsidR="00E27262">
        <w:rPr>
          <w:b w:val="0"/>
        </w:rPr>
        <w:t>ount</w:t>
      </w:r>
      <w:r w:rsidRPr="00B34407" w:rsidR="00AF72E5">
        <w:rPr>
          <w:b w:val="0"/>
        </w:rPr>
        <w:t xml:space="preserve"> for the purchase of Mortgage Certificates (</w:t>
      </w:r>
      <w:r w:rsidRPr="00B34407" w:rsidR="00CE14BE">
        <w:rPr>
          <w:b w:val="0"/>
        </w:rPr>
        <w:t>as defined in the Indenture</w:t>
      </w:r>
      <w:r w:rsidRPr="00B34407" w:rsidR="00AF72E5">
        <w:rPr>
          <w:b w:val="0"/>
        </w:rPr>
        <w:t>) to finance the origination of qualifying mortgage loans made to certain eligible borrowers for single family, own</w:t>
      </w:r>
      <w:r w:rsidRPr="00B34407" w:rsidR="00302439">
        <w:rPr>
          <w:b w:val="0"/>
        </w:rPr>
        <w:t>er</w:t>
      </w:r>
      <w:r w:rsidRPr="00B34407" w:rsidR="00302439">
        <w:rPr>
          <w:b w:val="0"/>
        </w:rPr>
        <w:noBreakHyphen/>
        <w:t>occupied housing in the State</w:t>
      </w:r>
      <w:r w:rsidRPr="00B34407" w:rsidR="00850531">
        <w:rPr>
          <w:b w:val="0"/>
        </w:rPr>
        <w:t xml:space="preserve"> (</w:t>
      </w:r>
      <w:r w:rsidRPr="00B34407" w:rsidR="00D74420">
        <w:rPr>
          <w:b w:val="0"/>
          <w:bCs w:val="0"/>
        </w:rPr>
        <w:t xml:space="preserve">collectively </w:t>
      </w:r>
      <w:r w:rsidRPr="00B34407" w:rsidR="00850531">
        <w:rPr>
          <w:b w:val="0"/>
        </w:rPr>
        <w:t xml:space="preserve">the </w:t>
      </w:r>
      <w:r w:rsidR="00C34AEA">
        <w:rPr>
          <w:b w:val="0"/>
        </w:rPr>
        <w:t>“</w:t>
      </w:r>
      <w:r w:rsidR="00C7294C">
        <w:rPr>
          <w:b w:val="0"/>
          <w:i/>
        </w:rPr>
        <w:t>2024 Series C</w:t>
      </w:r>
      <w:r w:rsidR="00C635EB">
        <w:rPr>
          <w:b w:val="0"/>
          <w:i/>
        </w:rPr>
        <w:t xml:space="preserve"> Mortgage Loans</w:t>
      </w:r>
      <w:r w:rsidR="00C34AEA">
        <w:rPr>
          <w:b w:val="0"/>
        </w:rPr>
        <w:t>”</w:t>
      </w:r>
      <w:r w:rsidRPr="00B34407" w:rsidR="00850531">
        <w:rPr>
          <w:b w:val="0"/>
        </w:rPr>
        <w:t>)</w:t>
      </w:r>
      <w:r w:rsidRPr="00B34407" w:rsidR="00D90344">
        <w:rPr>
          <w:b w:val="0"/>
        </w:rPr>
        <w:t xml:space="preserve"> and </w:t>
      </w:r>
      <w:r w:rsidR="00F34EA0">
        <w:rPr>
          <w:b w:val="0"/>
        </w:rPr>
        <w:t>finance</w:t>
      </w:r>
      <w:r w:rsidRPr="00B34407" w:rsidR="00F34EA0">
        <w:rPr>
          <w:b w:val="0"/>
        </w:rPr>
        <w:t xml:space="preserve"> </w:t>
      </w:r>
      <w:r w:rsidRPr="00B34407" w:rsidR="00D90344">
        <w:rPr>
          <w:b w:val="0"/>
        </w:rPr>
        <w:t xml:space="preserve">down payment assistance </w:t>
      </w:r>
      <w:r w:rsidR="00F34EA0">
        <w:rPr>
          <w:b w:val="0"/>
        </w:rPr>
        <w:t xml:space="preserve">loans </w:t>
      </w:r>
      <w:r w:rsidRPr="00B34407" w:rsidR="00D90344">
        <w:rPr>
          <w:b w:val="0"/>
        </w:rPr>
        <w:t>in connection therewith</w:t>
      </w:r>
      <w:r w:rsidRPr="00B34407" w:rsidR="00D47013">
        <w:rPr>
          <w:b w:val="0"/>
        </w:rPr>
        <w:t xml:space="preserve">.  </w:t>
      </w:r>
      <w:r w:rsidR="000808FB">
        <w:rPr>
          <w:b w:val="0"/>
        </w:rPr>
        <w:t>T</w:t>
      </w:r>
      <w:r w:rsidR="002F481E">
        <w:rPr>
          <w:b w:val="0"/>
        </w:rPr>
        <w:t>he</w:t>
      </w:r>
      <w:r w:rsidRPr="00B34407" w:rsidR="0027357F">
        <w:rPr>
          <w:b w:val="0"/>
        </w:rPr>
        <w:t xml:space="preserve"> proceeds of the </w:t>
      </w:r>
      <w:r w:rsidR="00C7294C">
        <w:rPr>
          <w:b w:val="0"/>
        </w:rPr>
        <w:t>2024 Series C</w:t>
      </w:r>
      <w:r w:rsidR="005B3036">
        <w:rPr>
          <w:b w:val="0"/>
        </w:rPr>
        <w:t xml:space="preserve"> Bond</w:t>
      </w:r>
      <w:r w:rsidR="006C550F">
        <w:rPr>
          <w:b w:val="0"/>
        </w:rPr>
        <w:t>s</w:t>
      </w:r>
      <w:r w:rsidRPr="00B34407" w:rsidR="0027357F">
        <w:rPr>
          <w:b w:val="0"/>
        </w:rPr>
        <w:t xml:space="preserve"> will be deposited in the </w:t>
      </w:r>
      <w:r w:rsidR="00C7294C">
        <w:rPr>
          <w:b w:val="0"/>
        </w:rPr>
        <w:t>2024 Series C</w:t>
      </w:r>
      <w:r w:rsidR="00911C24">
        <w:rPr>
          <w:b w:val="0"/>
        </w:rPr>
        <w:t xml:space="preserve"> Subaccount</w:t>
      </w:r>
      <w:r w:rsidR="0005568A">
        <w:rPr>
          <w:b w:val="0"/>
        </w:rPr>
        <w:t xml:space="preserve"> </w:t>
      </w:r>
      <w:r w:rsidRPr="00B34407" w:rsidR="0027357F">
        <w:rPr>
          <w:b w:val="0"/>
        </w:rPr>
        <w:t xml:space="preserve">of the Loan Account (the </w:t>
      </w:r>
      <w:r w:rsidR="00C34AEA">
        <w:rPr>
          <w:b w:val="0"/>
        </w:rPr>
        <w:t>“</w:t>
      </w:r>
      <w:r w:rsidR="00C7294C">
        <w:rPr>
          <w:b w:val="0"/>
          <w:i/>
        </w:rPr>
        <w:t>2024 Series C</w:t>
      </w:r>
      <w:r w:rsidR="00911C24">
        <w:rPr>
          <w:b w:val="0"/>
          <w:i/>
        </w:rPr>
        <w:t xml:space="preserve"> Subaccount</w:t>
      </w:r>
      <w:r w:rsidR="00C34AEA">
        <w:rPr>
          <w:b w:val="0"/>
        </w:rPr>
        <w:t>”</w:t>
      </w:r>
      <w:r w:rsidRPr="00B34407" w:rsidR="0027357F">
        <w:rPr>
          <w:b w:val="0"/>
        </w:rPr>
        <w:t xml:space="preserve">) </w:t>
      </w:r>
      <w:r w:rsidR="0025598B">
        <w:rPr>
          <w:b w:val="0"/>
        </w:rPr>
        <w:t>established under the Indenture</w:t>
      </w:r>
      <w:r w:rsidRPr="00B34407" w:rsidR="0027357F">
        <w:rPr>
          <w:b w:val="0"/>
        </w:rPr>
        <w:t xml:space="preserve"> and invested by the Trustee until used to purchase </w:t>
      </w:r>
      <w:r w:rsidR="00C7294C">
        <w:rPr>
          <w:b w:val="0"/>
        </w:rPr>
        <w:t>2024 Series C</w:t>
      </w:r>
      <w:r w:rsidR="00C635EB">
        <w:rPr>
          <w:b w:val="0"/>
        </w:rPr>
        <w:t xml:space="preserve"> Mortgage Loans</w:t>
      </w:r>
      <w:r w:rsidRPr="00F67255" w:rsidR="002F481E">
        <w:rPr>
          <w:b w:val="0"/>
        </w:rPr>
        <w:t>.</w:t>
      </w:r>
      <w:r w:rsidRPr="00F67255" w:rsidR="008977ED">
        <w:rPr>
          <w:b w:val="0"/>
          <w:bCs w:val="0"/>
        </w:rPr>
        <w:t xml:space="preserve"> </w:t>
      </w:r>
      <w:r w:rsidR="00F67255">
        <w:rPr>
          <w:b w:val="0"/>
          <w:bCs w:val="0"/>
        </w:rPr>
        <w:t xml:space="preserve"> </w:t>
      </w:r>
    </w:p>
    <w:p w:rsidRPr="004D2C2A" w:rsidR="004D2C2A" w:rsidP="002F481E" w:rsidRDefault="004D2C2A" w14:paraId="7C20C9E1" w14:textId="3517564C">
      <w:pPr>
        <w:pStyle w:val="Hbody"/>
        <w:keepNext w:val="0"/>
        <w:spacing w:before="240"/>
        <w:ind w:firstLine="720"/>
        <w:jc w:val="both"/>
        <w:rPr>
          <w:b w:val="0"/>
        </w:rPr>
      </w:pPr>
      <w:r>
        <w:rPr>
          <w:b w:val="0"/>
        </w:rPr>
        <w:t xml:space="preserve">The </w:t>
      </w:r>
      <w:r w:rsidR="00C7294C">
        <w:rPr>
          <w:b w:val="0"/>
        </w:rPr>
        <w:t>2024 Series C</w:t>
      </w:r>
      <w:r w:rsidR="00B4438E">
        <w:rPr>
          <w:b w:val="0"/>
        </w:rPr>
        <w:t>-1 Bond</w:t>
      </w:r>
      <w:r>
        <w:rPr>
          <w:b w:val="0"/>
        </w:rPr>
        <w:t xml:space="preserve">s are identified as </w:t>
      </w:r>
      <w:r w:rsidR="00941515">
        <w:rPr>
          <w:b w:val="0"/>
        </w:rPr>
        <w:t xml:space="preserve">tax-exempt </w:t>
      </w:r>
      <w:r>
        <w:rPr>
          <w:b w:val="0"/>
        </w:rPr>
        <w:t xml:space="preserve">Non-AMT Bonds. </w:t>
      </w:r>
      <w:r w:rsidR="00677019">
        <w:rPr>
          <w:b w:val="0"/>
        </w:rPr>
        <w:t xml:space="preserve"> </w:t>
      </w:r>
      <w:r w:rsidR="003643CA">
        <w:rPr>
          <w:b w:val="0"/>
        </w:rPr>
        <w:t xml:space="preserve">The </w:t>
      </w:r>
      <w:r w:rsidR="00C7294C">
        <w:rPr>
          <w:b w:val="0"/>
        </w:rPr>
        <w:t>2024 Series C</w:t>
      </w:r>
      <w:r w:rsidR="00B4438E">
        <w:rPr>
          <w:b w:val="0"/>
        </w:rPr>
        <w:t>-2 Bond</w:t>
      </w:r>
      <w:r w:rsidR="003643CA">
        <w:rPr>
          <w:b w:val="0"/>
        </w:rPr>
        <w:t>s are identified as taxable</w:t>
      </w:r>
      <w:r w:rsidR="008977ED">
        <w:rPr>
          <w:b w:val="0"/>
        </w:rPr>
        <w:t xml:space="preserve"> Bonds</w:t>
      </w:r>
      <w:r w:rsidR="003643CA">
        <w:rPr>
          <w:b w:val="0"/>
        </w:rPr>
        <w:t>.</w:t>
      </w:r>
    </w:p>
    <w:p w:rsidRPr="00AD7AE0" w:rsidR="00BE6A6C" w:rsidP="00AD7AE0" w:rsidRDefault="00BE6A6C" w14:paraId="3DDBC7EB" w14:textId="1E522D65">
      <w:pPr>
        <w:pStyle w:val="aHEADINGSUB"/>
      </w:pPr>
      <w:bookmarkStart w:name="_Toc172841914" w:id="91"/>
      <w:r w:rsidRPr="00AD7AE0">
        <w:t xml:space="preserve">The </w:t>
      </w:r>
      <w:r w:rsidR="00C7294C">
        <w:t>2024 Series C</w:t>
      </w:r>
      <w:r w:rsidR="00C635EB">
        <w:t xml:space="preserve"> Mortgage Loans</w:t>
      </w:r>
      <w:bookmarkEnd w:id="91"/>
    </w:p>
    <w:p w:rsidRPr="00B34407" w:rsidR="007D3531" w:rsidP="00887B56" w:rsidRDefault="00153060" w14:paraId="2D5BF23F" w14:textId="7C0A8D8E">
      <w:pPr>
        <w:pStyle w:val="Hbody"/>
        <w:keepNext w:val="0"/>
        <w:ind w:firstLine="720"/>
        <w:jc w:val="both"/>
        <w:rPr>
          <w:b w:val="0"/>
        </w:rPr>
      </w:pPr>
      <w:r w:rsidRPr="00B34407">
        <w:rPr>
          <w:b w:val="0"/>
        </w:rPr>
        <w:t xml:space="preserve">The Authority expects that </w:t>
      </w:r>
      <w:r w:rsidRPr="00B34407" w:rsidR="00D74420">
        <w:rPr>
          <w:b w:val="0"/>
        </w:rPr>
        <w:t xml:space="preserve">the </w:t>
      </w:r>
      <w:r w:rsidR="00C7294C">
        <w:rPr>
          <w:b w:val="0"/>
        </w:rPr>
        <w:t>2024 Series C</w:t>
      </w:r>
      <w:r w:rsidR="00C635EB">
        <w:rPr>
          <w:b w:val="0"/>
        </w:rPr>
        <w:t xml:space="preserve"> Mortgage Loans</w:t>
      </w:r>
      <w:r w:rsidRPr="00B34407" w:rsidR="00887B56">
        <w:rPr>
          <w:b w:val="0"/>
        </w:rPr>
        <w:t xml:space="preserve"> will</w:t>
      </w:r>
      <w:r w:rsidRPr="00B34407">
        <w:rPr>
          <w:b w:val="0"/>
        </w:rPr>
        <w:t xml:space="preserve"> include loans for the acquisition or the acquisition and rehabilitation of residences in the State.  The interest rates, origination fees and terms of such loans may vary.  The </w:t>
      </w:r>
      <w:r w:rsidR="00C7294C">
        <w:rPr>
          <w:b w:val="0"/>
        </w:rPr>
        <w:t>2024 Series C</w:t>
      </w:r>
      <w:r w:rsidR="00C635EB">
        <w:rPr>
          <w:b w:val="0"/>
        </w:rPr>
        <w:t xml:space="preserve"> Mortgage Loans</w:t>
      </w:r>
      <w:r w:rsidRPr="00B34407">
        <w:rPr>
          <w:b w:val="0"/>
        </w:rPr>
        <w:t xml:space="preserve"> </w:t>
      </w:r>
      <w:r w:rsidR="00E73AF1">
        <w:rPr>
          <w:b w:val="0"/>
        </w:rPr>
        <w:t>are</w:t>
      </w:r>
      <w:r w:rsidR="0092299C">
        <w:rPr>
          <w:b w:val="0"/>
        </w:rPr>
        <w:t xml:space="preserve"> expected to be</w:t>
      </w:r>
      <w:r w:rsidR="00E73AF1">
        <w:rPr>
          <w:b w:val="0"/>
        </w:rPr>
        <w:t xml:space="preserve"> originated pursuant to </w:t>
      </w:r>
      <w:r w:rsidRPr="00B34407">
        <w:rPr>
          <w:b w:val="0"/>
        </w:rPr>
        <w:t xml:space="preserve">multiple programs </w:t>
      </w:r>
      <w:r w:rsidR="00E73AF1">
        <w:rPr>
          <w:b w:val="0"/>
        </w:rPr>
        <w:t xml:space="preserve">of the Authority </w:t>
      </w:r>
      <w:r w:rsidRPr="00B34407">
        <w:rPr>
          <w:b w:val="0"/>
        </w:rPr>
        <w:t xml:space="preserve">designed to accomplish specific housing goals of the Authority (the </w:t>
      </w:r>
      <w:r w:rsidR="00C34AEA">
        <w:rPr>
          <w:b w:val="0"/>
        </w:rPr>
        <w:t>“</w:t>
      </w:r>
      <w:r w:rsidRPr="00B34407">
        <w:rPr>
          <w:b w:val="0"/>
          <w:i/>
        </w:rPr>
        <w:t>Programs</w:t>
      </w:r>
      <w:r w:rsidR="00C34AEA">
        <w:rPr>
          <w:b w:val="0"/>
        </w:rPr>
        <w:t>”</w:t>
      </w:r>
      <w:r w:rsidRPr="00B34407">
        <w:rPr>
          <w:b w:val="0"/>
        </w:rPr>
        <w:t>)</w:t>
      </w:r>
      <w:bookmarkStart w:name="_DV_M219" w:id="92"/>
      <w:bookmarkEnd w:id="92"/>
      <w:r w:rsidRPr="00B34407" w:rsidR="00BF2816">
        <w:rPr>
          <w:b w:val="0"/>
        </w:rPr>
        <w:t>.</w:t>
      </w:r>
      <w:r w:rsidR="0042371A">
        <w:rPr>
          <w:b w:val="0"/>
        </w:rPr>
        <w:t xml:space="preserve">  </w:t>
      </w:r>
    </w:p>
    <w:p w:rsidR="007D3531" w:rsidP="00426447" w:rsidRDefault="00BF2816" w14:paraId="3B691867" w14:textId="6EBC3275">
      <w:pPr>
        <w:pStyle w:val="BodyTextFirstIndent"/>
      </w:pPr>
      <w:r w:rsidRPr="00B34407">
        <w:t xml:space="preserve">With respect to the Programs, </w:t>
      </w:r>
      <w:r w:rsidRPr="00B34407" w:rsidR="005A3327">
        <w:t>t</w:t>
      </w:r>
      <w:r w:rsidRPr="00B34407" w:rsidR="00953E70">
        <w:t xml:space="preserve">he Authority anticipates financing (a) FHA/VA/USDA insured Mortgage Loans through the purchase </w:t>
      </w:r>
      <w:r w:rsidRPr="00B34407" w:rsidR="006E1AD2">
        <w:t xml:space="preserve">of </w:t>
      </w:r>
      <w:r w:rsidR="006E1AD2">
        <w:t>GNMA</w:t>
      </w:r>
      <w:r w:rsidRPr="00426447" w:rsidR="00426447">
        <w:t xml:space="preserve"> Certificates by the Trustee (the </w:t>
      </w:r>
      <w:r w:rsidR="00C34AEA">
        <w:t>“</w:t>
      </w:r>
      <w:r w:rsidRPr="00426447" w:rsidR="00426447">
        <w:rPr>
          <w:i/>
        </w:rPr>
        <w:t>GNMA Loans</w:t>
      </w:r>
      <w:r w:rsidR="00C34AEA">
        <w:t>”</w:t>
      </w:r>
      <w:r w:rsidRPr="00426447" w:rsidR="00426447">
        <w:t>) and (b) conventional loans through the purchase of</w:t>
      </w:r>
      <w:r w:rsidR="00426447">
        <w:t xml:space="preserve"> </w:t>
      </w:r>
      <w:r w:rsidR="008D253D">
        <w:t>UMBS</w:t>
      </w:r>
      <w:r w:rsidRPr="00122FF3" w:rsidR="00122FF3">
        <w:t xml:space="preserve"> representing Fannie Mae Loans and Freddie Mac Loans</w:t>
      </w:r>
      <w:r w:rsidR="00122FF3">
        <w:t xml:space="preserve"> </w:t>
      </w:r>
      <w:r w:rsidRPr="00B34407" w:rsidR="00AF72E5">
        <w:t xml:space="preserve">by the Trustee.  </w:t>
      </w:r>
    </w:p>
    <w:p w:rsidRPr="00B34407" w:rsidR="00122FF3" w:rsidP="00122FF3" w:rsidRDefault="00122FF3" w14:paraId="58B2201A" w14:textId="3B109163">
      <w:pPr>
        <w:pStyle w:val="BodyTextFirstIndent"/>
      </w:pPr>
      <w:r w:rsidRPr="00122FF3">
        <w:t xml:space="preserve">On June 3, 2019, Fannie Mae and Freddie Mac </w:t>
      </w:r>
      <w:r>
        <w:t xml:space="preserve">began </w:t>
      </w:r>
      <w:r w:rsidRPr="00122FF3">
        <w:t>issuing</w:t>
      </w:r>
      <w:r w:rsidR="009327D9">
        <w:t xml:space="preserve"> </w:t>
      </w:r>
      <w:r w:rsidRPr="00122FF3">
        <w:t xml:space="preserve">common, single </w:t>
      </w:r>
      <w:r w:rsidR="00161AC7">
        <w:t>mortgage-backed</w:t>
      </w:r>
      <w:r w:rsidRPr="00122FF3">
        <w:t xml:space="preserve"> securities, formally known as the U</w:t>
      </w:r>
      <w:r w:rsidR="00FB56AA">
        <w:t xml:space="preserve">niform Mortgage-Backed Security. </w:t>
      </w:r>
      <w:r w:rsidR="00906C3E">
        <w:t xml:space="preserve"> </w:t>
      </w:r>
      <w:r w:rsidR="00FB56AA">
        <w:t xml:space="preserve">The </w:t>
      </w:r>
      <w:r w:rsidR="008D253D">
        <w:t>UMBS</w:t>
      </w:r>
      <w:r w:rsidRPr="00122FF3">
        <w:t xml:space="preserve"> finance the same types of fixed-rate mortgages that</w:t>
      </w:r>
      <w:r w:rsidR="00FB56AA">
        <w:t xml:space="preserve"> </w:t>
      </w:r>
      <w:r w:rsidRPr="00122FF3">
        <w:t>previously backed Fannie Mae Certificat</w:t>
      </w:r>
      <w:r w:rsidR="00FB56AA">
        <w:t>es and</w:t>
      </w:r>
      <w:r w:rsidR="0046356C">
        <w:t xml:space="preserve"> Freddie Mac PCs</w:t>
      </w:r>
      <w:r w:rsidR="00FB56AA">
        <w:t xml:space="preserve">. </w:t>
      </w:r>
      <w:r w:rsidR="00906C3E">
        <w:t xml:space="preserve"> </w:t>
      </w:r>
      <w:r w:rsidR="00FB56AA">
        <w:t xml:space="preserve">The </w:t>
      </w:r>
      <w:r w:rsidR="008D253D">
        <w:t>UMBS</w:t>
      </w:r>
      <w:r w:rsidR="00FB56AA">
        <w:t xml:space="preserve"> </w:t>
      </w:r>
      <w:r w:rsidRPr="00122FF3">
        <w:t xml:space="preserve">have characteristics similar to legacy Fannie Mae </w:t>
      </w:r>
      <w:r w:rsidR="00E22C3E">
        <w:t>Certificates.</w:t>
      </w:r>
    </w:p>
    <w:p w:rsidR="00D06403" w:rsidP="00D06403" w:rsidRDefault="00D06403" w14:paraId="1C517F38" w14:textId="109ED7A3">
      <w:pPr>
        <w:pStyle w:val="BodyTextFirstIndent"/>
      </w:pPr>
      <w:bookmarkStart w:name="ElPgBr12" w:id="93"/>
      <w:bookmarkEnd w:id="93"/>
      <w:r w:rsidRPr="00A555A0">
        <w:lastRenderedPageBreak/>
        <w:t xml:space="preserve">The weighted average fixed interest rate on the </w:t>
      </w:r>
      <w:r w:rsidR="00C7294C">
        <w:t>2024 Series C</w:t>
      </w:r>
      <w:r w:rsidRPr="005D6231">
        <w:t xml:space="preserve"> Mortgage Loans is initially expected to be approximately </w:t>
      </w:r>
      <w:r w:rsidR="00847FBF">
        <w:t>7.285</w:t>
      </w:r>
      <w:r w:rsidRPr="005D6231">
        <w:t xml:space="preserve">% per annum and the initial term of the </w:t>
      </w:r>
      <w:r w:rsidR="00C7294C">
        <w:t>2024 Series C</w:t>
      </w:r>
      <w:r w:rsidRPr="005D6231">
        <w:t xml:space="preserve"> Mortgage Loans is expected to be 30 years</w:t>
      </w:r>
      <w:bookmarkStart w:name="_DV_M220" w:id="94"/>
      <w:bookmarkEnd w:id="94"/>
      <w:r w:rsidRPr="005D6231">
        <w:t>.  Approximately $</w:t>
      </w:r>
      <w:r w:rsidR="001A31F3">
        <w:t>188,515,000</w:t>
      </w:r>
      <w:r w:rsidRPr="005D6231">
        <w:t xml:space="preserve"> of the proceeds of the </w:t>
      </w:r>
      <w:r w:rsidR="00C7294C">
        <w:t>2024 Series C</w:t>
      </w:r>
      <w:r w:rsidRPr="005D6231">
        <w:t xml:space="preserve"> Bonds are expected to be used by </w:t>
      </w:r>
      <w:r w:rsidR="0039145B">
        <w:t>December</w:t>
      </w:r>
      <w:r>
        <w:t xml:space="preserve"> 1, 202</w:t>
      </w:r>
      <w:r w:rsidR="00657536">
        <w:t>4</w:t>
      </w:r>
      <w:r w:rsidRPr="005D6231">
        <w:t xml:space="preserve"> to purchase Mortgage Certificates.  Approximately $</w:t>
      </w:r>
      <w:r w:rsidR="001A31F3">
        <w:t>11,480,000</w:t>
      </w:r>
      <w:r w:rsidRPr="005D6231">
        <w:t xml:space="preserve"> of the </w:t>
      </w:r>
      <w:r w:rsidR="00C7294C">
        <w:t>2024 Series C</w:t>
      </w:r>
      <w:r w:rsidRPr="005D6231">
        <w:t xml:space="preserve"> Bond proceeds will also be used to finance down payment assistance loans.  The Authority expects to provide down</w:t>
      </w:r>
      <w:r w:rsidRPr="00BE0846">
        <w:t xml:space="preserve"> payment assistance loans in connection with each </w:t>
      </w:r>
      <w:r w:rsidR="00C7294C">
        <w:t>2024 Series C</w:t>
      </w:r>
      <w:r w:rsidRPr="00BE0846">
        <w:t xml:space="preserve"> Mortgage Loan.  </w:t>
      </w:r>
    </w:p>
    <w:p w:rsidR="00D34E0E" w:rsidP="00D06403" w:rsidRDefault="00D06403" w14:paraId="29E43EE8" w14:textId="1F092113">
      <w:pPr>
        <w:pStyle w:val="BodyTextFirstIndent"/>
      </w:pPr>
      <w:r w:rsidRPr="00BE0846">
        <w:t xml:space="preserve">The Authority </w:t>
      </w:r>
      <w:r w:rsidR="00D34E0E">
        <w:t xml:space="preserve">expects that the </w:t>
      </w:r>
      <w:r w:rsidR="00C7294C">
        <w:t>2024 Series C</w:t>
      </w:r>
      <w:r w:rsidR="00D34E0E">
        <w:t xml:space="preserve"> Mortgage Loans will include loans from</w:t>
      </w:r>
      <w:r w:rsidRPr="00BE0846">
        <w:t xml:space="preserve"> its First Place</w:t>
      </w:r>
      <w:r>
        <w:t>, First Step and Step Down</w:t>
      </w:r>
      <w:r w:rsidRPr="00BE0846">
        <w:t xml:space="preserve"> Program</w:t>
      </w:r>
      <w:r>
        <w:t>s</w:t>
      </w:r>
      <w:r w:rsidR="00D34E0E">
        <w:t>. The</w:t>
      </w:r>
      <w:r w:rsidRPr="00BE0846">
        <w:t xml:space="preserve"> amount of down payment assistance loan under the Authority’s First Place</w:t>
      </w:r>
      <w:r>
        <w:t xml:space="preserve"> and First Step</w:t>
      </w:r>
      <w:r w:rsidRPr="00BE0846">
        <w:t xml:space="preserve"> Program</w:t>
      </w:r>
      <w:r>
        <w:t>s</w:t>
      </w:r>
      <w:r w:rsidR="00413DD9">
        <w:t xml:space="preserve"> is equal to approximately 6%</w:t>
      </w:r>
      <w:r w:rsidRPr="00BE0846">
        <w:t xml:space="preserve"> o</w:t>
      </w:r>
      <w:r w:rsidRPr="00C5498F">
        <w:t>f the</w:t>
      </w:r>
      <w:r w:rsidRPr="00A555A0">
        <w:t xml:space="preserve"> home</w:t>
      </w:r>
      <w:r>
        <w:t>’</w:t>
      </w:r>
      <w:r w:rsidRPr="00A555A0">
        <w:t>s purchase</w:t>
      </w:r>
      <w:r w:rsidRPr="00B34407">
        <w:t xml:space="preserve"> price</w:t>
      </w:r>
      <w:r>
        <w:t xml:space="preserve">, while </w:t>
      </w:r>
      <w:r w:rsidR="00D34E0E">
        <w:t>the Step Down Program is a rate-</w:t>
      </w:r>
      <w:r>
        <w:t>only program with no associated down payment assistance</w:t>
      </w:r>
      <w:r w:rsidR="00D34E0E">
        <w:t xml:space="preserve"> loan</w:t>
      </w:r>
      <w:r>
        <w:t xml:space="preserve">.  </w:t>
      </w:r>
    </w:p>
    <w:p w:rsidR="00D06403" w:rsidP="00D06403" w:rsidRDefault="00D06403" w14:paraId="7D8A4FB9" w14:textId="135E3C6D">
      <w:pPr>
        <w:pStyle w:val="BodyTextFirstIndent"/>
      </w:pPr>
      <w:r>
        <w:t>Each</w:t>
      </w:r>
      <w:r w:rsidRPr="007A7D3E">
        <w:t xml:space="preserve"> down payment assistance </w:t>
      </w:r>
      <w:r>
        <w:t xml:space="preserve">loan </w:t>
      </w:r>
      <w:r w:rsidRPr="007A7D3E">
        <w:t xml:space="preserve">offered in connection with the </w:t>
      </w:r>
      <w:r>
        <w:t xml:space="preserve">First Place Program </w:t>
      </w:r>
      <w:r w:rsidRPr="007A7D3E">
        <w:t xml:space="preserve">is offered as a forgivable second mortgage, junior and subordinate to the related first mortgage loan. </w:t>
      </w:r>
      <w:r>
        <w:t>Further, such second mortgage offered in connection with the First Place Program has a term of nine years, is non-interest bearing and will be fully forgiven at the end of the nine-year term.</w:t>
      </w:r>
      <w:r w:rsidRPr="007A7D3E">
        <w:t xml:space="preserve"> </w:t>
      </w:r>
      <w:r>
        <w:t>Under the First Place Program, i</w:t>
      </w:r>
      <w:r w:rsidRPr="007A7D3E">
        <w:t>f the related home is sold, or if the first mortgage is refinanced</w:t>
      </w:r>
      <w:r>
        <w:t xml:space="preserve"> during the term of the second mortgage loan</w:t>
      </w:r>
      <w:r w:rsidRPr="007A7D3E">
        <w:t xml:space="preserve">, the </w:t>
      </w:r>
      <w:r>
        <w:t xml:space="preserve">full principal </w:t>
      </w:r>
      <w:r w:rsidRPr="007A7D3E">
        <w:t>a</w:t>
      </w:r>
      <w:r w:rsidR="00D34E0E">
        <w:t xml:space="preserve">mount of the second mortgage </w:t>
      </w:r>
      <w:r w:rsidRPr="007A7D3E">
        <w:t>must be repaid</w:t>
      </w:r>
      <w:r>
        <w:t xml:space="preserve">.  The Authority </w:t>
      </w:r>
      <w:r w:rsidR="00D1286A">
        <w:t>ceased accepting reservations under</w:t>
      </w:r>
      <w:r>
        <w:t xml:space="preserve"> the First Place Program in </w:t>
      </w:r>
      <w:r w:rsidR="00D34E0E">
        <w:t>December, 2023</w:t>
      </w:r>
      <w:r>
        <w:t>.</w:t>
      </w:r>
    </w:p>
    <w:p w:rsidR="006B0818" w:rsidP="006B0818" w:rsidRDefault="006B0818" w14:paraId="0073938F" w14:textId="77777777">
      <w:pPr>
        <w:pStyle w:val="BodyTextFirstIndent"/>
      </w:pPr>
      <w:r>
        <w:t>Each</w:t>
      </w:r>
      <w:r w:rsidRPr="007A7D3E">
        <w:t xml:space="preserve"> down payment assistance </w:t>
      </w:r>
      <w:r>
        <w:t xml:space="preserve">loan </w:t>
      </w:r>
      <w:r w:rsidRPr="007A7D3E">
        <w:t xml:space="preserve">offered in connection with the </w:t>
      </w:r>
      <w:r>
        <w:t xml:space="preserve">First Step Program </w:t>
      </w:r>
      <w:r w:rsidRPr="007A7D3E">
        <w:t xml:space="preserve">is offered as a </w:t>
      </w:r>
      <w:r>
        <w:t>non-</w:t>
      </w:r>
      <w:r w:rsidRPr="007A7D3E">
        <w:t xml:space="preserve">forgivable second mortgage, junior and subordinate to the related first mortgage loan.  </w:t>
      </w:r>
      <w:r>
        <w:t xml:space="preserve">Further, such second mortgage offered in connection with the First Step Program features a principal amount that is due upon the final maturity of thirty years or upon the earliest to occur of any of the following events: (i) the termination of the first mortgage loan, (ii) the sale of the related home or the institution of foreclosing procedures thereon, (iii) </w:t>
      </w:r>
      <w:r w:rsidRPr="00841BCD">
        <w:t>the home ceases to be the borrower’s primary residence, or (</w:t>
      </w:r>
      <w:r>
        <w:t>i</w:t>
      </w:r>
      <w:r w:rsidRPr="00841BCD">
        <w:t xml:space="preserve">v) there is a default under the agreements between the </w:t>
      </w:r>
      <w:r>
        <w:t>m</w:t>
      </w:r>
      <w:r w:rsidRPr="00841BCD">
        <w:t xml:space="preserve">ortgagor and the Authority related </w:t>
      </w:r>
      <w:r>
        <w:t>to such down payment assistance</w:t>
      </w:r>
      <w:r w:rsidRPr="00841BCD">
        <w:t>.</w:t>
      </w:r>
      <w:r>
        <w:t xml:space="preserve">  See “SINGLE FAMILY MORTGAGE PROGRAM – Single Family Mortgage Lending Program” herein.</w:t>
      </w:r>
    </w:p>
    <w:p w:rsidR="006B0818" w:rsidP="006B0818" w:rsidRDefault="006B0818" w14:paraId="6CF07923" w14:textId="77777777">
      <w:pPr>
        <w:pStyle w:val="BodyTextFirstIndent"/>
      </w:pPr>
      <w:r w:rsidRPr="00874949">
        <w:t xml:space="preserve">Each </w:t>
      </w:r>
      <w:r w:rsidRPr="00BD0760">
        <w:t>refinanced</w:t>
      </w:r>
      <w:r w:rsidRPr="00874949">
        <w:t xml:space="preserve"> down payment assistance loan offered in connection with the </w:t>
      </w:r>
      <w:r w:rsidRPr="00BD0760">
        <w:t>Next Step</w:t>
      </w:r>
      <w:r w:rsidRPr="00874949">
        <w:t xml:space="preserve"> Program is offered as a non-forgivable second mortgage, junior and subordinate to the related first mortgage loan.  Further, such second mortgage offered in connection with the </w:t>
      </w:r>
      <w:r w:rsidRPr="00BD0760">
        <w:t>Next Step</w:t>
      </w:r>
      <w:r w:rsidRPr="00874949">
        <w:t xml:space="preserve"> Program, features a principal amount that is due upon the final maturity of thirty years or upon the earliest to occur of any of the following events: (i) the termination of the first mortgage loan, (ii) the sale of the related home or the institution of foreclosing procedures thereon, (iii) the home ceases to be the borrower’s primary residence, or (iv) there is a default under the agreements between the </w:t>
      </w:r>
      <w:r>
        <w:t>m</w:t>
      </w:r>
      <w:r w:rsidRPr="00874949">
        <w:t>ortgagor and the Authority related to such down payment assistance.  See “SINGLE FAMILY MORTGAGE PROGRAM – Single Family Mortgage Lending Program” herein.</w:t>
      </w:r>
    </w:p>
    <w:p w:rsidR="006B0818" w:rsidP="006B0818" w:rsidRDefault="006B0818" w14:paraId="606429A7" w14:textId="6BAEAAC5">
      <w:pPr>
        <w:pStyle w:val="BodyTextFirstIndent"/>
      </w:pPr>
      <w:r>
        <w:t>T</w:t>
      </w:r>
      <w:r w:rsidRPr="00B34407">
        <w:t xml:space="preserve">he Authority may modify the current </w:t>
      </w:r>
      <w:r>
        <w:t xml:space="preserve">mortgage loan and </w:t>
      </w:r>
      <w:r w:rsidRPr="00B34407">
        <w:t>down payment assistance program</w:t>
      </w:r>
      <w:r>
        <w:t>s</w:t>
      </w:r>
      <w:r w:rsidRPr="00B34407">
        <w:t xml:space="preserve"> and develop new</w:t>
      </w:r>
      <w:r>
        <w:t xml:space="preserve"> mortgage loan and</w:t>
      </w:r>
      <w:r w:rsidRPr="00B34407">
        <w:t xml:space="preserve"> down payment assistance programs as part of its homeownership lending programs.  </w:t>
      </w:r>
    </w:p>
    <w:p w:rsidR="00E27262" w:rsidP="00D06403" w:rsidRDefault="00D06403" w14:paraId="49DA0621" w14:textId="498F5ADC">
      <w:pPr>
        <w:pStyle w:val="BodyTextFirstIndent"/>
      </w:pPr>
      <w:r w:rsidRPr="00B34407">
        <w:t>Pursuant to the Programs, the fixed interest rates</w:t>
      </w:r>
      <w:r>
        <w:t xml:space="preserve"> at which mortgage loans are originated</w:t>
      </w:r>
      <w:r w:rsidRPr="00B34407">
        <w:t xml:space="preserve"> may change from time to time and the Authority expects to evaluate interest rates weekly and to change the interest rates as appropriate in light of rates in the residential mortgage market generally, economic conditions and financial considerations of the Authority, all within the limitations established by federal tax laws and regulations.  See </w:t>
      </w:r>
      <w:r>
        <w:t>“</w:t>
      </w:r>
      <w:r w:rsidRPr="00B34407">
        <w:t>FEDERAL TAX LAW REQUIREMENTS</w:t>
      </w:r>
      <w:r>
        <w:t>”</w:t>
      </w:r>
      <w:r w:rsidRPr="00B34407">
        <w:t xml:space="preserve"> and </w:t>
      </w:r>
      <w:r>
        <w:t>“</w:t>
      </w:r>
      <w:r w:rsidRPr="00B34407">
        <w:t>SINGLE FAMILY MORTGAGE PROGRAM</w:t>
      </w:r>
      <w:r>
        <w:t>”</w:t>
      </w:r>
      <w:r w:rsidRPr="00B34407">
        <w:t xml:space="preserve"> herein.</w:t>
      </w:r>
      <w:r w:rsidRPr="00B34407" w:rsidR="00AF72E5">
        <w:t xml:space="preserve">  </w:t>
      </w:r>
    </w:p>
    <w:p w:rsidRPr="00B34407" w:rsidR="00AF72E5" w:rsidP="00AF72E5" w:rsidRDefault="00AF72E5" w14:paraId="4C29EA3E" w14:textId="196DBBFE">
      <w:pPr>
        <w:pStyle w:val="BodyTextFirstIndent"/>
      </w:pPr>
      <w:r w:rsidRPr="00B34407">
        <w:t>The Authority has entered into (and anticipates entering into additional) origination agreements (</w:t>
      </w:r>
      <w:r w:rsidRPr="00B34407" w:rsidR="00E27262">
        <w:t xml:space="preserve">the </w:t>
      </w:r>
      <w:r w:rsidR="00C34AEA">
        <w:t>“</w:t>
      </w:r>
      <w:r w:rsidRPr="00B34407">
        <w:rPr>
          <w:i/>
        </w:rPr>
        <w:t>Origination Agreements</w:t>
      </w:r>
      <w:r w:rsidR="00C34AEA">
        <w:t>”</w:t>
      </w:r>
      <w:r w:rsidRPr="00B34407">
        <w:t xml:space="preserve">) with qualified mortgage lending institutions (the </w:t>
      </w:r>
      <w:r w:rsidR="00C34AEA">
        <w:t>“</w:t>
      </w:r>
      <w:r w:rsidRPr="00B34407">
        <w:rPr>
          <w:i/>
        </w:rPr>
        <w:t>Lenders</w:t>
      </w:r>
      <w:r w:rsidR="00C34AEA">
        <w:t>”</w:t>
      </w:r>
      <w:r w:rsidRPr="00B34407">
        <w:t>), pursuant to which the Lenders may originate</w:t>
      </w:r>
      <w:r w:rsidRPr="00B34407" w:rsidR="00E14F34">
        <w:t xml:space="preserve"> </w:t>
      </w:r>
      <w:r w:rsidR="00C7294C">
        <w:t>2024 Series C</w:t>
      </w:r>
      <w:r w:rsidR="00C635EB">
        <w:t xml:space="preserve"> Mortgage Loans</w:t>
      </w:r>
      <w:r w:rsidRPr="00B34407">
        <w:t xml:space="preserve"> under the Program.  Upon closing of the</w:t>
      </w:r>
      <w:r w:rsidRPr="00B34407" w:rsidR="00947EF7">
        <w:t xml:space="preserve"> </w:t>
      </w:r>
      <w:r w:rsidR="00C7294C">
        <w:t>2024 Series C</w:t>
      </w:r>
      <w:r w:rsidR="00C635EB">
        <w:t xml:space="preserve"> Mortgage Loans</w:t>
      </w:r>
      <w:r w:rsidRPr="00B34407">
        <w:t xml:space="preserve">, the Lenders will sell </w:t>
      </w:r>
      <w:r w:rsidRPr="00B34407" w:rsidR="00E64422">
        <w:t>such</w:t>
      </w:r>
      <w:r w:rsidRPr="00B34407">
        <w:t xml:space="preserve"> GNMA Loans, Fannie Mae Loans and Freddie Mac Loans to U.S. Bank National Association, as </w:t>
      </w:r>
      <w:r w:rsidRPr="00B34407" w:rsidR="00E64422">
        <w:t>s</w:t>
      </w:r>
      <w:r w:rsidRPr="00B34407">
        <w:t>ervicer f</w:t>
      </w:r>
      <w:r w:rsidRPr="00B34407" w:rsidR="00CB6382">
        <w:t>or the Program</w:t>
      </w:r>
      <w:r w:rsidRPr="00B34407" w:rsidR="00E64422">
        <w:t>s</w:t>
      </w:r>
      <w:r w:rsidRPr="00B34407" w:rsidR="00CB6382">
        <w:t xml:space="preserve"> (the </w:t>
      </w:r>
      <w:r w:rsidR="00C34AEA">
        <w:t>“</w:t>
      </w:r>
      <w:r w:rsidRPr="00B34407" w:rsidR="00CB6382">
        <w:rPr>
          <w:i/>
        </w:rPr>
        <w:t>Servicer</w:t>
      </w:r>
      <w:r w:rsidR="00C34AEA">
        <w:t>”</w:t>
      </w:r>
      <w:r w:rsidRPr="00B34407" w:rsidR="00CB6382">
        <w:t>)</w:t>
      </w:r>
      <w:r w:rsidRPr="00B34407">
        <w:t xml:space="preserve">.  See </w:t>
      </w:r>
      <w:r w:rsidR="00C34AEA">
        <w:t>“</w:t>
      </w:r>
      <w:r w:rsidRPr="00B34407" w:rsidR="00C81706">
        <w:t>SINGLE FAMILY MORTGAGE PROGRAM</w:t>
      </w:r>
      <w:r w:rsidR="00C34AEA">
        <w:t>”</w:t>
      </w:r>
      <w:r w:rsidRPr="00B34407" w:rsidR="00C81706">
        <w:t xml:space="preserve"> herein.</w:t>
      </w:r>
    </w:p>
    <w:p w:rsidRPr="00AA223A" w:rsidR="00881D28" w:rsidP="00AA223A" w:rsidRDefault="00AF72E5" w14:paraId="5BB1BA68" w14:textId="5A85141D">
      <w:pPr>
        <w:pStyle w:val="BodyTextFirstIndent"/>
      </w:pPr>
      <w:bookmarkStart w:name="_DV_M221" w:id="95"/>
      <w:bookmarkEnd w:id="95"/>
      <w:r w:rsidRPr="00B34407">
        <w:t>In con</w:t>
      </w:r>
      <w:r w:rsidRPr="00B34407" w:rsidR="0064214E">
        <w:t xml:space="preserve">nection with the origination of </w:t>
      </w:r>
      <w:r w:rsidRPr="00B34407" w:rsidR="005A3327">
        <w:t xml:space="preserve">the </w:t>
      </w:r>
      <w:r w:rsidR="00C7294C">
        <w:t>2024 Series C</w:t>
      </w:r>
      <w:r w:rsidR="00C635EB">
        <w:t xml:space="preserve"> Mortgage Loans</w:t>
      </w:r>
      <w:r w:rsidRPr="00B34407">
        <w:t xml:space="preserve">, the Trustee, on behalf of the Authority, </w:t>
      </w:r>
      <w:r w:rsidRPr="00B34407" w:rsidR="00D43D92">
        <w:t>will</w:t>
      </w:r>
      <w:r w:rsidRPr="00B34407">
        <w:t xml:space="preserve"> purchase from the Servicer </w:t>
      </w:r>
      <w:r w:rsidRPr="00B34407" w:rsidR="00E64422">
        <w:t>the Mortgage Certifica</w:t>
      </w:r>
      <w:r w:rsidRPr="00B34407" w:rsidR="0064214E">
        <w:t xml:space="preserve">tes which are backed by the </w:t>
      </w:r>
      <w:r w:rsidR="00C7294C">
        <w:t>2024 Series C</w:t>
      </w:r>
      <w:r w:rsidR="00C635EB">
        <w:t xml:space="preserve"> Mortgage Loans</w:t>
      </w:r>
      <w:r w:rsidRPr="00B34407" w:rsidR="00E64422">
        <w:t xml:space="preserve">.  </w:t>
      </w:r>
      <w:r w:rsidRPr="00B34407" w:rsidR="00DA0E65">
        <w:t>The Mortgage Certificates shall consist of any one or more of the following: (i) fully modified mortgage-</w:t>
      </w:r>
      <w:r w:rsidRPr="00B34407" w:rsidR="00DA0E65">
        <w:lastRenderedPageBreak/>
        <w:t>backed securities (</w:t>
      </w:r>
      <w:r w:rsidR="00C34AEA">
        <w:t>“</w:t>
      </w:r>
      <w:r w:rsidRPr="00B34407" w:rsidR="00DA0E65">
        <w:rPr>
          <w:i/>
        </w:rPr>
        <w:t>GNMA Certificates</w:t>
      </w:r>
      <w:r w:rsidR="00C34AEA">
        <w:t>”</w:t>
      </w:r>
      <w:r w:rsidRPr="00B34407" w:rsidR="00DA0E65">
        <w:t>), the timely payment of principal of and interest on which is guaranteed by the Government National Mortgage Association (</w:t>
      </w:r>
      <w:r w:rsidR="00C34AEA">
        <w:t>“</w:t>
      </w:r>
      <w:r w:rsidRPr="00B34407" w:rsidR="00DA0E65">
        <w:rPr>
          <w:i/>
        </w:rPr>
        <w:t>GNMA</w:t>
      </w:r>
      <w:r w:rsidR="00C34AEA">
        <w:t>”</w:t>
      </w:r>
      <w:r w:rsidRPr="00B34407" w:rsidR="00DA0E65">
        <w:t xml:space="preserve">), a wholly owned corporate instrumentality of the United States </w:t>
      </w:r>
      <w:r w:rsidRPr="00AA223A" w:rsidR="00DA0E65">
        <w:t>within the Department of Housing and Urban Development, (ii)</w:t>
      </w:r>
      <w:r w:rsidR="00DD5AEC">
        <w:t xml:space="preserve"> </w:t>
      </w:r>
      <w:r w:rsidR="007A5797">
        <w:t>Uniform Mortgage-Backed Securities</w:t>
      </w:r>
      <w:r w:rsidRPr="00AA223A" w:rsidR="00DA0E65">
        <w:t>, the timely payment of principal of and interest on which is guaranteed by the Federal National Mortgage Association (</w:t>
      </w:r>
      <w:r w:rsidR="00C34AEA">
        <w:t>“</w:t>
      </w:r>
      <w:r w:rsidRPr="00E73AF1" w:rsidR="00DA0E65">
        <w:rPr>
          <w:i/>
        </w:rPr>
        <w:t>Fannie Mae</w:t>
      </w:r>
      <w:r w:rsidR="00C34AEA">
        <w:t>”</w:t>
      </w:r>
      <w:r w:rsidRPr="00AA223A" w:rsidR="00DA0E65">
        <w:t>), a body corporate created and existing under the laws o</w:t>
      </w:r>
      <w:r w:rsidR="00382BF4">
        <w:t>f the United States of America,</w:t>
      </w:r>
      <w:r w:rsidR="000F0DD7">
        <w:t xml:space="preserve"> or </w:t>
      </w:r>
      <w:r w:rsidRPr="00AA223A" w:rsidR="00DA0E65">
        <w:t>the timely payment of principal of and interest on which is guaranteed by the Federal Home Loan Mortgage Corporation (</w:t>
      </w:r>
      <w:r w:rsidR="00C34AEA">
        <w:t>“</w:t>
      </w:r>
      <w:r w:rsidRPr="00E73AF1" w:rsidR="00DA0E65">
        <w:rPr>
          <w:i/>
        </w:rPr>
        <w:t>Freddie Mac</w:t>
      </w:r>
      <w:r w:rsidR="00C34AEA">
        <w:t>”</w:t>
      </w:r>
      <w:r w:rsidRPr="00AA223A" w:rsidR="00DA0E65">
        <w:t>), a body corporate created and existing under the laws of the United Stat</w:t>
      </w:r>
      <w:r w:rsidRPr="00AA223A" w:rsidR="00692C24">
        <w:t>es of America</w:t>
      </w:r>
      <w:r w:rsidR="00382BF4">
        <w:t xml:space="preserve"> (</w:t>
      </w:r>
      <w:r w:rsidR="0025598B">
        <w:t>such securities of Fannie Mae</w:t>
      </w:r>
      <w:r w:rsidR="000F0DD7">
        <w:t xml:space="preserve"> and Freddie Mac </w:t>
      </w:r>
      <w:r w:rsidR="00BA45C7">
        <w:t>together,</w:t>
      </w:r>
      <w:r w:rsidR="00382BF4">
        <w:t xml:space="preserve"> </w:t>
      </w:r>
      <w:r w:rsidR="00C34AEA">
        <w:t>“</w:t>
      </w:r>
      <w:r w:rsidRPr="00E87EB0" w:rsidR="00864AE5">
        <w:rPr>
          <w:i/>
        </w:rPr>
        <w:t>UMBS</w:t>
      </w:r>
      <w:r w:rsidR="00C34AEA">
        <w:t>”</w:t>
      </w:r>
      <w:r w:rsidR="00382BF4">
        <w:t>)</w:t>
      </w:r>
      <w:r w:rsidRPr="00AA223A" w:rsidR="00692C24">
        <w:t xml:space="preserve">. </w:t>
      </w:r>
    </w:p>
    <w:p w:rsidRPr="00B34407" w:rsidR="005A3327" w:rsidP="00AA223A" w:rsidRDefault="00120D1C" w14:paraId="19F210D5" w14:textId="3EFDF068">
      <w:pPr>
        <w:pStyle w:val="BodyTextFirstIndent"/>
      </w:pPr>
      <w:r w:rsidRPr="00AA223A">
        <w:t xml:space="preserve">The Authority currently expects that the </w:t>
      </w:r>
      <w:r w:rsidR="00C7294C">
        <w:t>2024 Series C</w:t>
      </w:r>
      <w:r w:rsidR="00C635EB">
        <w:t xml:space="preserve"> Mortgage Loans</w:t>
      </w:r>
      <w:r w:rsidRPr="00AA223A">
        <w:t xml:space="preserve"> will be financed through the purchase of GNMA Certificates</w:t>
      </w:r>
      <w:r>
        <w:t xml:space="preserve"> and </w:t>
      </w:r>
      <w:r w:rsidRPr="00016DA5">
        <w:t xml:space="preserve">conventional loans through the purchase of </w:t>
      </w:r>
      <w:r w:rsidR="008D253D">
        <w:t>UMBS</w:t>
      </w:r>
      <w:r w:rsidRPr="00016DA5">
        <w:t xml:space="preserve"> representing Fannie Mae Loans and Freddie Mac Loans by the Trustee</w:t>
      </w:r>
      <w:r>
        <w:t>.</w:t>
      </w:r>
      <w:r w:rsidRPr="00AA223A" w:rsidR="0031288F">
        <w:t xml:space="preserve">  The obligations of </w:t>
      </w:r>
      <w:r w:rsidRPr="00AA223A" w:rsidR="00EC77C2">
        <w:t xml:space="preserve">Fannie Mae under its guarantees of the Fannie Mae Loans are obligations of Fannie Mae only and the obligations of </w:t>
      </w:r>
      <w:r w:rsidRPr="00AA223A" w:rsidR="0031288F">
        <w:t>Freddie Mac under its guarantees of the Freddie Mac Loans are obligations of Fredd</w:t>
      </w:r>
      <w:r w:rsidRPr="00AA223A" w:rsidR="00E47480">
        <w:t>ie</w:t>
      </w:r>
      <w:r w:rsidRPr="00B34407" w:rsidR="0031288F">
        <w:t xml:space="preserve"> Mac only</w:t>
      </w:r>
      <w:r w:rsidRPr="00B34407" w:rsidR="00155809">
        <w:t xml:space="preserve">.  </w:t>
      </w:r>
      <w:r w:rsidR="00BC19A0">
        <w:t xml:space="preserve">The </w:t>
      </w:r>
      <w:r w:rsidR="008D253D">
        <w:t>UMBS</w:t>
      </w:r>
      <w:r w:rsidRPr="00B34407" w:rsidR="00EC77C2">
        <w:t xml:space="preserve">, including the interest thereon, are </w:t>
      </w:r>
      <w:r w:rsidR="00382BF4">
        <w:t xml:space="preserve">not guaranteed by the United States and do not </w:t>
      </w:r>
      <w:r w:rsidRPr="00B34407" w:rsidR="00EC77C2">
        <w:t xml:space="preserve">constitute debts or obligations of the United States or any agency or instrumentality of the United States other than Fannie Mae and Freddie Mac, as applicable, and </w:t>
      </w:r>
      <w:r w:rsidR="00382BF4">
        <w:t xml:space="preserve">are not </w:t>
      </w:r>
      <w:r w:rsidRPr="00B34407" w:rsidR="00EC77C2">
        <w:t xml:space="preserve">entitled to the full faith and credit of the United States.  </w:t>
      </w:r>
      <w:r w:rsidRPr="00B34407" w:rsidR="00AF72E5">
        <w:t xml:space="preserve">See </w:t>
      </w:r>
      <w:r w:rsidR="00C34AEA">
        <w:t>“</w:t>
      </w:r>
      <w:r w:rsidRPr="00B34407" w:rsidR="00AF72E5">
        <w:t>APPENDIX A: SUMMARY OF MORTGAGE CERTIFICATE PROGRAM</w:t>
      </w:r>
      <w:r w:rsidR="00C34AEA">
        <w:t>”</w:t>
      </w:r>
      <w:r w:rsidRPr="00B34407" w:rsidR="00DA6F3B">
        <w:t xml:space="preserve"> attached hereto.</w:t>
      </w:r>
      <w:r w:rsidRPr="00B34407" w:rsidR="000612C4">
        <w:t xml:space="preserve"> </w:t>
      </w:r>
      <w:r w:rsidR="00BE3C91">
        <w:t xml:space="preserve"> </w:t>
      </w:r>
    </w:p>
    <w:p w:rsidR="005A3327" w:rsidP="00AA223A" w:rsidRDefault="005A3327" w14:paraId="01C281AA" w14:textId="2A624102">
      <w:pPr>
        <w:pStyle w:val="BodyTextFirstIndent"/>
      </w:pPr>
      <w:r w:rsidRPr="00AA223A">
        <w:t xml:space="preserve">The Servicer will be required to purchase the </w:t>
      </w:r>
      <w:r w:rsidR="00C7294C">
        <w:t>2024 Series C</w:t>
      </w:r>
      <w:r w:rsidR="00C635EB">
        <w:t xml:space="preserve"> Mortgage Loans</w:t>
      </w:r>
      <w:r w:rsidRPr="00AA223A">
        <w:t xml:space="preserve"> and issue and sell such GNMA Certific</w:t>
      </w:r>
      <w:r w:rsidR="00FC5C48">
        <w:t xml:space="preserve">ates or </w:t>
      </w:r>
      <w:r w:rsidR="008D253D">
        <w:t>UMBS</w:t>
      </w:r>
      <w:r w:rsidRPr="00B34407">
        <w:t xml:space="preserve">, as applicable, with respect thereto to the Trustee.  See </w:t>
      </w:r>
      <w:r w:rsidR="00C34AEA">
        <w:t>“</w:t>
      </w:r>
      <w:r w:rsidRPr="00B34407">
        <w:t>SINGLE FAMILY MORTGAGE PROGRAM</w:t>
      </w:r>
      <w:r w:rsidR="00C34AEA">
        <w:t>”</w:t>
      </w:r>
      <w:r w:rsidRPr="00B34407">
        <w:t xml:space="preserve"> herein. </w:t>
      </w:r>
    </w:p>
    <w:p w:rsidRPr="003359D0" w:rsidR="003359D0" w:rsidP="003359D0" w:rsidRDefault="003359D0" w14:paraId="63BC8761" w14:textId="483D4661">
      <w:pPr>
        <w:pStyle w:val="atitlenobold"/>
        <w:rPr>
          <w:i/>
        </w:rPr>
      </w:pPr>
      <w:bookmarkStart w:name="_DV_M222" w:id="96"/>
      <w:bookmarkStart w:name="ElPgBr13" w:id="97"/>
      <w:bookmarkEnd w:id="96"/>
      <w:bookmarkEnd w:id="97"/>
      <w:r w:rsidRPr="003359D0">
        <w:rPr>
          <w:i/>
        </w:rPr>
        <w:t>[Remainder of Page Intentionally Left Blank]</w:t>
      </w:r>
    </w:p>
    <w:p w:rsidR="00A762F4" w:rsidRDefault="00A762F4" w14:paraId="5889D6E8" w14:textId="77777777">
      <w:pPr>
        <w:widowControl/>
        <w:autoSpaceDE/>
        <w:autoSpaceDN/>
        <w:adjustRightInd/>
        <w:spacing w:after="160" w:line="259" w:lineRule="auto"/>
        <w:jc w:val="left"/>
        <w:rPr>
          <w:b/>
          <w:bCs/>
        </w:rPr>
      </w:pPr>
      <w:bookmarkStart w:name="_Toc534620328" w:id="98"/>
      <w:bookmarkStart w:name="_Toc534620438" w:id="99"/>
      <w:bookmarkStart w:name="_Toc534620556" w:id="100"/>
      <w:bookmarkStart w:name="_Toc534620877" w:id="101"/>
      <w:bookmarkStart w:name="_Toc534621108" w:id="102"/>
      <w:r>
        <w:br w:type="page"/>
      </w:r>
    </w:p>
    <w:p w:rsidR="00412C21" w:rsidP="00AA223A" w:rsidRDefault="00FB397A" w14:paraId="1F308B20" w14:textId="6797E204">
      <w:pPr>
        <w:pStyle w:val="aHEADING"/>
        <w:rPr>
          <w:b w:val="0"/>
        </w:rPr>
      </w:pPr>
      <w:bookmarkStart w:name="ElPgBr14" w:id="103"/>
      <w:bookmarkStart w:name="_Toc172841915" w:id="104"/>
      <w:bookmarkEnd w:id="103"/>
      <w:r w:rsidRPr="00AA223A">
        <w:lastRenderedPageBreak/>
        <w:t>SOURCES</w:t>
      </w:r>
      <w:r w:rsidRPr="00B34407">
        <w:t xml:space="preserve"> AND USES OF FUND</w:t>
      </w:r>
      <w:bookmarkStart w:name="_DV_M225" w:id="105"/>
      <w:bookmarkEnd w:id="105"/>
      <w:r w:rsidR="00AA223A">
        <w:t>S</w:t>
      </w:r>
      <w:bookmarkEnd w:id="98"/>
      <w:bookmarkEnd w:id="99"/>
      <w:bookmarkEnd w:id="100"/>
      <w:bookmarkEnd w:id="101"/>
      <w:bookmarkEnd w:id="102"/>
      <w:bookmarkEnd w:id="104"/>
    </w:p>
    <w:p w:rsidR="007812DC" w:rsidP="00AA223A" w:rsidRDefault="00AF72E5" w14:paraId="1087A39B" w14:textId="2F3A0B2E">
      <w:pPr>
        <w:pStyle w:val="BodyTextFirstIndent"/>
      </w:pPr>
      <w:r w:rsidRPr="00AA223A">
        <w:t>The</w:t>
      </w:r>
      <w:r w:rsidRPr="00B34407">
        <w:t xml:space="preserve"> proceeds of the issuance of the </w:t>
      </w:r>
      <w:r w:rsidR="00C7294C">
        <w:t>2024 Series C</w:t>
      </w:r>
      <w:r w:rsidR="005B3036">
        <w:t xml:space="preserve"> Bond</w:t>
      </w:r>
      <w:r w:rsidR="006C550F">
        <w:t>s</w:t>
      </w:r>
      <w:r w:rsidRPr="00B34407">
        <w:t xml:space="preserve">, together with moneys available under the Indenture or contributed by the Authority, are expected to be used to provide moneys </w:t>
      </w:r>
      <w:r w:rsidRPr="00B34407" w:rsidR="007812DC">
        <w:t xml:space="preserve">for deposit under the Indenture </w:t>
      </w:r>
      <w:r w:rsidRPr="00B34407">
        <w:t>and to pay certain costs as described below:</w:t>
      </w:r>
    </w:p>
    <w:tbl>
      <w:tblPr>
        <w:tblStyle w:val="TableGrid"/>
        <w:tblW w:w="7740" w:type="dxa"/>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0"/>
        <w:gridCol w:w="2070"/>
      </w:tblGrid>
      <w:tr w:rsidR="00AA223A" w:rsidTr="00AA223A" w14:paraId="7FFFE397" w14:textId="77777777">
        <w:tc>
          <w:tcPr>
            <w:tcW w:w="5670" w:type="dxa"/>
          </w:tcPr>
          <w:p w:rsidRPr="00AA223A" w:rsidR="00AA223A" w:rsidP="00AA223A" w:rsidRDefault="00AA223A" w14:paraId="402B79DA" w14:textId="415B771A">
            <w:pPr>
              <w:rPr>
                <w:b/>
              </w:rPr>
            </w:pPr>
            <w:r w:rsidRPr="00AA223A">
              <w:rPr>
                <w:b/>
              </w:rPr>
              <w:t>Sources of Bond Funds</w:t>
            </w:r>
          </w:p>
        </w:tc>
        <w:tc>
          <w:tcPr>
            <w:tcW w:w="2070" w:type="dxa"/>
          </w:tcPr>
          <w:p w:rsidR="00AA223A" w:rsidP="00AA223A" w:rsidRDefault="00AA223A" w14:paraId="5EEE88B8" w14:textId="77777777"/>
        </w:tc>
      </w:tr>
      <w:tr w:rsidR="00AA223A" w:rsidTr="00AA223A" w14:paraId="285CA4F1" w14:textId="77777777">
        <w:tc>
          <w:tcPr>
            <w:tcW w:w="5670" w:type="dxa"/>
          </w:tcPr>
          <w:p w:rsidR="00AA223A" w:rsidP="00AA223A" w:rsidRDefault="00AA223A" w14:paraId="072F7396" w14:textId="77777777"/>
        </w:tc>
        <w:tc>
          <w:tcPr>
            <w:tcW w:w="2070" w:type="dxa"/>
          </w:tcPr>
          <w:p w:rsidR="00AA223A" w:rsidP="00AA223A" w:rsidRDefault="00AA223A" w14:paraId="4271F1F9" w14:textId="77777777"/>
        </w:tc>
      </w:tr>
      <w:tr w:rsidR="00AA223A" w:rsidTr="00AA223A" w14:paraId="0138797A" w14:textId="77777777">
        <w:tc>
          <w:tcPr>
            <w:tcW w:w="5670" w:type="dxa"/>
          </w:tcPr>
          <w:p w:rsidR="00AA223A" w:rsidP="00AA223A" w:rsidRDefault="00AA223A" w14:paraId="47292B24" w14:textId="03A0D6FC">
            <w:r>
              <w:tab/>
            </w:r>
            <w:r w:rsidR="00C7294C">
              <w:t>2024 Series C</w:t>
            </w:r>
            <w:r w:rsidR="00677019">
              <w:t>-1</w:t>
            </w:r>
            <w:r w:rsidR="00136D88">
              <w:t xml:space="preserve"> Bond</w:t>
            </w:r>
            <w:r>
              <w:t xml:space="preserve"> Principal</w:t>
            </w:r>
          </w:p>
        </w:tc>
        <w:tc>
          <w:tcPr>
            <w:tcW w:w="2070" w:type="dxa"/>
          </w:tcPr>
          <w:p w:rsidR="00AA223A" w:rsidP="003B602F" w:rsidRDefault="00F607C6" w14:paraId="1168EC28" w14:textId="5439072D">
            <w:pPr>
              <w:pStyle w:val="Date"/>
            </w:pPr>
            <w:r>
              <w:t xml:space="preserve"> </w:t>
            </w:r>
            <w:r w:rsidR="00FA0B7A">
              <w:t>$99,245,000.00</w:t>
            </w:r>
          </w:p>
        </w:tc>
      </w:tr>
      <w:tr w:rsidR="001A31F3" w:rsidTr="00AA223A" w14:paraId="642639ED" w14:textId="77777777">
        <w:tc>
          <w:tcPr>
            <w:tcW w:w="5670" w:type="dxa"/>
          </w:tcPr>
          <w:p w:rsidR="001A31F3" w:rsidP="001A31F3" w:rsidRDefault="001A31F3" w14:paraId="4BE6161E" w14:textId="391177F0">
            <w:r>
              <w:tab/>
              <w:t>2024 Series C-1 Bond Premium</w:t>
            </w:r>
          </w:p>
        </w:tc>
        <w:tc>
          <w:tcPr>
            <w:tcW w:w="2070" w:type="dxa"/>
          </w:tcPr>
          <w:p w:rsidR="001A31F3" w:rsidP="003B602F" w:rsidRDefault="001A31F3" w14:paraId="54EB5B9B" w14:textId="7C3CB26B">
            <w:pPr>
              <w:jc w:val="right"/>
            </w:pPr>
            <w:r>
              <w:t xml:space="preserve"> $</w:t>
            </w:r>
            <w:r w:rsidR="00FA0B7A">
              <w:t>754,200.00</w:t>
            </w:r>
          </w:p>
        </w:tc>
      </w:tr>
      <w:tr w:rsidR="00AA223A" w:rsidTr="00AA223A" w14:paraId="4C72488E" w14:textId="77777777">
        <w:tc>
          <w:tcPr>
            <w:tcW w:w="5670" w:type="dxa"/>
          </w:tcPr>
          <w:p w:rsidR="00AA223A" w:rsidP="00A6413E" w:rsidRDefault="00AA223A" w14:paraId="04928559" w14:textId="3AC8FF0F">
            <w:r>
              <w:tab/>
            </w:r>
            <w:r w:rsidR="00C7294C">
              <w:t>2024 Series C</w:t>
            </w:r>
            <w:r w:rsidR="00D57BBF">
              <w:t>-2</w:t>
            </w:r>
            <w:r w:rsidR="00136D88">
              <w:t xml:space="preserve"> Bond</w:t>
            </w:r>
            <w:r>
              <w:t xml:space="preserve"> P</w:t>
            </w:r>
            <w:r w:rsidR="00A6413E">
              <w:t>rincipal</w:t>
            </w:r>
          </w:p>
        </w:tc>
        <w:tc>
          <w:tcPr>
            <w:tcW w:w="2070" w:type="dxa"/>
          </w:tcPr>
          <w:p w:rsidR="00AA223A" w:rsidP="003B602F" w:rsidRDefault="00F607C6" w14:paraId="04124874" w14:textId="1BE8561E">
            <w:pPr>
              <w:jc w:val="right"/>
            </w:pPr>
            <w:r>
              <w:t xml:space="preserve"> </w:t>
            </w:r>
            <w:r w:rsidR="00FA0B7A">
              <w:t>$98,655,000.00</w:t>
            </w:r>
          </w:p>
        </w:tc>
      </w:tr>
      <w:tr w:rsidR="00086C64" w:rsidTr="00AA223A" w14:paraId="1856CEA5" w14:textId="77777777">
        <w:tc>
          <w:tcPr>
            <w:tcW w:w="5670" w:type="dxa"/>
          </w:tcPr>
          <w:p w:rsidR="00086C64" w:rsidP="00A6413E" w:rsidRDefault="00086C64" w14:paraId="408AEB8E" w14:textId="7B31EAFB">
            <w:r>
              <w:tab/>
            </w:r>
            <w:r w:rsidR="00C7294C">
              <w:t>2024 Series C</w:t>
            </w:r>
            <w:r>
              <w:t>-2 Bond Pr</w:t>
            </w:r>
            <w:r w:rsidR="00A6413E">
              <w:t>emium</w:t>
            </w:r>
          </w:p>
        </w:tc>
        <w:tc>
          <w:tcPr>
            <w:tcW w:w="2070" w:type="dxa"/>
          </w:tcPr>
          <w:p w:rsidR="00086C64" w:rsidP="009A14B7" w:rsidRDefault="00086C64" w14:paraId="2C7B7C28" w14:textId="227AFAF9">
            <w:pPr>
              <w:jc w:val="right"/>
            </w:pPr>
            <w:r>
              <w:t xml:space="preserve"> $</w:t>
            </w:r>
            <w:r w:rsidR="009A14B7">
              <w:t>1,340,713.50</w:t>
            </w:r>
          </w:p>
        </w:tc>
      </w:tr>
      <w:tr w:rsidR="00677019" w:rsidTr="00880ADF" w14:paraId="5723B90E" w14:textId="77777777">
        <w:trPr>
          <w:trHeight w:val="297"/>
        </w:trPr>
        <w:tc>
          <w:tcPr>
            <w:tcW w:w="5670" w:type="dxa"/>
          </w:tcPr>
          <w:p w:rsidR="00677019" w:rsidP="00677019" w:rsidRDefault="00677019" w14:paraId="3713A855" w14:textId="1997665B">
            <w:r>
              <w:tab/>
              <w:t>Funds Available Under the Indenture</w:t>
            </w:r>
          </w:p>
        </w:tc>
        <w:tc>
          <w:tcPr>
            <w:tcW w:w="2070" w:type="dxa"/>
          </w:tcPr>
          <w:p w:rsidR="00677019" w:rsidP="000E6F6D" w:rsidRDefault="009A14B7" w14:paraId="082D9116" w14:textId="01E16E80">
            <w:pPr>
              <w:jc w:val="right"/>
            </w:pPr>
            <w:r>
              <w:t xml:space="preserve"> $</w:t>
            </w:r>
            <w:r w:rsidR="000E6F6D">
              <w:t>1,830,200.00</w:t>
            </w:r>
          </w:p>
        </w:tc>
      </w:tr>
      <w:tr w:rsidR="00677019" w:rsidTr="00AA223A" w14:paraId="3A9B1BD4" w14:textId="77777777">
        <w:tc>
          <w:tcPr>
            <w:tcW w:w="5670" w:type="dxa"/>
          </w:tcPr>
          <w:p w:rsidR="00677019" w:rsidP="00677019" w:rsidRDefault="00677019" w14:paraId="1BA34B08" w14:textId="77777777"/>
        </w:tc>
        <w:tc>
          <w:tcPr>
            <w:tcW w:w="2070" w:type="dxa"/>
          </w:tcPr>
          <w:p w:rsidR="00677019" w:rsidP="00677019" w:rsidRDefault="00677019" w14:paraId="628244ED" w14:textId="77777777"/>
        </w:tc>
      </w:tr>
      <w:tr w:rsidR="00677019" w:rsidTr="00AA223A" w14:paraId="0432FF9D" w14:textId="77777777">
        <w:tc>
          <w:tcPr>
            <w:tcW w:w="5670" w:type="dxa"/>
          </w:tcPr>
          <w:p w:rsidRPr="00AA223A" w:rsidR="00677019" w:rsidP="00677019" w:rsidRDefault="00677019" w14:paraId="04BA5491" w14:textId="14A6BFD8">
            <w:pPr>
              <w:rPr>
                <w:b/>
              </w:rPr>
            </w:pPr>
            <w:r w:rsidRPr="00AA223A">
              <w:rPr>
                <w:b/>
              </w:rPr>
              <w:t>Total Sources of Funds</w:t>
            </w:r>
          </w:p>
        </w:tc>
        <w:tc>
          <w:tcPr>
            <w:tcW w:w="2070" w:type="dxa"/>
          </w:tcPr>
          <w:p w:rsidR="00677019" w:rsidP="000E6F6D" w:rsidRDefault="00677019" w14:paraId="7B4AEB54" w14:textId="2ED37312">
            <w:pPr>
              <w:pStyle w:val="Date"/>
            </w:pPr>
            <w:r>
              <w:t xml:space="preserve"> $</w:t>
            </w:r>
            <w:r w:rsidR="000E6F6D">
              <w:t>201,825,113.50</w:t>
            </w:r>
          </w:p>
        </w:tc>
      </w:tr>
      <w:tr w:rsidR="00677019" w:rsidTr="00AA223A" w14:paraId="2F4A3398" w14:textId="77777777">
        <w:tc>
          <w:tcPr>
            <w:tcW w:w="5670" w:type="dxa"/>
          </w:tcPr>
          <w:p w:rsidR="00677019" w:rsidP="00677019" w:rsidRDefault="00677019" w14:paraId="79712EE3" w14:textId="77777777"/>
        </w:tc>
        <w:tc>
          <w:tcPr>
            <w:tcW w:w="2070" w:type="dxa"/>
          </w:tcPr>
          <w:p w:rsidR="00677019" w:rsidP="00BB374C" w:rsidRDefault="00677019" w14:paraId="0620B19B" w14:textId="77777777">
            <w:pPr>
              <w:jc w:val="right"/>
            </w:pPr>
          </w:p>
        </w:tc>
      </w:tr>
      <w:tr w:rsidR="00677019" w:rsidTr="00AA223A" w14:paraId="639A560F" w14:textId="77777777">
        <w:tc>
          <w:tcPr>
            <w:tcW w:w="5670" w:type="dxa"/>
          </w:tcPr>
          <w:p w:rsidRPr="00AA223A" w:rsidR="00677019" w:rsidP="00677019" w:rsidRDefault="00677019" w14:paraId="4CAA0F1B" w14:textId="6575448C">
            <w:pPr>
              <w:rPr>
                <w:b/>
              </w:rPr>
            </w:pPr>
            <w:r w:rsidRPr="00AA223A">
              <w:rPr>
                <w:b/>
              </w:rPr>
              <w:t>Uses of Bonds Funds</w:t>
            </w:r>
          </w:p>
        </w:tc>
        <w:tc>
          <w:tcPr>
            <w:tcW w:w="2070" w:type="dxa"/>
          </w:tcPr>
          <w:p w:rsidR="00677019" w:rsidP="00BB374C" w:rsidRDefault="00677019" w14:paraId="33126430" w14:textId="77777777">
            <w:pPr>
              <w:jc w:val="right"/>
            </w:pPr>
          </w:p>
        </w:tc>
      </w:tr>
      <w:tr w:rsidR="00677019" w:rsidTr="00AA223A" w14:paraId="6D1EB29C" w14:textId="77777777">
        <w:tc>
          <w:tcPr>
            <w:tcW w:w="5670" w:type="dxa"/>
          </w:tcPr>
          <w:p w:rsidR="00677019" w:rsidP="00677019" w:rsidRDefault="00677019" w14:paraId="04F9BA45" w14:textId="77777777"/>
        </w:tc>
        <w:tc>
          <w:tcPr>
            <w:tcW w:w="2070" w:type="dxa"/>
          </w:tcPr>
          <w:p w:rsidR="00677019" w:rsidP="00BB374C" w:rsidRDefault="00677019" w14:paraId="7B6BAED2" w14:textId="77777777">
            <w:pPr>
              <w:jc w:val="right"/>
            </w:pPr>
          </w:p>
        </w:tc>
      </w:tr>
      <w:tr w:rsidR="00677019" w:rsidTr="00AA223A" w14:paraId="34D58BB1" w14:textId="77777777">
        <w:tc>
          <w:tcPr>
            <w:tcW w:w="5670" w:type="dxa"/>
          </w:tcPr>
          <w:p w:rsidR="00677019" w:rsidP="00677019" w:rsidRDefault="00677019" w14:paraId="12E1FA1F" w14:textId="65216CB2">
            <w:r>
              <w:tab/>
              <w:t>Loan Account</w:t>
            </w:r>
            <w:r w:rsidRPr="00AA223A" w:rsidR="00CC2193">
              <w:rPr>
                <w:vertAlign w:val="superscript"/>
              </w:rPr>
              <w:t>1</w:t>
            </w:r>
          </w:p>
        </w:tc>
        <w:tc>
          <w:tcPr>
            <w:tcW w:w="2070" w:type="dxa"/>
          </w:tcPr>
          <w:p w:rsidR="00677019" w:rsidP="00BB374C" w:rsidRDefault="00677019" w14:paraId="02453A2D" w14:textId="5C38FA68">
            <w:pPr>
              <w:jc w:val="right"/>
            </w:pPr>
          </w:p>
        </w:tc>
      </w:tr>
      <w:tr w:rsidR="00677019" w:rsidTr="00AA223A" w14:paraId="4A71DE24" w14:textId="77777777">
        <w:tc>
          <w:tcPr>
            <w:tcW w:w="5670" w:type="dxa"/>
          </w:tcPr>
          <w:p w:rsidR="00677019" w:rsidP="007B38F4" w:rsidRDefault="00677019" w14:paraId="75204F77" w14:textId="29F8E820">
            <w:r>
              <w:tab/>
              <w:t xml:space="preserve">     </w:t>
            </w:r>
            <w:r w:rsidR="00C7294C">
              <w:t>2024 Series C</w:t>
            </w:r>
            <w:r>
              <w:t xml:space="preserve"> Subaccount</w:t>
            </w:r>
          </w:p>
        </w:tc>
        <w:tc>
          <w:tcPr>
            <w:tcW w:w="2070" w:type="dxa"/>
          </w:tcPr>
          <w:p w:rsidR="00677019" w:rsidP="000E6F6D" w:rsidRDefault="00677019" w14:paraId="7395873B" w14:textId="46DACE2D">
            <w:pPr>
              <w:jc w:val="right"/>
            </w:pPr>
            <w:r>
              <w:t>$</w:t>
            </w:r>
            <w:r w:rsidR="000E6F6D">
              <w:t>199,994,913.50</w:t>
            </w:r>
          </w:p>
        </w:tc>
      </w:tr>
      <w:tr w:rsidR="00677019" w:rsidTr="00AA223A" w14:paraId="6116254C" w14:textId="77777777">
        <w:tc>
          <w:tcPr>
            <w:tcW w:w="5670" w:type="dxa"/>
          </w:tcPr>
          <w:p w:rsidR="00677019" w:rsidP="00677019" w:rsidRDefault="00677019" w14:paraId="5B6D15E1" w14:textId="4D81D791">
            <w:r>
              <w:tab/>
              <w:t>Total Issuance Costs</w:t>
            </w:r>
          </w:p>
        </w:tc>
        <w:tc>
          <w:tcPr>
            <w:tcW w:w="2070" w:type="dxa"/>
          </w:tcPr>
          <w:p w:rsidR="00677019" w:rsidP="000E6F6D" w:rsidRDefault="00677019" w14:paraId="02ED34FB" w14:textId="50AA1E68">
            <w:pPr>
              <w:jc w:val="right"/>
            </w:pPr>
            <w:r>
              <w:t>$</w:t>
            </w:r>
            <w:r w:rsidR="000E6F6D">
              <w:t>1,830,200.00</w:t>
            </w:r>
          </w:p>
        </w:tc>
      </w:tr>
      <w:tr w:rsidR="00677019" w:rsidTr="00AA223A" w14:paraId="47F3EF12" w14:textId="77777777">
        <w:tc>
          <w:tcPr>
            <w:tcW w:w="5670" w:type="dxa"/>
          </w:tcPr>
          <w:p w:rsidR="00677019" w:rsidP="00677019" w:rsidRDefault="00677019" w14:paraId="72FDE089" w14:textId="77777777"/>
        </w:tc>
        <w:tc>
          <w:tcPr>
            <w:tcW w:w="2070" w:type="dxa"/>
          </w:tcPr>
          <w:p w:rsidR="00677019" w:rsidP="00BB374C" w:rsidRDefault="00677019" w14:paraId="109BE6DA" w14:textId="77777777">
            <w:pPr>
              <w:jc w:val="right"/>
            </w:pPr>
          </w:p>
        </w:tc>
      </w:tr>
      <w:tr w:rsidR="00677019" w:rsidTr="00AA223A" w14:paraId="1552551C" w14:textId="77777777">
        <w:tc>
          <w:tcPr>
            <w:tcW w:w="5670" w:type="dxa"/>
          </w:tcPr>
          <w:p w:rsidRPr="00AA223A" w:rsidR="00677019" w:rsidP="00677019" w:rsidRDefault="00677019" w14:paraId="37A3F18F" w14:textId="32E544F2">
            <w:pPr>
              <w:rPr>
                <w:b/>
              </w:rPr>
            </w:pPr>
            <w:r w:rsidRPr="00AA223A">
              <w:rPr>
                <w:b/>
              </w:rPr>
              <w:t>Total Uses of Funds</w:t>
            </w:r>
          </w:p>
        </w:tc>
        <w:tc>
          <w:tcPr>
            <w:tcW w:w="2070" w:type="dxa"/>
          </w:tcPr>
          <w:p w:rsidR="00677019" w:rsidP="000E6F6D" w:rsidRDefault="00677019" w14:paraId="2776D83D" w14:textId="2DB41E11">
            <w:pPr>
              <w:jc w:val="right"/>
            </w:pPr>
            <w:r>
              <w:t>$</w:t>
            </w:r>
            <w:r w:rsidR="000E6F6D">
              <w:t>201,825,113.50</w:t>
            </w:r>
          </w:p>
        </w:tc>
      </w:tr>
      <w:tr w:rsidR="00677019" w:rsidTr="00AA223A" w14:paraId="02548438" w14:textId="77777777">
        <w:tc>
          <w:tcPr>
            <w:tcW w:w="5670" w:type="dxa"/>
          </w:tcPr>
          <w:p w:rsidRPr="00AA223A" w:rsidR="00677019" w:rsidP="00677019" w:rsidRDefault="00677019" w14:paraId="0347ED1F" w14:textId="77777777">
            <w:pPr>
              <w:rPr>
                <w:b/>
              </w:rPr>
            </w:pPr>
          </w:p>
        </w:tc>
        <w:tc>
          <w:tcPr>
            <w:tcW w:w="2070" w:type="dxa"/>
          </w:tcPr>
          <w:p w:rsidR="00677019" w:rsidP="00677019" w:rsidRDefault="00677019" w14:paraId="796066CB" w14:textId="77777777"/>
        </w:tc>
      </w:tr>
    </w:tbl>
    <w:p w:rsidRPr="00AA223A" w:rsidR="00AA223A" w:rsidP="00AA223A" w:rsidRDefault="00AA223A" w14:paraId="4F7608D0" w14:textId="4B20E783">
      <w:r>
        <w:tab/>
        <w:t>_______________________</w:t>
      </w:r>
    </w:p>
    <w:p w:rsidR="003060E7" w:rsidP="00AA223A" w:rsidRDefault="005D5046" w14:paraId="2EEB8FAB" w14:textId="087EC6DE">
      <w:pPr>
        <w:ind w:left="810" w:right="900"/>
        <w:rPr>
          <w:bCs/>
          <w:sz w:val="16"/>
          <w:szCs w:val="16"/>
        </w:rPr>
      </w:pPr>
      <w:bookmarkStart w:name="_DV_M226" w:id="106"/>
      <w:bookmarkStart w:name="_Toc3865659" w:id="107"/>
      <w:bookmarkStart w:name="_Toc85337903" w:id="108"/>
      <w:bookmarkStart w:name="_Toc212948759" w:id="109"/>
      <w:bookmarkEnd w:id="106"/>
      <w:r w:rsidRPr="00733680">
        <w:rPr>
          <w:sz w:val="16"/>
          <w:szCs w:val="16"/>
          <w:vertAlign w:val="superscript"/>
        </w:rPr>
        <w:t>1</w:t>
      </w:r>
      <w:r w:rsidR="003060E7">
        <w:rPr>
          <w:bCs/>
          <w:sz w:val="16"/>
          <w:szCs w:val="16"/>
        </w:rPr>
        <w:t>Of</w:t>
      </w:r>
      <w:r w:rsidR="00CC2193">
        <w:rPr>
          <w:bCs/>
          <w:sz w:val="16"/>
          <w:szCs w:val="16"/>
        </w:rPr>
        <w:t xml:space="preserve"> </w:t>
      </w:r>
      <w:r w:rsidRPr="003060E7" w:rsidR="003060E7">
        <w:rPr>
          <w:bCs/>
          <w:sz w:val="16"/>
          <w:szCs w:val="16"/>
        </w:rPr>
        <w:t xml:space="preserve">the amounts deposited in the </w:t>
      </w:r>
      <w:r w:rsidR="00C7294C">
        <w:rPr>
          <w:bCs/>
          <w:sz w:val="16"/>
          <w:szCs w:val="16"/>
        </w:rPr>
        <w:t>2024 Series C</w:t>
      </w:r>
      <w:r w:rsidRPr="003060E7" w:rsidR="003060E7">
        <w:rPr>
          <w:bCs/>
          <w:sz w:val="16"/>
          <w:szCs w:val="16"/>
        </w:rPr>
        <w:t xml:space="preserve"> Subaccount, the Authority is expected to acquire </w:t>
      </w:r>
      <w:r w:rsidRPr="00BE0846" w:rsidR="003060E7">
        <w:rPr>
          <w:bCs/>
          <w:sz w:val="16"/>
          <w:szCs w:val="16"/>
        </w:rPr>
        <w:t>approximately $</w:t>
      </w:r>
      <w:r w:rsidR="0039145B">
        <w:rPr>
          <w:bCs/>
          <w:sz w:val="16"/>
          <w:szCs w:val="16"/>
        </w:rPr>
        <w:t>188,515,000</w:t>
      </w:r>
      <w:r w:rsidRPr="00BE0846" w:rsidR="003060E7">
        <w:rPr>
          <w:bCs/>
          <w:sz w:val="16"/>
          <w:szCs w:val="16"/>
        </w:rPr>
        <w:t xml:space="preserve"> in principal amount of GNMA Certificates and</w:t>
      </w:r>
      <w:r w:rsidR="00F9663B">
        <w:rPr>
          <w:bCs/>
          <w:sz w:val="16"/>
          <w:szCs w:val="16"/>
        </w:rPr>
        <w:t xml:space="preserve"> UMBS and approximately $</w:t>
      </w:r>
      <w:r w:rsidR="0039145B">
        <w:rPr>
          <w:bCs/>
          <w:sz w:val="16"/>
          <w:szCs w:val="16"/>
        </w:rPr>
        <w:t>11,480,000</w:t>
      </w:r>
      <w:r w:rsidRPr="00BE0846" w:rsidR="003060E7">
        <w:rPr>
          <w:bCs/>
          <w:sz w:val="16"/>
          <w:szCs w:val="16"/>
        </w:rPr>
        <w:t xml:space="preserve"> is expected</w:t>
      </w:r>
      <w:r w:rsidRPr="00953CF9" w:rsidR="003060E7">
        <w:rPr>
          <w:bCs/>
          <w:sz w:val="16"/>
          <w:szCs w:val="16"/>
        </w:rPr>
        <w:t xml:space="preserve"> to be used for financing of down payment assistance</w:t>
      </w:r>
      <w:r w:rsidR="003060E7">
        <w:rPr>
          <w:bCs/>
          <w:sz w:val="16"/>
          <w:szCs w:val="16"/>
        </w:rPr>
        <w:t xml:space="preserve"> loans</w:t>
      </w:r>
      <w:r w:rsidRPr="00953CF9" w:rsidR="003060E7">
        <w:rPr>
          <w:bCs/>
          <w:sz w:val="16"/>
          <w:szCs w:val="16"/>
        </w:rPr>
        <w:t xml:space="preserve"> in conjunction with financing of </w:t>
      </w:r>
      <w:r w:rsidR="00C7294C">
        <w:rPr>
          <w:bCs/>
          <w:sz w:val="16"/>
          <w:szCs w:val="16"/>
        </w:rPr>
        <w:t>2024 Series C</w:t>
      </w:r>
      <w:r w:rsidR="003060E7">
        <w:rPr>
          <w:bCs/>
          <w:sz w:val="16"/>
          <w:szCs w:val="16"/>
        </w:rPr>
        <w:t xml:space="preserve"> Mortgage Loans</w:t>
      </w:r>
      <w:r w:rsidRPr="00953CF9" w:rsidR="003060E7">
        <w:rPr>
          <w:bCs/>
          <w:sz w:val="16"/>
          <w:szCs w:val="16"/>
        </w:rPr>
        <w:t>.</w:t>
      </w:r>
      <w:r w:rsidRPr="003060E7" w:rsidR="003060E7">
        <w:rPr>
          <w:bCs/>
          <w:sz w:val="16"/>
          <w:szCs w:val="16"/>
        </w:rPr>
        <w:t xml:space="preserve">  </w:t>
      </w:r>
    </w:p>
    <w:p w:rsidR="003060E7" w:rsidP="00AA223A" w:rsidRDefault="003060E7" w14:paraId="4B0DD5A2" w14:textId="77777777">
      <w:pPr>
        <w:ind w:left="810" w:right="900"/>
        <w:rPr>
          <w:bCs/>
          <w:sz w:val="16"/>
          <w:szCs w:val="16"/>
        </w:rPr>
      </w:pPr>
    </w:p>
    <w:p w:rsidRPr="00B34407" w:rsidR="00FD302E" w:rsidP="001B719C" w:rsidRDefault="00FD302E" w14:paraId="4A3207D6" w14:textId="77777777">
      <w:pPr>
        <w:rPr>
          <w:bCs/>
        </w:rPr>
      </w:pPr>
    </w:p>
    <w:p w:rsidRPr="00B34407" w:rsidR="0067204A" w:rsidP="00AA223A" w:rsidRDefault="00AF72E5" w14:paraId="100255B5" w14:textId="51226A60">
      <w:pPr>
        <w:pStyle w:val="aHEADING"/>
      </w:pPr>
      <w:bookmarkStart w:name="_Toc534620329" w:id="110"/>
      <w:bookmarkStart w:name="_Toc534620439" w:id="111"/>
      <w:bookmarkStart w:name="_Toc534620557" w:id="112"/>
      <w:bookmarkStart w:name="_Toc534620878" w:id="113"/>
      <w:bookmarkStart w:name="_Toc534621109" w:id="114"/>
      <w:bookmarkStart w:name="_Toc172841916" w:id="115"/>
      <w:r w:rsidRPr="00B34407">
        <w:t xml:space="preserve">THE </w:t>
      </w:r>
      <w:bookmarkEnd w:id="107"/>
      <w:bookmarkEnd w:id="108"/>
      <w:bookmarkEnd w:id="109"/>
      <w:r w:rsidR="00C7294C">
        <w:t xml:space="preserve">2024 </w:t>
      </w:r>
      <w:r w:rsidR="0044151A">
        <w:t>SERIES</w:t>
      </w:r>
      <w:r w:rsidR="00C7294C">
        <w:t xml:space="preserve"> C</w:t>
      </w:r>
      <w:r w:rsidR="00EA541C">
        <w:t xml:space="preserve"> BONDS</w:t>
      </w:r>
      <w:bookmarkStart w:name="_Toc212948760" w:id="116"/>
      <w:bookmarkEnd w:id="110"/>
      <w:bookmarkEnd w:id="111"/>
      <w:bookmarkEnd w:id="112"/>
      <w:bookmarkEnd w:id="113"/>
      <w:bookmarkEnd w:id="114"/>
      <w:bookmarkEnd w:id="115"/>
    </w:p>
    <w:p w:rsidRPr="003359D0" w:rsidR="00C27F76" w:rsidP="003359D0" w:rsidRDefault="00AF72E5" w14:paraId="08202E75" w14:textId="775CA81B">
      <w:pPr>
        <w:pStyle w:val="aHEADINGSUB"/>
      </w:pPr>
      <w:bookmarkStart w:name="_Toc534620330" w:id="117"/>
      <w:bookmarkStart w:name="_Toc534620440" w:id="118"/>
      <w:bookmarkStart w:name="_Toc534620558" w:id="119"/>
      <w:bookmarkStart w:name="_Toc534620879" w:id="120"/>
      <w:bookmarkStart w:name="_Toc534621110" w:id="121"/>
      <w:bookmarkStart w:name="_Toc172841917" w:id="122"/>
      <w:r w:rsidRPr="003359D0">
        <w:t>General</w:t>
      </w:r>
      <w:bookmarkEnd w:id="116"/>
      <w:bookmarkEnd w:id="117"/>
      <w:bookmarkEnd w:id="118"/>
      <w:bookmarkEnd w:id="119"/>
      <w:bookmarkEnd w:id="120"/>
      <w:bookmarkEnd w:id="121"/>
      <w:bookmarkEnd w:id="122"/>
    </w:p>
    <w:p w:rsidRPr="00B34407" w:rsidR="00AF72E5" w:rsidP="003359D0" w:rsidRDefault="00AF72E5" w14:paraId="67C25500" w14:textId="324234CA">
      <w:pPr>
        <w:pStyle w:val="BodyTextFirstIndent"/>
        <w:rPr>
          <w:b/>
        </w:rPr>
      </w:pPr>
      <w:bookmarkStart w:name="_DV_M228" w:id="123"/>
      <w:bookmarkEnd w:id="123"/>
      <w:r w:rsidRPr="00B34407">
        <w:t xml:space="preserve">The </w:t>
      </w:r>
      <w:r w:rsidR="00C7294C">
        <w:t>2024 Series C</w:t>
      </w:r>
      <w:r w:rsidR="005B3036">
        <w:t xml:space="preserve"> Bond</w:t>
      </w:r>
      <w:r w:rsidR="006C550F">
        <w:t>s</w:t>
      </w:r>
      <w:r w:rsidRPr="00B34407">
        <w:t xml:space="preserve"> are issuable only as fully registered bonds, in denominations of $5,000 or any integral multiple thereof, and will initially be registered in the name of Cede &amp; Co., as nominee for The Depository Trust Company, New York, New York (</w:t>
      </w:r>
      <w:r w:rsidR="00C34AEA">
        <w:t>“</w:t>
      </w:r>
      <w:r w:rsidRPr="00B34407">
        <w:rPr>
          <w:i/>
        </w:rPr>
        <w:t>DTC</w:t>
      </w:r>
      <w:r w:rsidR="00C34AEA">
        <w:t>”</w:t>
      </w:r>
      <w:r w:rsidRPr="00B34407">
        <w:t xml:space="preserve">) who shall act as securities depository for such </w:t>
      </w:r>
      <w:r w:rsidR="00C7294C">
        <w:t>2024 Series C</w:t>
      </w:r>
      <w:r w:rsidR="005B3036">
        <w:t xml:space="preserve"> Bond</w:t>
      </w:r>
      <w:r w:rsidR="006C550F">
        <w:t>s</w:t>
      </w:r>
      <w:r w:rsidRPr="00B34407">
        <w:t xml:space="preserve">.  So long as DTC or Cede &amp; Co. is the registered owner of the </w:t>
      </w:r>
      <w:r w:rsidR="00C7294C">
        <w:t>2024 Series C</w:t>
      </w:r>
      <w:r w:rsidR="005B3036">
        <w:t xml:space="preserve"> Bond</w:t>
      </w:r>
      <w:r w:rsidR="006C550F">
        <w:t>s</w:t>
      </w:r>
      <w:r w:rsidRPr="00B34407">
        <w:t xml:space="preserve">, payment of principal, redemption price, </w:t>
      </w:r>
      <w:r w:rsidRPr="00B34407" w:rsidR="0059170F">
        <w:t>p</w:t>
      </w:r>
      <w:r w:rsidRPr="00B34407">
        <w:t xml:space="preserve">urchase </w:t>
      </w:r>
      <w:r w:rsidRPr="00B34407" w:rsidR="0059170F">
        <w:t>p</w:t>
      </w:r>
      <w:r w:rsidRPr="00B34407">
        <w:t xml:space="preserve">rice and interest with respect to the </w:t>
      </w:r>
      <w:r w:rsidR="00C7294C">
        <w:t>2024 Series C</w:t>
      </w:r>
      <w:r w:rsidR="005B3036">
        <w:t xml:space="preserve"> Bond</w:t>
      </w:r>
      <w:r w:rsidR="006C550F">
        <w:t>s</w:t>
      </w:r>
      <w:r w:rsidRPr="00B34407">
        <w:t xml:space="preserve"> are to be made directly to DTC by the</w:t>
      </w:r>
      <w:r w:rsidR="006E6CBB">
        <w:t xml:space="preserve"> Paying Agent or its successors as Paying Agent</w:t>
      </w:r>
      <w:r w:rsidRPr="00B34407">
        <w:t xml:space="preserve">.  Disbursements of such payments to DTC Participants (as defined herein) is the responsibility of DTC and disbursement of such payments to the beneficial owners is the responsibility of DTC Participants as more fully described herein.  The Bank of New York </w:t>
      </w:r>
      <w:r w:rsidR="00D3106A">
        <w:t>Mellon Trust Company, N.A.</w:t>
      </w:r>
      <w:r w:rsidRPr="00B34407">
        <w:t xml:space="preserve"> shall serve as Trustee.</w:t>
      </w:r>
    </w:p>
    <w:p w:rsidR="00AF72E5" w:rsidP="004E7CAB" w:rsidRDefault="00AF72E5" w14:paraId="3DE4702C" w14:textId="1F59763E">
      <w:pPr>
        <w:pStyle w:val="BodyTextFirstIndent"/>
      </w:pPr>
      <w:bookmarkStart w:name="_DV_M229" w:id="124"/>
      <w:bookmarkStart w:name="_DV_M230" w:id="125"/>
      <w:bookmarkEnd w:id="124"/>
      <w:bookmarkEnd w:id="125"/>
      <w:r w:rsidRPr="00B34407">
        <w:t xml:space="preserve">The </w:t>
      </w:r>
      <w:r w:rsidR="00C7294C">
        <w:t>2024 Series C</w:t>
      </w:r>
      <w:r w:rsidR="005B3036">
        <w:t xml:space="preserve"> Bond</w:t>
      </w:r>
      <w:r w:rsidR="006C550F">
        <w:t>s</w:t>
      </w:r>
      <w:r w:rsidRPr="00B34407">
        <w:t xml:space="preserve"> shall bear interest from the Delivery Date at the rates as set forth on the inside cover page</w:t>
      </w:r>
      <w:r w:rsidR="00B15CA4">
        <w:t>s</w:t>
      </w:r>
      <w:r w:rsidRPr="00B34407">
        <w:t xml:space="preserve"> hereof, payable on each </w:t>
      </w:r>
      <w:r w:rsidRPr="00B34407" w:rsidR="00384F8B">
        <w:t xml:space="preserve">January 1 </w:t>
      </w:r>
      <w:r w:rsidRPr="00B34407">
        <w:t xml:space="preserve">and </w:t>
      </w:r>
      <w:r w:rsidRPr="00B34407" w:rsidR="00444185">
        <w:t>July</w:t>
      </w:r>
      <w:r w:rsidRPr="00B34407" w:rsidR="00384F8B">
        <w:t xml:space="preserve"> 1, </w:t>
      </w:r>
      <w:r w:rsidRPr="00BF0A3B" w:rsidR="007A3AB6">
        <w:t xml:space="preserve">commencing </w:t>
      </w:r>
      <w:r w:rsidR="006E60FF">
        <w:t>January</w:t>
      </w:r>
      <w:r w:rsidR="001B311A">
        <w:t xml:space="preserve"> 1, 202</w:t>
      </w:r>
      <w:r w:rsidR="006E60FF">
        <w:t>5</w:t>
      </w:r>
      <w:r w:rsidRPr="00BF0A3B">
        <w:t>, until</w:t>
      </w:r>
      <w:r w:rsidRPr="00B34407">
        <w:t xml:space="preserve"> maturity or earlier redemption.  Interest on the </w:t>
      </w:r>
      <w:r w:rsidR="00C7294C">
        <w:t>2024 Series C</w:t>
      </w:r>
      <w:r w:rsidR="005B3036">
        <w:t xml:space="preserve"> Bond</w:t>
      </w:r>
      <w:r w:rsidR="006C550F">
        <w:t>s</w:t>
      </w:r>
      <w:r w:rsidRPr="00B34407">
        <w:t xml:space="preserve"> is to be computed based on a year of 360 days consisting of twelve 30-day months.  The Record Date for the </w:t>
      </w:r>
      <w:r w:rsidR="00C7294C">
        <w:t>2024 Series C</w:t>
      </w:r>
      <w:r w:rsidR="005B3036">
        <w:t xml:space="preserve"> Bond</w:t>
      </w:r>
      <w:r w:rsidR="006C550F">
        <w:t>s</w:t>
      </w:r>
      <w:r w:rsidRPr="00B34407">
        <w:t xml:space="preserve"> shall be the fifteenth day preceding each Interest Payment Date, or the first Business Day thereafter if said fifteenth day is not a Business Day.</w:t>
      </w:r>
      <w:bookmarkStart w:name="_DV_M231" w:id="126"/>
      <w:bookmarkStart w:name="_DV_M233" w:id="127"/>
      <w:bookmarkStart w:name="_DV_M251" w:id="128"/>
      <w:bookmarkEnd w:id="126"/>
      <w:bookmarkEnd w:id="127"/>
      <w:bookmarkEnd w:id="128"/>
    </w:p>
    <w:p w:rsidR="009809E4" w:rsidP="009809E4" w:rsidRDefault="009809E4" w14:paraId="2EACFB2B" w14:textId="1DA4E7F6">
      <w:pPr>
        <w:pStyle w:val="aHEADING"/>
      </w:pPr>
      <w:bookmarkStart w:name="_Toc172841918" w:id="129"/>
      <w:r w:rsidRPr="00E73A11">
        <w:t xml:space="preserve">DESIGNATION OF THE </w:t>
      </w:r>
      <w:r w:rsidR="00C7294C">
        <w:t xml:space="preserve">2024 </w:t>
      </w:r>
      <w:r w:rsidR="005748DD">
        <w:t>SERIES</w:t>
      </w:r>
      <w:r w:rsidR="00C7294C">
        <w:t xml:space="preserve"> C</w:t>
      </w:r>
      <w:r w:rsidR="006019A6">
        <w:t xml:space="preserve"> BONDS</w:t>
      </w:r>
      <w:r w:rsidRPr="00E73A11" w:rsidR="006019A6">
        <w:t xml:space="preserve"> </w:t>
      </w:r>
      <w:r w:rsidRPr="00E73A11">
        <w:t>AS SOCIAL BONDS</w:t>
      </w:r>
      <w:bookmarkEnd w:id="129"/>
    </w:p>
    <w:p w:rsidRPr="00E73A11" w:rsidR="009809E4" w:rsidP="009809E4" w:rsidRDefault="009809E4" w14:paraId="73F651C8" w14:textId="77777777">
      <w:pPr>
        <w:pStyle w:val="Heading2"/>
        <w:keepNext/>
        <w:widowControl/>
        <w:numPr>
          <w:ilvl w:val="1"/>
          <w:numId w:val="42"/>
        </w:numPr>
        <w:autoSpaceDE/>
        <w:autoSpaceDN/>
        <w:adjustRightInd/>
        <w:rPr>
          <w:b/>
          <w:bCs/>
        </w:rPr>
      </w:pPr>
      <w:bookmarkStart w:name="_Toc69199614" w:id="130"/>
      <w:r w:rsidRPr="00E73A11">
        <w:rPr>
          <w:b/>
        </w:rPr>
        <w:t>Overview</w:t>
      </w:r>
      <w:bookmarkEnd w:id="130"/>
    </w:p>
    <w:p w:rsidRPr="00E73A11" w:rsidR="00D052B4" w:rsidP="00D052B4" w:rsidRDefault="00D052B4" w14:paraId="16A5FE18" w14:textId="12305B59">
      <w:pPr>
        <w:pStyle w:val="1stLineIndentSS"/>
        <w:rPr>
          <w:sz w:val="20"/>
          <w:szCs w:val="20"/>
        </w:rPr>
      </w:pPr>
      <w:bookmarkStart w:name="_DV_M277" w:id="131"/>
      <w:bookmarkStart w:name="_Toc3865660" w:id="132"/>
      <w:bookmarkStart w:name="_Toc212948774" w:id="133"/>
      <w:bookmarkStart w:name="_Toc85337904" w:id="134"/>
      <w:bookmarkEnd w:id="131"/>
      <w:r w:rsidRPr="00E73A11">
        <w:rPr>
          <w:sz w:val="20"/>
          <w:szCs w:val="20"/>
        </w:rPr>
        <w:t xml:space="preserve">The </w:t>
      </w:r>
      <w:r w:rsidR="00C7294C">
        <w:rPr>
          <w:sz w:val="20"/>
          <w:szCs w:val="20"/>
        </w:rPr>
        <w:t>2024 Series C</w:t>
      </w:r>
      <w:r w:rsidR="005B3036">
        <w:rPr>
          <w:sz w:val="20"/>
          <w:szCs w:val="20"/>
        </w:rPr>
        <w:t xml:space="preserve"> Bond</w:t>
      </w:r>
      <w:r w:rsidR="006C550F">
        <w:rPr>
          <w:sz w:val="20"/>
          <w:szCs w:val="20"/>
        </w:rPr>
        <w:t>s</w:t>
      </w:r>
      <w:r w:rsidRPr="00E73A11">
        <w:rPr>
          <w:sz w:val="20"/>
          <w:szCs w:val="20"/>
        </w:rPr>
        <w:t xml:space="preserve"> </w:t>
      </w:r>
      <w:r w:rsidR="00581743">
        <w:rPr>
          <w:sz w:val="20"/>
          <w:szCs w:val="20"/>
        </w:rPr>
        <w:t>will be</w:t>
      </w:r>
      <w:r w:rsidRPr="00E73A11">
        <w:rPr>
          <w:sz w:val="20"/>
          <w:szCs w:val="20"/>
        </w:rPr>
        <w:t xml:space="preserve"> designated by the Authority as </w:t>
      </w:r>
      <w:r w:rsidR="00C34AEA">
        <w:rPr>
          <w:sz w:val="20"/>
          <w:szCs w:val="20"/>
        </w:rPr>
        <w:t>“</w:t>
      </w:r>
      <w:r w:rsidRPr="00E73A11">
        <w:rPr>
          <w:sz w:val="20"/>
          <w:szCs w:val="20"/>
        </w:rPr>
        <w:t>Social Bonds.</w:t>
      </w:r>
      <w:r w:rsidR="00C34AEA">
        <w:rPr>
          <w:sz w:val="20"/>
          <w:szCs w:val="20"/>
        </w:rPr>
        <w:t>”</w:t>
      </w:r>
      <w:r w:rsidRPr="00E73A11">
        <w:rPr>
          <w:sz w:val="20"/>
          <w:szCs w:val="20"/>
        </w:rPr>
        <w:t xml:space="preserve">  The Authority is issuing </w:t>
      </w:r>
      <w:bookmarkStart w:name="ElPgBr15" w:id="135"/>
      <w:bookmarkEnd w:id="135"/>
      <w:r w:rsidRPr="00E73A11">
        <w:rPr>
          <w:sz w:val="20"/>
          <w:szCs w:val="20"/>
        </w:rPr>
        <w:t xml:space="preserve">the </w:t>
      </w:r>
      <w:r w:rsidR="00C7294C">
        <w:rPr>
          <w:sz w:val="20"/>
          <w:szCs w:val="20"/>
        </w:rPr>
        <w:t>2024 Series C</w:t>
      </w:r>
      <w:r w:rsidR="005B3036">
        <w:rPr>
          <w:sz w:val="20"/>
          <w:szCs w:val="20"/>
        </w:rPr>
        <w:t xml:space="preserve"> Bond</w:t>
      </w:r>
      <w:r w:rsidR="006C550F">
        <w:rPr>
          <w:sz w:val="20"/>
          <w:szCs w:val="20"/>
        </w:rPr>
        <w:t>s</w:t>
      </w:r>
      <w:r w:rsidRPr="00E73A11">
        <w:rPr>
          <w:sz w:val="20"/>
          <w:szCs w:val="20"/>
        </w:rPr>
        <w:t xml:space="preserve"> as Social Bonds based on the intended use of proceeds of the </w:t>
      </w:r>
      <w:r w:rsidR="00C7294C">
        <w:rPr>
          <w:sz w:val="20"/>
          <w:szCs w:val="20"/>
        </w:rPr>
        <w:t>2024 Series C</w:t>
      </w:r>
      <w:r w:rsidR="005B3036">
        <w:rPr>
          <w:sz w:val="20"/>
          <w:szCs w:val="20"/>
        </w:rPr>
        <w:t xml:space="preserve"> Bond</w:t>
      </w:r>
      <w:r w:rsidR="006C550F">
        <w:rPr>
          <w:sz w:val="20"/>
          <w:szCs w:val="20"/>
        </w:rPr>
        <w:t>s</w:t>
      </w:r>
      <w:r w:rsidRPr="00E73A11">
        <w:rPr>
          <w:sz w:val="20"/>
          <w:szCs w:val="20"/>
        </w:rPr>
        <w:t xml:space="preserve"> to finance </w:t>
      </w:r>
      <w:r w:rsidRPr="00E73A11">
        <w:rPr>
          <w:sz w:val="20"/>
          <w:szCs w:val="20"/>
        </w:rPr>
        <w:lastRenderedPageBreak/>
        <w:t xml:space="preserve">Mortgage Loans </w:t>
      </w:r>
      <w:r>
        <w:rPr>
          <w:sz w:val="20"/>
          <w:szCs w:val="20"/>
        </w:rPr>
        <w:t>and to fund down</w:t>
      </w:r>
      <w:r w:rsidR="008A3734">
        <w:rPr>
          <w:sz w:val="20"/>
          <w:szCs w:val="20"/>
        </w:rPr>
        <w:t xml:space="preserve"> </w:t>
      </w:r>
      <w:r>
        <w:rPr>
          <w:sz w:val="20"/>
          <w:szCs w:val="20"/>
        </w:rPr>
        <w:t>payment assistance loans under the Authority</w:t>
      </w:r>
      <w:r w:rsidR="00C34AEA">
        <w:rPr>
          <w:sz w:val="20"/>
          <w:szCs w:val="20"/>
        </w:rPr>
        <w:t>’</w:t>
      </w:r>
      <w:r>
        <w:rPr>
          <w:sz w:val="20"/>
          <w:szCs w:val="20"/>
        </w:rPr>
        <w:t xml:space="preserve">s </w:t>
      </w:r>
      <w:r w:rsidR="004D2C2A">
        <w:rPr>
          <w:sz w:val="20"/>
          <w:szCs w:val="20"/>
        </w:rPr>
        <w:t>s</w:t>
      </w:r>
      <w:r>
        <w:rPr>
          <w:sz w:val="20"/>
          <w:szCs w:val="20"/>
        </w:rPr>
        <w:t xml:space="preserve">ingle </w:t>
      </w:r>
      <w:r w:rsidR="004D2C2A">
        <w:rPr>
          <w:sz w:val="20"/>
          <w:szCs w:val="20"/>
        </w:rPr>
        <w:t>family homebuyer p</w:t>
      </w:r>
      <w:r>
        <w:rPr>
          <w:sz w:val="20"/>
          <w:szCs w:val="20"/>
        </w:rPr>
        <w:t xml:space="preserve">rogram, both types of loans are </w:t>
      </w:r>
      <w:r w:rsidRPr="00E73A11">
        <w:rPr>
          <w:sz w:val="20"/>
          <w:szCs w:val="20"/>
        </w:rPr>
        <w:t>generally made to first-time homebuyers of low and moderate income throughout the State</w:t>
      </w:r>
      <w:r w:rsidR="004D2C2A">
        <w:rPr>
          <w:sz w:val="20"/>
          <w:szCs w:val="20"/>
        </w:rPr>
        <w:t xml:space="preserve">.  </w:t>
      </w:r>
      <w:r>
        <w:rPr>
          <w:sz w:val="20"/>
          <w:szCs w:val="20"/>
        </w:rPr>
        <w:t xml:space="preserve">See </w:t>
      </w:r>
      <w:r w:rsidR="00C34AEA">
        <w:rPr>
          <w:sz w:val="20"/>
          <w:szCs w:val="20"/>
        </w:rPr>
        <w:t>“</w:t>
      </w:r>
      <w:r>
        <w:rPr>
          <w:sz w:val="20"/>
          <w:szCs w:val="20"/>
        </w:rPr>
        <w:t>Authority Mission and Homebuyer Programs</w:t>
      </w:r>
      <w:r w:rsidR="00C34AEA">
        <w:rPr>
          <w:sz w:val="20"/>
          <w:szCs w:val="20"/>
        </w:rPr>
        <w:t>”</w:t>
      </w:r>
      <w:r>
        <w:rPr>
          <w:sz w:val="20"/>
          <w:szCs w:val="20"/>
        </w:rPr>
        <w:t xml:space="preserve"> and </w:t>
      </w:r>
      <w:r w:rsidR="00C34AEA">
        <w:rPr>
          <w:sz w:val="20"/>
          <w:szCs w:val="20"/>
        </w:rPr>
        <w:t>“</w:t>
      </w:r>
      <w:r>
        <w:rPr>
          <w:sz w:val="20"/>
          <w:szCs w:val="20"/>
        </w:rPr>
        <w:t>Historical Program Data</w:t>
      </w:r>
      <w:r w:rsidR="00C34AEA">
        <w:rPr>
          <w:sz w:val="20"/>
          <w:szCs w:val="20"/>
        </w:rPr>
        <w:t>”</w:t>
      </w:r>
      <w:r>
        <w:rPr>
          <w:sz w:val="20"/>
          <w:szCs w:val="20"/>
        </w:rPr>
        <w:t xml:space="preserve"> below.</w:t>
      </w:r>
    </w:p>
    <w:p w:rsidR="00D052B4" w:rsidP="00D052B4" w:rsidRDefault="00D052B4" w14:paraId="79119723" w14:textId="19F3846D">
      <w:pPr>
        <w:pStyle w:val="1stLineIndentSS"/>
        <w:rPr>
          <w:sz w:val="20"/>
          <w:szCs w:val="20"/>
        </w:rPr>
      </w:pPr>
      <w:r>
        <w:rPr>
          <w:sz w:val="20"/>
          <w:szCs w:val="20"/>
        </w:rPr>
        <w:t>The Authority</w:t>
      </w:r>
      <w:r w:rsidR="00C34AEA">
        <w:rPr>
          <w:sz w:val="20"/>
          <w:szCs w:val="20"/>
        </w:rPr>
        <w:t>’</w:t>
      </w:r>
      <w:r>
        <w:rPr>
          <w:sz w:val="20"/>
          <w:szCs w:val="20"/>
        </w:rPr>
        <w:t xml:space="preserve">s goal in providing down payment assistance within the framework of a bond-financed home mortgage program targeting low- and moderate-income first-time homebuyers is to recognize the difficulty such homebuyers have in accumulating the initial funds generally needed for a first-time home purchase.  Low interest rates are not always enough for the lower-income </w:t>
      </w:r>
      <w:r w:rsidR="00CF1A24">
        <w:rPr>
          <w:sz w:val="20"/>
          <w:szCs w:val="20"/>
        </w:rPr>
        <w:t>homebuyer</w:t>
      </w:r>
      <w:r>
        <w:rPr>
          <w:sz w:val="20"/>
          <w:szCs w:val="20"/>
        </w:rPr>
        <w:t xml:space="preserve"> who cannot leverage equity from the sale of a prior home to purchase their first house.  The Authority recognizes that the first home purchase is for many people the first opportunity that they will have to build wealth over time via homeownership for their future financial security.  </w:t>
      </w:r>
    </w:p>
    <w:p w:rsidR="00D052B4" w:rsidP="00D052B4" w:rsidRDefault="00D052B4" w14:paraId="32E0114D" w14:textId="32D27B37">
      <w:pPr>
        <w:pStyle w:val="1stLineIndentSS"/>
        <w:rPr>
          <w:sz w:val="20"/>
          <w:szCs w:val="20"/>
        </w:rPr>
      </w:pPr>
      <w:r w:rsidRPr="00E73A11">
        <w:rPr>
          <w:sz w:val="20"/>
          <w:szCs w:val="20"/>
        </w:rPr>
        <w:t xml:space="preserve">The Authority believes the intended use of proceeds of the </w:t>
      </w:r>
      <w:r w:rsidR="00C7294C">
        <w:rPr>
          <w:sz w:val="20"/>
          <w:szCs w:val="20"/>
        </w:rPr>
        <w:t>2024 Series C</w:t>
      </w:r>
      <w:r w:rsidR="005B3036">
        <w:rPr>
          <w:sz w:val="20"/>
          <w:szCs w:val="20"/>
        </w:rPr>
        <w:t xml:space="preserve"> Bond</w:t>
      </w:r>
      <w:r w:rsidR="006C550F">
        <w:rPr>
          <w:sz w:val="20"/>
          <w:szCs w:val="20"/>
        </w:rPr>
        <w:t>s</w:t>
      </w:r>
      <w:r w:rsidRPr="00E73A11">
        <w:rPr>
          <w:sz w:val="20"/>
          <w:szCs w:val="20"/>
        </w:rPr>
        <w:t xml:space="preserve"> and the manner of expenditure of such funds are consistent with the four core components described by the International Capital Market Association (</w:t>
      </w:r>
      <w:r w:rsidR="00C34AEA">
        <w:rPr>
          <w:sz w:val="20"/>
          <w:szCs w:val="20"/>
        </w:rPr>
        <w:t>“</w:t>
      </w:r>
      <w:r w:rsidRPr="00766943">
        <w:rPr>
          <w:i/>
          <w:sz w:val="20"/>
          <w:szCs w:val="20"/>
        </w:rPr>
        <w:t>ICMA</w:t>
      </w:r>
      <w:r w:rsidR="00C34AEA">
        <w:rPr>
          <w:sz w:val="20"/>
          <w:szCs w:val="20"/>
        </w:rPr>
        <w:t>”</w:t>
      </w:r>
      <w:r w:rsidR="00A23BEE">
        <w:rPr>
          <w:sz w:val="20"/>
          <w:szCs w:val="20"/>
        </w:rPr>
        <w:t>) in its June 2</w:t>
      </w:r>
      <w:r w:rsidR="008A1C87">
        <w:rPr>
          <w:sz w:val="20"/>
          <w:szCs w:val="20"/>
        </w:rPr>
        <w:t>023</w:t>
      </w:r>
      <w:r w:rsidRPr="00E73A11">
        <w:rPr>
          <w:sz w:val="20"/>
          <w:szCs w:val="20"/>
        </w:rPr>
        <w:t xml:space="preserve"> publication, </w:t>
      </w:r>
      <w:r w:rsidRPr="00E73A11">
        <w:rPr>
          <w:i/>
          <w:sz w:val="20"/>
          <w:szCs w:val="20"/>
        </w:rPr>
        <w:t>Social Bond Principles</w:t>
      </w:r>
      <w:r w:rsidRPr="00E73A11">
        <w:rPr>
          <w:sz w:val="20"/>
          <w:szCs w:val="20"/>
        </w:rPr>
        <w:t>:  (1) Use of Proceeds, (2) Process for Evaluation and Selection, (3) Management of Proceeds and (4) Reporting.</w:t>
      </w:r>
    </w:p>
    <w:p w:rsidRPr="00E73A11" w:rsidR="00D052B4" w:rsidP="00D052B4" w:rsidRDefault="00D052B4" w14:paraId="59048CEA" w14:textId="1C19C3B3">
      <w:pPr>
        <w:pStyle w:val="1stLineIndentSS"/>
        <w:rPr>
          <w:sz w:val="20"/>
          <w:szCs w:val="20"/>
        </w:rPr>
      </w:pPr>
      <w:r>
        <w:rPr>
          <w:sz w:val="20"/>
          <w:szCs w:val="20"/>
        </w:rPr>
        <w:t xml:space="preserve">The term </w:t>
      </w:r>
      <w:r w:rsidR="00C34AEA">
        <w:rPr>
          <w:sz w:val="20"/>
          <w:szCs w:val="20"/>
        </w:rPr>
        <w:t>“</w:t>
      </w:r>
      <w:r>
        <w:rPr>
          <w:sz w:val="20"/>
          <w:szCs w:val="20"/>
        </w:rPr>
        <w:t>Social Bonds</w:t>
      </w:r>
      <w:r w:rsidR="00C34AEA">
        <w:rPr>
          <w:sz w:val="20"/>
          <w:szCs w:val="20"/>
        </w:rPr>
        <w:t>”</w:t>
      </w:r>
      <w:r>
        <w:rPr>
          <w:sz w:val="20"/>
          <w:szCs w:val="20"/>
        </w:rPr>
        <w:t xml:space="preserve"> is neither defined in nor related to the provisions in the Indenture.  The use of such term herein is for identification purposes only and is not intended to provide or imply that an owner of Social Bonds is entitled to any additional security beyond that provided therefor in the Indenture.  Holders of Social Bonds do not assume any specific risk with respect to any of the </w:t>
      </w:r>
      <w:r w:rsidR="00C7294C">
        <w:rPr>
          <w:sz w:val="20"/>
          <w:szCs w:val="20"/>
        </w:rPr>
        <w:t>2024 Series C</w:t>
      </w:r>
      <w:r w:rsidR="00C635EB">
        <w:rPr>
          <w:sz w:val="20"/>
          <w:szCs w:val="20"/>
        </w:rPr>
        <w:t xml:space="preserve"> Mortgage Loans</w:t>
      </w:r>
      <w:r>
        <w:rPr>
          <w:sz w:val="20"/>
          <w:szCs w:val="20"/>
        </w:rPr>
        <w:t xml:space="preserve"> by any reason of the </w:t>
      </w:r>
      <w:r w:rsidR="00C7294C">
        <w:rPr>
          <w:sz w:val="20"/>
          <w:szCs w:val="20"/>
        </w:rPr>
        <w:t>2024 Series C</w:t>
      </w:r>
      <w:r w:rsidR="005B3036">
        <w:rPr>
          <w:sz w:val="20"/>
          <w:szCs w:val="20"/>
        </w:rPr>
        <w:t xml:space="preserve"> Bond</w:t>
      </w:r>
      <w:r w:rsidR="006C550F">
        <w:rPr>
          <w:sz w:val="20"/>
          <w:szCs w:val="20"/>
        </w:rPr>
        <w:t>s</w:t>
      </w:r>
      <w:r>
        <w:rPr>
          <w:sz w:val="20"/>
          <w:szCs w:val="20"/>
        </w:rPr>
        <w:t xml:space="preserve"> being designated as Social Bonds, and such </w:t>
      </w:r>
      <w:r w:rsidR="00C7294C">
        <w:rPr>
          <w:sz w:val="20"/>
          <w:szCs w:val="20"/>
        </w:rPr>
        <w:t>2024 Series C</w:t>
      </w:r>
      <w:r w:rsidR="005B3036">
        <w:rPr>
          <w:sz w:val="20"/>
          <w:szCs w:val="20"/>
        </w:rPr>
        <w:t xml:space="preserve"> Bond</w:t>
      </w:r>
      <w:r w:rsidR="006C550F">
        <w:rPr>
          <w:sz w:val="20"/>
          <w:szCs w:val="20"/>
        </w:rPr>
        <w:t>s</w:t>
      </w:r>
      <w:r>
        <w:rPr>
          <w:sz w:val="20"/>
          <w:szCs w:val="20"/>
        </w:rPr>
        <w:t xml:space="preserve"> are secured on parity with all other Single Family Mortgage Revenue Bonds issued and to be issued un</w:t>
      </w:r>
      <w:r w:rsidR="008A3734">
        <w:rPr>
          <w:sz w:val="20"/>
          <w:szCs w:val="20"/>
        </w:rPr>
        <w:t>der</w:t>
      </w:r>
      <w:r>
        <w:rPr>
          <w:sz w:val="20"/>
          <w:szCs w:val="20"/>
        </w:rPr>
        <w:t xml:space="preserve"> the Indenture.</w:t>
      </w:r>
    </w:p>
    <w:p w:rsidRPr="00E73A11" w:rsidR="00D052B4" w:rsidP="00D052B4" w:rsidRDefault="00D052B4" w14:paraId="1E9ED3F6" w14:textId="2B3EAA64">
      <w:pPr>
        <w:pStyle w:val="1stLineIndentSS"/>
        <w:rPr>
          <w:sz w:val="20"/>
          <w:szCs w:val="20"/>
        </w:rPr>
      </w:pPr>
      <w:r w:rsidRPr="00E73A11">
        <w:rPr>
          <w:i/>
          <w:sz w:val="20"/>
          <w:szCs w:val="20"/>
        </w:rPr>
        <w:t>Use of Proceeds</w:t>
      </w:r>
      <w:r w:rsidRPr="00E73A11">
        <w:rPr>
          <w:sz w:val="20"/>
          <w:szCs w:val="20"/>
        </w:rPr>
        <w:t xml:space="preserve">.  The </w:t>
      </w:r>
      <w:r w:rsidR="00C7294C">
        <w:rPr>
          <w:sz w:val="20"/>
          <w:szCs w:val="20"/>
        </w:rPr>
        <w:t>2024 Series C</w:t>
      </w:r>
      <w:r w:rsidR="005B3036">
        <w:rPr>
          <w:sz w:val="20"/>
          <w:szCs w:val="20"/>
        </w:rPr>
        <w:t xml:space="preserve"> Bond</w:t>
      </w:r>
      <w:r w:rsidRPr="00E73A11">
        <w:rPr>
          <w:sz w:val="20"/>
          <w:szCs w:val="20"/>
        </w:rPr>
        <w:t xml:space="preserve"> proceeds will be used to finance Mortgage Loans generally made to first-time homebuyers of low and moderate income throughout the State.  The Authority anticipates the </w:t>
      </w:r>
      <w:r w:rsidR="00C7294C">
        <w:rPr>
          <w:sz w:val="20"/>
          <w:szCs w:val="20"/>
        </w:rPr>
        <w:t>2024 Series C</w:t>
      </w:r>
      <w:r w:rsidR="005B3036">
        <w:rPr>
          <w:sz w:val="20"/>
          <w:szCs w:val="20"/>
        </w:rPr>
        <w:t xml:space="preserve"> Bond</w:t>
      </w:r>
      <w:r w:rsidRPr="00E73A11">
        <w:rPr>
          <w:sz w:val="20"/>
          <w:szCs w:val="20"/>
        </w:rPr>
        <w:t xml:space="preserve"> proceeds will be utilized to</w:t>
      </w:r>
      <w:r>
        <w:rPr>
          <w:sz w:val="20"/>
          <w:szCs w:val="20"/>
        </w:rPr>
        <w:t xml:space="preserve"> (i)</w:t>
      </w:r>
      <w:r w:rsidRPr="00E73A11">
        <w:rPr>
          <w:sz w:val="20"/>
          <w:szCs w:val="20"/>
        </w:rPr>
        <w:t xml:space="preserve"> purchase Mortgage-Backed Securities backed by pools of such </w:t>
      </w:r>
      <w:r w:rsidR="00C7294C">
        <w:rPr>
          <w:sz w:val="20"/>
          <w:szCs w:val="20"/>
        </w:rPr>
        <w:t>2024 Series C</w:t>
      </w:r>
      <w:r w:rsidR="00C635EB">
        <w:rPr>
          <w:sz w:val="20"/>
          <w:szCs w:val="20"/>
        </w:rPr>
        <w:t xml:space="preserve"> Mortgage Loans</w:t>
      </w:r>
      <w:r>
        <w:rPr>
          <w:sz w:val="20"/>
          <w:szCs w:val="20"/>
        </w:rPr>
        <w:t xml:space="preserve"> and (ii) fund down</w:t>
      </w:r>
      <w:r w:rsidR="008A3734">
        <w:rPr>
          <w:sz w:val="20"/>
          <w:szCs w:val="20"/>
        </w:rPr>
        <w:t xml:space="preserve"> </w:t>
      </w:r>
      <w:r>
        <w:rPr>
          <w:sz w:val="20"/>
          <w:szCs w:val="20"/>
        </w:rPr>
        <w:t>payment assistance loans</w:t>
      </w:r>
      <w:r w:rsidRPr="00E73A11">
        <w:rPr>
          <w:sz w:val="20"/>
          <w:szCs w:val="20"/>
        </w:rPr>
        <w:t>.</w:t>
      </w:r>
    </w:p>
    <w:p w:rsidRPr="00E73A11" w:rsidR="00D052B4" w:rsidP="00D052B4" w:rsidRDefault="00D052B4" w14:paraId="4E364DDF" w14:textId="58D6CC5D">
      <w:pPr>
        <w:pStyle w:val="1stLineIndentSS"/>
        <w:rPr>
          <w:sz w:val="20"/>
          <w:szCs w:val="20"/>
        </w:rPr>
      </w:pPr>
      <w:r w:rsidRPr="00E73A11">
        <w:rPr>
          <w:i/>
          <w:sz w:val="20"/>
          <w:szCs w:val="20"/>
        </w:rPr>
        <w:t>Process for Loan Evaluation and Selection</w:t>
      </w:r>
      <w:r w:rsidRPr="00E73A11">
        <w:rPr>
          <w:sz w:val="20"/>
          <w:szCs w:val="20"/>
        </w:rPr>
        <w:t xml:space="preserve">.  Each </w:t>
      </w:r>
      <w:r w:rsidR="00C7294C">
        <w:rPr>
          <w:sz w:val="20"/>
          <w:szCs w:val="20"/>
        </w:rPr>
        <w:t>2024 Series C</w:t>
      </w:r>
      <w:r w:rsidR="00AE3D2B">
        <w:rPr>
          <w:sz w:val="20"/>
          <w:szCs w:val="20"/>
        </w:rPr>
        <w:t xml:space="preserve"> Mortgage</w:t>
      </w:r>
      <w:r w:rsidR="00B2412E">
        <w:rPr>
          <w:sz w:val="20"/>
          <w:szCs w:val="20"/>
        </w:rPr>
        <w:t xml:space="preserve"> Loan</w:t>
      </w:r>
      <w:r w:rsidR="00D83C53">
        <w:rPr>
          <w:sz w:val="20"/>
          <w:szCs w:val="20"/>
        </w:rPr>
        <w:t xml:space="preserve"> </w:t>
      </w:r>
      <w:r w:rsidRPr="00E73A11">
        <w:rPr>
          <w:sz w:val="20"/>
          <w:szCs w:val="20"/>
        </w:rPr>
        <w:t xml:space="preserve">financed with proceeds of the </w:t>
      </w:r>
      <w:r w:rsidR="00C7294C">
        <w:rPr>
          <w:sz w:val="20"/>
          <w:szCs w:val="20"/>
        </w:rPr>
        <w:t>2024 Series C</w:t>
      </w:r>
      <w:r w:rsidR="005B3036">
        <w:rPr>
          <w:sz w:val="20"/>
          <w:szCs w:val="20"/>
        </w:rPr>
        <w:t xml:space="preserve"> Bond</w:t>
      </w:r>
      <w:r w:rsidR="006C550F">
        <w:rPr>
          <w:sz w:val="20"/>
          <w:szCs w:val="20"/>
        </w:rPr>
        <w:t>s</w:t>
      </w:r>
      <w:r w:rsidRPr="00E73A11">
        <w:rPr>
          <w:sz w:val="20"/>
          <w:szCs w:val="20"/>
        </w:rPr>
        <w:t xml:space="preserve"> will be</w:t>
      </w:r>
      <w:r>
        <w:rPr>
          <w:sz w:val="20"/>
          <w:szCs w:val="20"/>
        </w:rPr>
        <w:t xml:space="preserve"> a</w:t>
      </w:r>
      <w:r w:rsidRPr="00E73A11">
        <w:rPr>
          <w:sz w:val="20"/>
          <w:szCs w:val="20"/>
        </w:rPr>
        <w:t xml:space="preserve"> permitted loan under the Indenture, the Act and the Code that meet</w:t>
      </w:r>
      <w:r w:rsidR="0025598B">
        <w:rPr>
          <w:sz w:val="20"/>
          <w:szCs w:val="20"/>
        </w:rPr>
        <w:t>s</w:t>
      </w:r>
      <w:r w:rsidRPr="00E73A11">
        <w:rPr>
          <w:sz w:val="20"/>
          <w:szCs w:val="20"/>
        </w:rPr>
        <w:t xml:space="preserve"> eligibility criteria under the Authority</w:t>
      </w:r>
      <w:r w:rsidR="00C34AEA">
        <w:rPr>
          <w:sz w:val="20"/>
          <w:szCs w:val="20"/>
        </w:rPr>
        <w:t>’</w:t>
      </w:r>
      <w:r w:rsidRPr="00E73A11">
        <w:rPr>
          <w:sz w:val="20"/>
          <w:szCs w:val="20"/>
        </w:rPr>
        <w:t xml:space="preserve">s homebuyer programs, as more fully described in </w:t>
      </w:r>
      <w:r w:rsidR="00C34AEA">
        <w:rPr>
          <w:sz w:val="20"/>
          <w:szCs w:val="20"/>
        </w:rPr>
        <w:t>“</w:t>
      </w:r>
      <w:r>
        <w:rPr>
          <w:sz w:val="20"/>
          <w:szCs w:val="20"/>
        </w:rPr>
        <w:t>SINGLE FAMILY MORTGAGE</w:t>
      </w:r>
      <w:r w:rsidRPr="00E73A11">
        <w:rPr>
          <w:sz w:val="20"/>
          <w:szCs w:val="20"/>
        </w:rPr>
        <w:t xml:space="preserve"> PROGRAM</w:t>
      </w:r>
      <w:r w:rsidR="00C34AEA">
        <w:rPr>
          <w:sz w:val="20"/>
          <w:szCs w:val="20"/>
        </w:rPr>
        <w:t>”</w:t>
      </w:r>
      <w:r w:rsidRPr="00E73A11">
        <w:rPr>
          <w:sz w:val="20"/>
          <w:szCs w:val="20"/>
        </w:rPr>
        <w:t xml:space="preserve"> and </w:t>
      </w:r>
      <w:r w:rsidR="00C34AEA">
        <w:rPr>
          <w:sz w:val="20"/>
          <w:szCs w:val="20"/>
        </w:rPr>
        <w:t>“</w:t>
      </w:r>
      <w:r>
        <w:rPr>
          <w:sz w:val="20"/>
          <w:szCs w:val="20"/>
        </w:rPr>
        <w:t>FEDERAL TAX LAW REQUIREMENTS</w:t>
      </w:r>
      <w:r w:rsidRPr="00E73A11">
        <w:rPr>
          <w:sz w:val="20"/>
          <w:szCs w:val="20"/>
        </w:rPr>
        <w:t>.</w:t>
      </w:r>
      <w:r w:rsidR="00C34AEA">
        <w:rPr>
          <w:sz w:val="20"/>
          <w:szCs w:val="20"/>
        </w:rPr>
        <w:t>”</w:t>
      </w:r>
    </w:p>
    <w:p w:rsidRPr="00E73A11" w:rsidR="00D052B4" w:rsidP="00D052B4" w:rsidRDefault="00D052B4" w14:paraId="1456451F" w14:textId="7AA6D260">
      <w:pPr>
        <w:pStyle w:val="1stLineIndentSS"/>
        <w:rPr>
          <w:sz w:val="20"/>
          <w:szCs w:val="20"/>
        </w:rPr>
      </w:pPr>
      <w:r w:rsidRPr="00E73A11">
        <w:rPr>
          <w:i/>
          <w:sz w:val="20"/>
          <w:szCs w:val="20"/>
        </w:rPr>
        <w:t>Management of Proceeds</w:t>
      </w:r>
      <w:r w:rsidRPr="00E73A11">
        <w:rPr>
          <w:sz w:val="20"/>
          <w:szCs w:val="20"/>
        </w:rPr>
        <w:t xml:space="preserve">.  </w:t>
      </w:r>
      <w:r w:rsidR="006900D9">
        <w:rPr>
          <w:sz w:val="20"/>
          <w:szCs w:val="20"/>
        </w:rPr>
        <w:t>T</w:t>
      </w:r>
      <w:r w:rsidRPr="00E73A11">
        <w:rPr>
          <w:sz w:val="20"/>
          <w:szCs w:val="20"/>
        </w:rPr>
        <w:t xml:space="preserve">he proceeds of the </w:t>
      </w:r>
      <w:r w:rsidR="00C7294C">
        <w:rPr>
          <w:sz w:val="20"/>
          <w:szCs w:val="20"/>
        </w:rPr>
        <w:t>2024 Series C</w:t>
      </w:r>
      <w:r w:rsidR="005B3036">
        <w:rPr>
          <w:sz w:val="20"/>
          <w:szCs w:val="20"/>
        </w:rPr>
        <w:t xml:space="preserve"> Bond</w:t>
      </w:r>
      <w:r w:rsidR="006C550F">
        <w:rPr>
          <w:sz w:val="20"/>
          <w:szCs w:val="20"/>
        </w:rPr>
        <w:t>s</w:t>
      </w:r>
      <w:r w:rsidR="000A1CE0">
        <w:rPr>
          <w:sz w:val="20"/>
          <w:szCs w:val="20"/>
        </w:rPr>
        <w:t xml:space="preserve"> allocable to the purchase of new loans</w:t>
      </w:r>
      <w:r w:rsidRPr="00E73A11">
        <w:rPr>
          <w:sz w:val="20"/>
          <w:szCs w:val="20"/>
        </w:rPr>
        <w:t xml:space="preserve"> will be deposited in segregated accounts under the Indenture and invested in Investment Securities as permitted by the Indenture until disbursed to finance Mortgage Loans or Mortgage Certificates backed by pools of Mortgage Loans.  Such disbursements will be tracked by the Authority.  See </w:t>
      </w:r>
      <w:r w:rsidR="00C34AEA">
        <w:rPr>
          <w:sz w:val="20"/>
          <w:szCs w:val="20"/>
        </w:rPr>
        <w:t>“</w:t>
      </w:r>
      <w:r w:rsidRPr="00E73A11">
        <w:rPr>
          <w:sz w:val="20"/>
          <w:szCs w:val="20"/>
        </w:rPr>
        <w:t xml:space="preserve">APPENDIX D —SUMMARY OF </w:t>
      </w:r>
      <w:r w:rsidR="00997C9D">
        <w:rPr>
          <w:sz w:val="20"/>
          <w:szCs w:val="20"/>
        </w:rPr>
        <w:t>CERTAIN PROVISIONS OF INDENTURE</w:t>
      </w:r>
      <w:r w:rsidR="00C34AEA">
        <w:rPr>
          <w:sz w:val="20"/>
          <w:szCs w:val="20"/>
        </w:rPr>
        <w:t>”</w:t>
      </w:r>
      <w:r w:rsidR="00997C9D">
        <w:rPr>
          <w:sz w:val="20"/>
          <w:szCs w:val="20"/>
        </w:rPr>
        <w:t xml:space="preserve"> attached hereto.</w:t>
      </w:r>
    </w:p>
    <w:p w:rsidRPr="00E73A11" w:rsidR="00D052B4" w:rsidP="00D052B4" w:rsidRDefault="00D052B4" w14:paraId="4CA67952" w14:textId="274F7A4F">
      <w:pPr>
        <w:pStyle w:val="1stLineIndentSS"/>
        <w:rPr>
          <w:sz w:val="20"/>
          <w:szCs w:val="20"/>
        </w:rPr>
      </w:pPr>
      <w:r w:rsidRPr="00E73A11">
        <w:rPr>
          <w:i/>
          <w:sz w:val="20"/>
          <w:szCs w:val="20"/>
        </w:rPr>
        <w:t>Post-Issuance Reporting</w:t>
      </w:r>
      <w:r w:rsidRPr="00E73A11">
        <w:rPr>
          <w:sz w:val="20"/>
          <w:szCs w:val="20"/>
        </w:rPr>
        <w:t>.  The Authority expects to provide annual updates, as of the last day of each calendar year commencing with calendar year 202</w:t>
      </w:r>
      <w:r w:rsidR="0025598B">
        <w:rPr>
          <w:sz w:val="20"/>
          <w:szCs w:val="20"/>
        </w:rPr>
        <w:t>4</w:t>
      </w:r>
      <w:r w:rsidRPr="00E73A11">
        <w:rPr>
          <w:sz w:val="20"/>
          <w:szCs w:val="20"/>
        </w:rPr>
        <w:t xml:space="preserve">, regarding the disbursement of the proceeds of the </w:t>
      </w:r>
      <w:r w:rsidR="00C7294C">
        <w:rPr>
          <w:sz w:val="20"/>
          <w:szCs w:val="20"/>
        </w:rPr>
        <w:t>2024 Series C</w:t>
      </w:r>
      <w:r w:rsidR="005B3036">
        <w:rPr>
          <w:sz w:val="20"/>
          <w:szCs w:val="20"/>
        </w:rPr>
        <w:t xml:space="preserve"> Bond</w:t>
      </w:r>
      <w:r w:rsidR="006C550F">
        <w:rPr>
          <w:sz w:val="20"/>
          <w:szCs w:val="20"/>
        </w:rPr>
        <w:t>s</w:t>
      </w:r>
      <w:r>
        <w:rPr>
          <w:sz w:val="20"/>
          <w:szCs w:val="20"/>
        </w:rPr>
        <w:t xml:space="preserve"> to achieve the Social Bond goals described above.  </w:t>
      </w:r>
      <w:r w:rsidRPr="00E73A11">
        <w:rPr>
          <w:sz w:val="20"/>
          <w:szCs w:val="20"/>
        </w:rPr>
        <w:t xml:space="preserve">The Authority expects that such annual updates will consist of the information outlined in </w:t>
      </w:r>
      <w:r w:rsidR="00C34AEA">
        <w:rPr>
          <w:sz w:val="20"/>
          <w:szCs w:val="20"/>
        </w:rPr>
        <w:t>“</w:t>
      </w:r>
      <w:r w:rsidRPr="00E73A11">
        <w:rPr>
          <w:sz w:val="20"/>
          <w:szCs w:val="20"/>
        </w:rPr>
        <w:t xml:space="preserve">APPENDIX </w:t>
      </w:r>
      <w:r>
        <w:rPr>
          <w:sz w:val="20"/>
          <w:szCs w:val="20"/>
        </w:rPr>
        <w:t>I</w:t>
      </w:r>
      <w:r w:rsidRPr="00E73A11">
        <w:rPr>
          <w:sz w:val="20"/>
          <w:szCs w:val="20"/>
        </w:rPr>
        <w:t xml:space="preserve"> — FORM OF SOCIAL BONDS ANNUAL REPORT</w:t>
      </w:r>
      <w:r w:rsidR="00C34AEA">
        <w:rPr>
          <w:sz w:val="20"/>
          <w:szCs w:val="20"/>
        </w:rPr>
        <w:t>”</w:t>
      </w:r>
      <w:r w:rsidRPr="00E73A11">
        <w:rPr>
          <w:sz w:val="20"/>
          <w:szCs w:val="20"/>
        </w:rPr>
        <w:t>; the specific form and content of such updates are in the absolute discretion of the Authority.  The Authority will</w:t>
      </w:r>
      <w:r>
        <w:rPr>
          <w:sz w:val="20"/>
          <w:szCs w:val="20"/>
        </w:rPr>
        <w:t xml:space="preserve"> provide a final annual report and thereafter</w:t>
      </w:r>
      <w:r w:rsidRPr="00E73A11">
        <w:rPr>
          <w:sz w:val="20"/>
          <w:szCs w:val="20"/>
        </w:rPr>
        <w:t xml:space="preserve"> cease to update such information when the applicable lendable proceeds have been fully expended.  While the Authority expects to post such annual updates as voluntary filings on the Electronic Municipal Market Access system (</w:t>
      </w:r>
      <w:r w:rsidR="00C34AEA">
        <w:rPr>
          <w:sz w:val="20"/>
          <w:szCs w:val="20"/>
        </w:rPr>
        <w:t>“</w:t>
      </w:r>
      <w:r w:rsidRPr="00C82204">
        <w:rPr>
          <w:i/>
          <w:sz w:val="20"/>
          <w:szCs w:val="20"/>
        </w:rPr>
        <w:t>EMMA</w:t>
      </w:r>
      <w:r w:rsidR="00C34AEA">
        <w:rPr>
          <w:sz w:val="20"/>
          <w:szCs w:val="20"/>
        </w:rPr>
        <w:t>”</w:t>
      </w:r>
      <w:r w:rsidRPr="00E73A11">
        <w:rPr>
          <w:sz w:val="20"/>
          <w:szCs w:val="20"/>
        </w:rPr>
        <w:t>) of the Municipal Securities Rulemaking Board (</w:t>
      </w:r>
      <w:r w:rsidR="00C34AEA">
        <w:rPr>
          <w:sz w:val="20"/>
          <w:szCs w:val="20"/>
        </w:rPr>
        <w:t>“</w:t>
      </w:r>
      <w:r w:rsidRPr="00C82204">
        <w:rPr>
          <w:i/>
          <w:sz w:val="20"/>
          <w:szCs w:val="20"/>
        </w:rPr>
        <w:t>MSRB</w:t>
      </w:r>
      <w:r w:rsidR="00C34AEA">
        <w:rPr>
          <w:sz w:val="20"/>
          <w:szCs w:val="20"/>
        </w:rPr>
        <w:t>”</w:t>
      </w:r>
      <w:r w:rsidRPr="00E73A11">
        <w:rPr>
          <w:sz w:val="20"/>
          <w:szCs w:val="20"/>
        </w:rPr>
        <w:t>), this reporting is separate from the Authority</w:t>
      </w:r>
      <w:r w:rsidR="00C34AEA">
        <w:rPr>
          <w:sz w:val="20"/>
          <w:szCs w:val="20"/>
        </w:rPr>
        <w:t>’</w:t>
      </w:r>
      <w:r w:rsidRPr="00E73A11">
        <w:rPr>
          <w:sz w:val="20"/>
          <w:szCs w:val="20"/>
        </w:rPr>
        <w:t xml:space="preserve">s obligations described under </w:t>
      </w:r>
      <w:r w:rsidR="00C34AEA">
        <w:rPr>
          <w:sz w:val="20"/>
          <w:szCs w:val="20"/>
        </w:rPr>
        <w:t>“</w:t>
      </w:r>
      <w:r w:rsidRPr="00E73A11">
        <w:rPr>
          <w:sz w:val="20"/>
          <w:szCs w:val="20"/>
        </w:rPr>
        <w:t>CONTINUING DISCLOSURE.</w:t>
      </w:r>
      <w:r w:rsidR="00C34AEA">
        <w:rPr>
          <w:sz w:val="20"/>
          <w:szCs w:val="20"/>
        </w:rPr>
        <w:t>”</w:t>
      </w:r>
      <w:r w:rsidRPr="00E73A11">
        <w:rPr>
          <w:sz w:val="20"/>
          <w:szCs w:val="20"/>
        </w:rPr>
        <w:t xml:space="preserve">  Failure by the Authority to provide such updates is not a default or an event of default under the Indenture or the Continuing Disclosure Undertaking.</w:t>
      </w:r>
    </w:p>
    <w:p w:rsidRPr="00E73A11" w:rsidR="00D052B4" w:rsidP="00D052B4" w:rsidRDefault="00D052B4" w14:paraId="29892E6F" w14:textId="2C030D34">
      <w:pPr>
        <w:pStyle w:val="1stLineIndentSS"/>
        <w:rPr>
          <w:sz w:val="20"/>
          <w:szCs w:val="20"/>
        </w:rPr>
      </w:pPr>
      <w:r w:rsidRPr="00E73A11">
        <w:rPr>
          <w:sz w:val="20"/>
          <w:szCs w:val="20"/>
        </w:rPr>
        <w:t>The ICMA Social Bond Principles (</w:t>
      </w:r>
      <w:r w:rsidR="00C34AEA">
        <w:rPr>
          <w:sz w:val="20"/>
          <w:szCs w:val="20"/>
        </w:rPr>
        <w:t>“</w:t>
      </w:r>
      <w:r w:rsidRPr="00CE296C">
        <w:rPr>
          <w:i/>
          <w:sz w:val="20"/>
          <w:szCs w:val="20"/>
        </w:rPr>
        <w:t>SBP</w:t>
      </w:r>
      <w:r w:rsidR="00C34AEA">
        <w:rPr>
          <w:sz w:val="20"/>
          <w:szCs w:val="20"/>
        </w:rPr>
        <w:t>”</w:t>
      </w:r>
      <w:r w:rsidR="0025598B">
        <w:rPr>
          <w:sz w:val="20"/>
          <w:szCs w:val="20"/>
        </w:rPr>
        <w:t>) include project categories</w:t>
      </w:r>
      <w:r w:rsidRPr="00E73A11">
        <w:rPr>
          <w:sz w:val="20"/>
          <w:szCs w:val="20"/>
        </w:rPr>
        <w:t xml:space="preserve"> for the most commonly used types of projects supported by or expected to be supported by the Social Bond market</w:t>
      </w:r>
      <w:r>
        <w:rPr>
          <w:sz w:val="20"/>
          <w:szCs w:val="20"/>
        </w:rPr>
        <w:t>.  The Authority believes that such project categories relevant to the Authority</w:t>
      </w:r>
      <w:r w:rsidR="00C34AEA">
        <w:rPr>
          <w:sz w:val="20"/>
          <w:szCs w:val="20"/>
        </w:rPr>
        <w:t>’</w:t>
      </w:r>
      <w:r>
        <w:rPr>
          <w:sz w:val="20"/>
          <w:szCs w:val="20"/>
        </w:rPr>
        <w:t xml:space="preserve">s programs and intended utilization of the </w:t>
      </w:r>
      <w:r w:rsidR="00C7294C">
        <w:rPr>
          <w:sz w:val="20"/>
          <w:szCs w:val="20"/>
        </w:rPr>
        <w:t>2024 Series C</w:t>
      </w:r>
      <w:r w:rsidR="005B3036">
        <w:rPr>
          <w:sz w:val="20"/>
          <w:szCs w:val="20"/>
        </w:rPr>
        <w:t xml:space="preserve"> Bond</w:t>
      </w:r>
      <w:r>
        <w:rPr>
          <w:sz w:val="20"/>
          <w:szCs w:val="20"/>
        </w:rPr>
        <w:t xml:space="preserve"> proceeds include providing and/or promoting </w:t>
      </w:r>
      <w:r w:rsidRPr="00E73A11">
        <w:rPr>
          <w:sz w:val="20"/>
          <w:szCs w:val="20"/>
        </w:rPr>
        <w:t>affordable housing</w:t>
      </w:r>
      <w:r>
        <w:rPr>
          <w:sz w:val="20"/>
          <w:szCs w:val="20"/>
        </w:rPr>
        <w:t>, access to essential services</w:t>
      </w:r>
      <w:r w:rsidRPr="00E73A11">
        <w:rPr>
          <w:sz w:val="20"/>
          <w:szCs w:val="20"/>
        </w:rPr>
        <w:t xml:space="preserve"> and socioeconomic advancement and </w:t>
      </w:r>
      <w:bookmarkStart w:name="ElPgBr16" w:id="136"/>
      <w:bookmarkEnd w:id="136"/>
      <w:r w:rsidRPr="00E73A11">
        <w:rPr>
          <w:sz w:val="20"/>
          <w:szCs w:val="20"/>
        </w:rPr>
        <w:t>empowerment.  Through th</w:t>
      </w:r>
      <w:r w:rsidR="00161E5B">
        <w:rPr>
          <w:sz w:val="20"/>
          <w:szCs w:val="20"/>
        </w:rPr>
        <w:t>e Authority</w:t>
      </w:r>
      <w:r w:rsidR="00C34AEA">
        <w:rPr>
          <w:sz w:val="20"/>
          <w:szCs w:val="20"/>
        </w:rPr>
        <w:t>’</w:t>
      </w:r>
      <w:r w:rsidR="00161E5B">
        <w:rPr>
          <w:sz w:val="20"/>
          <w:szCs w:val="20"/>
        </w:rPr>
        <w:t>s homebuyer program</w:t>
      </w:r>
      <w:r w:rsidRPr="00E73A11">
        <w:rPr>
          <w:sz w:val="20"/>
          <w:szCs w:val="20"/>
        </w:rPr>
        <w:t xml:space="preserve">, </w:t>
      </w:r>
      <w:r w:rsidR="00161E5B">
        <w:rPr>
          <w:sz w:val="20"/>
          <w:szCs w:val="20"/>
        </w:rPr>
        <w:t xml:space="preserve">the Authority helps to make </w:t>
      </w:r>
      <w:r w:rsidRPr="00E73A11" w:rsidR="00161E5B">
        <w:rPr>
          <w:sz w:val="20"/>
          <w:szCs w:val="20"/>
        </w:rPr>
        <w:t>homeownership</w:t>
      </w:r>
      <w:r w:rsidR="00FD4343">
        <w:rPr>
          <w:sz w:val="20"/>
          <w:szCs w:val="20"/>
        </w:rPr>
        <w:t xml:space="preserve"> of owner-</w:t>
      </w:r>
      <w:r w:rsidR="00FD4343">
        <w:rPr>
          <w:sz w:val="20"/>
          <w:szCs w:val="20"/>
        </w:rPr>
        <w:lastRenderedPageBreak/>
        <w:t>occupied primary residences</w:t>
      </w:r>
      <w:r w:rsidRPr="00E73A11" w:rsidR="00161E5B">
        <w:rPr>
          <w:sz w:val="20"/>
          <w:szCs w:val="20"/>
        </w:rPr>
        <w:t xml:space="preserve"> affordable for qualified low</w:t>
      </w:r>
      <w:r w:rsidR="00D13281">
        <w:rPr>
          <w:sz w:val="20"/>
          <w:szCs w:val="20"/>
        </w:rPr>
        <w:t>-</w:t>
      </w:r>
      <w:r w:rsidRPr="00E73A11" w:rsidR="00161E5B">
        <w:rPr>
          <w:sz w:val="20"/>
          <w:szCs w:val="20"/>
        </w:rPr>
        <w:t xml:space="preserve"> and </w:t>
      </w:r>
      <w:r w:rsidRPr="00E73A11" w:rsidR="00061CF4">
        <w:rPr>
          <w:sz w:val="20"/>
          <w:szCs w:val="20"/>
        </w:rPr>
        <w:t>moderate-income</w:t>
      </w:r>
      <w:r w:rsidRPr="00E73A11" w:rsidR="00161E5B">
        <w:rPr>
          <w:sz w:val="20"/>
          <w:szCs w:val="20"/>
        </w:rPr>
        <w:t xml:space="preserve"> first-time homebuyers in the State</w:t>
      </w:r>
      <w:r w:rsidR="00161E5B">
        <w:rPr>
          <w:sz w:val="20"/>
          <w:szCs w:val="20"/>
        </w:rPr>
        <w:t>.  These home purchases are</w:t>
      </w:r>
      <w:r w:rsidRPr="00E73A11" w:rsidR="00161E5B">
        <w:rPr>
          <w:sz w:val="20"/>
          <w:szCs w:val="20"/>
        </w:rPr>
        <w:t xml:space="preserve"> </w:t>
      </w:r>
      <w:r w:rsidR="00161E5B">
        <w:rPr>
          <w:sz w:val="20"/>
          <w:szCs w:val="20"/>
        </w:rPr>
        <w:t xml:space="preserve">subject to purchase price limitations.  The Authority makes available </w:t>
      </w:r>
      <w:r w:rsidRPr="00E73A11">
        <w:rPr>
          <w:sz w:val="20"/>
          <w:szCs w:val="20"/>
        </w:rPr>
        <w:t>30-year fixed interest rate mortgages</w:t>
      </w:r>
      <w:r>
        <w:rPr>
          <w:sz w:val="20"/>
          <w:szCs w:val="20"/>
        </w:rPr>
        <w:t xml:space="preserve"> along with the availability of down</w:t>
      </w:r>
      <w:r w:rsidR="00C945B5">
        <w:rPr>
          <w:sz w:val="20"/>
          <w:szCs w:val="20"/>
        </w:rPr>
        <w:t xml:space="preserve"> </w:t>
      </w:r>
      <w:r>
        <w:rPr>
          <w:sz w:val="20"/>
          <w:szCs w:val="20"/>
        </w:rPr>
        <w:t>payment assistance, which can be a barrier to entry particularly for many lower-income prospective borrowers, including those in underserved populations</w:t>
      </w:r>
      <w:r w:rsidRPr="00E73A11">
        <w:rPr>
          <w:sz w:val="20"/>
          <w:szCs w:val="20"/>
        </w:rPr>
        <w:t xml:space="preserve">.  For any eligible borrower of an Authority first mortgage loan, the Authority also offers homebuyer financial education programs and opportunities for down payment assistance loans.  See </w:t>
      </w:r>
      <w:r w:rsidR="00C34AEA">
        <w:rPr>
          <w:sz w:val="20"/>
          <w:szCs w:val="20"/>
        </w:rPr>
        <w:t>“</w:t>
      </w:r>
      <w:r w:rsidRPr="00E73A11">
        <w:rPr>
          <w:sz w:val="20"/>
          <w:szCs w:val="20"/>
        </w:rPr>
        <w:t>Authority Mission and Homebuyer Programs</w:t>
      </w:r>
      <w:r w:rsidR="00C34AEA">
        <w:rPr>
          <w:sz w:val="20"/>
          <w:szCs w:val="20"/>
        </w:rPr>
        <w:t>”</w:t>
      </w:r>
      <w:r w:rsidRPr="00E73A11">
        <w:rPr>
          <w:sz w:val="20"/>
          <w:szCs w:val="20"/>
        </w:rPr>
        <w:t xml:space="preserve"> and </w:t>
      </w:r>
      <w:r w:rsidR="00C34AEA">
        <w:rPr>
          <w:sz w:val="20"/>
          <w:szCs w:val="20"/>
        </w:rPr>
        <w:t>“</w:t>
      </w:r>
      <w:r w:rsidRPr="00E73A11">
        <w:rPr>
          <w:sz w:val="20"/>
          <w:szCs w:val="20"/>
        </w:rPr>
        <w:t>Historical Data</w:t>
      </w:r>
      <w:r w:rsidR="00C34AEA">
        <w:rPr>
          <w:sz w:val="20"/>
          <w:szCs w:val="20"/>
        </w:rPr>
        <w:t>”</w:t>
      </w:r>
      <w:r w:rsidRPr="00E73A11">
        <w:rPr>
          <w:sz w:val="20"/>
          <w:szCs w:val="20"/>
        </w:rPr>
        <w:t xml:space="preserve"> below</w:t>
      </w:r>
      <w:r>
        <w:rPr>
          <w:sz w:val="20"/>
          <w:szCs w:val="20"/>
        </w:rPr>
        <w:t xml:space="preserve"> and </w:t>
      </w:r>
      <w:r w:rsidR="00C34AEA">
        <w:rPr>
          <w:sz w:val="20"/>
          <w:szCs w:val="20"/>
        </w:rPr>
        <w:t>“</w:t>
      </w:r>
      <w:r w:rsidRPr="00DC0FD2">
        <w:rPr>
          <w:sz w:val="20"/>
          <w:szCs w:val="20"/>
        </w:rPr>
        <w:t>SINGLE FAMILY MORTGAGE PROGRAM – Single F</w:t>
      </w:r>
      <w:r>
        <w:rPr>
          <w:sz w:val="20"/>
          <w:szCs w:val="20"/>
        </w:rPr>
        <w:t>amily Mortgage Lending Programs</w:t>
      </w:r>
      <w:r w:rsidR="00C34AEA">
        <w:rPr>
          <w:sz w:val="20"/>
          <w:szCs w:val="20"/>
        </w:rPr>
        <w:t>”</w:t>
      </w:r>
      <w:r>
        <w:rPr>
          <w:sz w:val="20"/>
          <w:szCs w:val="20"/>
        </w:rPr>
        <w:t xml:space="preserve"> herein</w:t>
      </w:r>
      <w:r w:rsidRPr="00E73A11">
        <w:rPr>
          <w:sz w:val="20"/>
          <w:szCs w:val="20"/>
        </w:rPr>
        <w:t>.</w:t>
      </w:r>
    </w:p>
    <w:p w:rsidRPr="00E73A11" w:rsidR="00D052B4" w:rsidP="00D052B4" w:rsidRDefault="00D052B4" w14:paraId="0EC72488" w14:textId="049419E2">
      <w:pPr>
        <w:pStyle w:val="1stLineIndentSS"/>
        <w:rPr>
          <w:sz w:val="20"/>
          <w:szCs w:val="20"/>
        </w:rPr>
      </w:pPr>
      <w:r w:rsidRPr="00E73A11">
        <w:rPr>
          <w:sz w:val="20"/>
          <w:szCs w:val="20"/>
        </w:rPr>
        <w:t>By reference to the ICMA</w:t>
      </w:r>
      <w:r w:rsidR="00C34AEA">
        <w:rPr>
          <w:sz w:val="20"/>
          <w:szCs w:val="20"/>
        </w:rPr>
        <w:t>’</w:t>
      </w:r>
      <w:r w:rsidRPr="00E73A11">
        <w:rPr>
          <w:sz w:val="20"/>
          <w:szCs w:val="20"/>
        </w:rPr>
        <w:t xml:space="preserve">s </w:t>
      </w:r>
      <w:r w:rsidRPr="00E73A11">
        <w:rPr>
          <w:i/>
          <w:sz w:val="20"/>
          <w:szCs w:val="20"/>
        </w:rPr>
        <w:t>Green, Social and Sustainability Bonds:  A High-Level Mapping to the Sustaina</w:t>
      </w:r>
      <w:r w:rsidR="00A23BEE">
        <w:rPr>
          <w:i/>
          <w:sz w:val="20"/>
          <w:szCs w:val="20"/>
        </w:rPr>
        <w:t>ble Development Goa</w:t>
      </w:r>
      <w:r w:rsidR="00664C7B">
        <w:rPr>
          <w:i/>
          <w:sz w:val="20"/>
          <w:szCs w:val="20"/>
        </w:rPr>
        <w:t>ls (June 2023</w:t>
      </w:r>
      <w:r w:rsidRPr="00E73A11">
        <w:rPr>
          <w:i/>
          <w:sz w:val="20"/>
          <w:szCs w:val="20"/>
        </w:rPr>
        <w:t>)</w:t>
      </w:r>
      <w:r w:rsidRPr="00E73A11">
        <w:rPr>
          <w:sz w:val="20"/>
          <w:szCs w:val="20"/>
        </w:rPr>
        <w:t>, which links the ICMA Social Bond Principles to the framework provided by the United Nations 17 Sustainable Development Goals (</w:t>
      </w:r>
      <w:r w:rsidR="00C34AEA">
        <w:rPr>
          <w:sz w:val="20"/>
          <w:szCs w:val="20"/>
        </w:rPr>
        <w:t>“</w:t>
      </w:r>
      <w:r w:rsidRPr="003A5F7C">
        <w:rPr>
          <w:i/>
          <w:sz w:val="20"/>
          <w:szCs w:val="20"/>
        </w:rPr>
        <w:t>SDGs</w:t>
      </w:r>
      <w:r w:rsidR="00C34AEA">
        <w:rPr>
          <w:sz w:val="20"/>
          <w:szCs w:val="20"/>
        </w:rPr>
        <w:t>”</w:t>
      </w:r>
      <w:r w:rsidRPr="00E73A11">
        <w:rPr>
          <w:sz w:val="20"/>
          <w:szCs w:val="20"/>
        </w:rPr>
        <w:t xml:space="preserve">), the Authority has determined that its homebuyer programs and the intended use of proceeds of the </w:t>
      </w:r>
      <w:r w:rsidR="00C7294C">
        <w:rPr>
          <w:sz w:val="20"/>
          <w:szCs w:val="20"/>
        </w:rPr>
        <w:t>2024 Series C</w:t>
      </w:r>
      <w:r w:rsidR="005B3036">
        <w:rPr>
          <w:sz w:val="20"/>
          <w:szCs w:val="20"/>
        </w:rPr>
        <w:t xml:space="preserve"> Bond</w:t>
      </w:r>
      <w:r w:rsidR="006C550F">
        <w:rPr>
          <w:sz w:val="20"/>
          <w:szCs w:val="20"/>
        </w:rPr>
        <w:t>s</w:t>
      </w:r>
      <w:r w:rsidRPr="00E73A11">
        <w:rPr>
          <w:sz w:val="20"/>
          <w:szCs w:val="20"/>
        </w:rPr>
        <w:t xml:space="preserve"> are relevant to the following SDGs:</w:t>
      </w:r>
    </w:p>
    <w:p w:rsidRPr="00E73A11" w:rsidR="00D052B4" w:rsidP="00D052B4" w:rsidRDefault="00D052B4" w14:paraId="08D11E78" w14:textId="77777777">
      <w:pPr>
        <w:pStyle w:val="BlockSS"/>
        <w:widowControl/>
        <w:numPr>
          <w:ilvl w:val="0"/>
          <w:numId w:val="43"/>
        </w:numPr>
        <w:autoSpaceDE/>
        <w:autoSpaceDN/>
        <w:adjustRightInd/>
        <w:rPr>
          <w:sz w:val="20"/>
          <w:szCs w:val="20"/>
        </w:rPr>
      </w:pPr>
      <w:r w:rsidRPr="00E73A11">
        <w:rPr>
          <w:sz w:val="20"/>
          <w:szCs w:val="20"/>
        </w:rPr>
        <w:t>SDG 1 (No Poverty) is focused on ending poverty in all its forms everywhere.  Target 1.4 maps to the SBP categories of Affordable Housing, Access to Essential Services and Socioeconomic Advancement and Empowerment.</w:t>
      </w:r>
    </w:p>
    <w:p w:rsidRPr="00E73A11" w:rsidR="00D052B4" w:rsidP="00D052B4" w:rsidRDefault="00D052B4" w14:paraId="598AA9C0" w14:textId="77777777">
      <w:pPr>
        <w:pStyle w:val="BlockSS"/>
        <w:widowControl/>
        <w:numPr>
          <w:ilvl w:val="0"/>
          <w:numId w:val="43"/>
        </w:numPr>
        <w:autoSpaceDE/>
        <w:autoSpaceDN/>
        <w:adjustRightInd/>
        <w:rPr>
          <w:sz w:val="20"/>
          <w:szCs w:val="20"/>
        </w:rPr>
      </w:pPr>
      <w:r w:rsidRPr="00E73A11">
        <w:rPr>
          <w:sz w:val="20"/>
          <w:szCs w:val="20"/>
        </w:rPr>
        <w:t>SDG 8 (Decent Work and Economic Growth) is focused on promoting sustained, inclusive and sustainable economic growth.  Target 8.10 maps to the SBP category of Access to Essential Services.</w:t>
      </w:r>
    </w:p>
    <w:p w:rsidRPr="00E73A11" w:rsidR="00D052B4" w:rsidP="00D052B4" w:rsidRDefault="00D052B4" w14:paraId="379F0185" w14:textId="77777777">
      <w:pPr>
        <w:pStyle w:val="BlockSS"/>
        <w:widowControl/>
        <w:numPr>
          <w:ilvl w:val="0"/>
          <w:numId w:val="43"/>
        </w:numPr>
        <w:autoSpaceDE/>
        <w:autoSpaceDN/>
        <w:adjustRightInd/>
        <w:rPr>
          <w:sz w:val="20"/>
          <w:szCs w:val="20"/>
        </w:rPr>
      </w:pPr>
      <w:r w:rsidRPr="00E73A11">
        <w:rPr>
          <w:sz w:val="20"/>
          <w:szCs w:val="20"/>
        </w:rPr>
        <w:t>SDG 10 (Reduced Inequalities) is focused on reducing inequality and promoting social and economic inclusion for all.  Target 10.2 maps to the SBP categories of Access to Essential Services and Socioeconomic Advancement and Empowerment, and Target 10.3 maps to the SBP category of Socioeconomic Advancement and Empowerment.</w:t>
      </w:r>
    </w:p>
    <w:p w:rsidRPr="00E73A11" w:rsidR="00D052B4" w:rsidP="00D052B4" w:rsidRDefault="00D052B4" w14:paraId="6A0A0BD4" w14:textId="77777777">
      <w:pPr>
        <w:pStyle w:val="BlockSS"/>
        <w:widowControl/>
        <w:numPr>
          <w:ilvl w:val="0"/>
          <w:numId w:val="43"/>
        </w:numPr>
        <w:autoSpaceDE/>
        <w:autoSpaceDN/>
        <w:adjustRightInd/>
        <w:rPr>
          <w:sz w:val="20"/>
          <w:szCs w:val="20"/>
        </w:rPr>
      </w:pPr>
      <w:r w:rsidRPr="00E73A11">
        <w:rPr>
          <w:sz w:val="20"/>
          <w:szCs w:val="20"/>
        </w:rPr>
        <w:t>SDG 11 (Sustainable Cities and Communities) is focused on making cities and human settlements inclusive, safe, resilient and sustainable.  Target 11.1 maps to the SBP category of Affordable Housing.</w:t>
      </w:r>
    </w:p>
    <w:p w:rsidRPr="00E73A11" w:rsidR="00D052B4" w:rsidP="00D052B4" w:rsidRDefault="00D052B4" w14:paraId="1E74ACEB" w14:textId="77777777">
      <w:pPr>
        <w:pStyle w:val="1stLineIndentSS"/>
        <w:rPr>
          <w:sz w:val="20"/>
          <w:szCs w:val="20"/>
        </w:rPr>
      </w:pPr>
      <w:r w:rsidRPr="00E73A11">
        <w:rPr>
          <w:sz w:val="20"/>
          <w:szCs w:val="20"/>
        </w:rPr>
        <w:t>The SDGs were adopted by the United Nations General Assembly on September 25, 2015 as part of its 2030 Agenda for Sustainable Development.</w:t>
      </w:r>
    </w:p>
    <w:p w:rsidRPr="00E73A11" w:rsidR="00D052B4" w:rsidP="00D052B4" w:rsidRDefault="00D052B4" w14:paraId="7A9D50D8" w14:textId="77777777">
      <w:pPr>
        <w:pStyle w:val="Heading2"/>
        <w:keepNext/>
        <w:widowControl/>
        <w:numPr>
          <w:ilvl w:val="1"/>
          <w:numId w:val="42"/>
        </w:numPr>
        <w:autoSpaceDE/>
        <w:autoSpaceDN/>
        <w:adjustRightInd/>
        <w:rPr>
          <w:b/>
          <w:bCs/>
        </w:rPr>
      </w:pPr>
      <w:bookmarkStart w:name="_Toc69199615" w:id="137"/>
      <w:r w:rsidRPr="00E73A11">
        <w:rPr>
          <w:b/>
        </w:rPr>
        <w:t>Authority Mission and Homebuyer Programs</w:t>
      </w:r>
      <w:bookmarkEnd w:id="137"/>
    </w:p>
    <w:p w:rsidRPr="00E73A11" w:rsidR="00D052B4" w:rsidP="00D052B4" w:rsidRDefault="00D052B4" w14:paraId="003361CA" w14:textId="3EF1DCDB">
      <w:pPr>
        <w:pStyle w:val="1stLineIndentSS"/>
        <w:rPr>
          <w:sz w:val="20"/>
          <w:szCs w:val="20"/>
        </w:rPr>
      </w:pPr>
      <w:r w:rsidRPr="002C1035">
        <w:rPr>
          <w:sz w:val="20"/>
          <w:szCs w:val="20"/>
        </w:rPr>
        <w:t>The Authority and its predecessor organizations have been Indiana</w:t>
      </w:r>
      <w:r w:rsidR="00C34AEA">
        <w:rPr>
          <w:sz w:val="20"/>
          <w:szCs w:val="20"/>
        </w:rPr>
        <w:t>’</w:t>
      </w:r>
      <w:r w:rsidRPr="002C1035">
        <w:rPr>
          <w:sz w:val="20"/>
          <w:szCs w:val="20"/>
        </w:rPr>
        <w:t>s affordabl</w:t>
      </w:r>
      <w:r w:rsidRPr="002C1035" w:rsidR="00FD4343">
        <w:rPr>
          <w:sz w:val="20"/>
          <w:szCs w:val="20"/>
        </w:rPr>
        <w:t>e</w:t>
      </w:r>
      <w:r w:rsidR="00D06403">
        <w:rPr>
          <w:sz w:val="20"/>
          <w:szCs w:val="20"/>
        </w:rPr>
        <w:t xml:space="preserve"> housing leader for more than 45</w:t>
      </w:r>
      <w:r w:rsidRPr="002C1035" w:rsidR="00FD4343">
        <w:rPr>
          <w:sz w:val="20"/>
          <w:szCs w:val="20"/>
        </w:rPr>
        <w:t xml:space="preserve"> </w:t>
      </w:r>
      <w:r w:rsidRPr="002C1035">
        <w:rPr>
          <w:sz w:val="20"/>
          <w:szCs w:val="20"/>
        </w:rPr>
        <w:t>years.  The Authority</w:t>
      </w:r>
      <w:r w:rsidR="00C34AEA">
        <w:rPr>
          <w:sz w:val="20"/>
          <w:szCs w:val="20"/>
        </w:rPr>
        <w:t>’</w:t>
      </w:r>
      <w:r w:rsidRPr="002C1035">
        <w:rPr>
          <w:sz w:val="20"/>
          <w:szCs w:val="20"/>
        </w:rPr>
        <w:t>s mission is to provide housing opportunities, promote self-sufficiency and strengthen communities.  The Authority believes all Indiana residents should have the opportunity to live in safe, affordable, good-quality housing in economically stable communities.  Through the Authority</w:t>
      </w:r>
      <w:r w:rsidR="00C34AEA">
        <w:rPr>
          <w:sz w:val="20"/>
          <w:szCs w:val="20"/>
        </w:rPr>
        <w:t>’</w:t>
      </w:r>
      <w:r w:rsidRPr="002C1035">
        <w:rPr>
          <w:sz w:val="20"/>
          <w:szCs w:val="20"/>
        </w:rPr>
        <w:t>s homebuyer programs, the Authority</w:t>
      </w:r>
      <w:r w:rsidR="00C34AEA">
        <w:rPr>
          <w:sz w:val="20"/>
          <w:szCs w:val="20"/>
        </w:rPr>
        <w:t>’</w:t>
      </w:r>
      <w:r w:rsidRPr="002C1035">
        <w:rPr>
          <w:sz w:val="20"/>
          <w:szCs w:val="20"/>
        </w:rPr>
        <w:t>s purpose is to achieve the following objectives:  (i) create and preserve housing for Indiana</w:t>
      </w:r>
      <w:r w:rsidR="00C34AEA">
        <w:rPr>
          <w:sz w:val="20"/>
          <w:szCs w:val="20"/>
        </w:rPr>
        <w:t>’</w:t>
      </w:r>
      <w:r w:rsidRPr="002C1035">
        <w:rPr>
          <w:sz w:val="20"/>
          <w:szCs w:val="20"/>
        </w:rPr>
        <w:t>s most vulnerable population; (ii) include people of all demographics in homeownership programs; and (iii) the effective participation by mortgage lenders in the Authority</w:t>
      </w:r>
      <w:r w:rsidR="00C34AEA">
        <w:rPr>
          <w:sz w:val="20"/>
          <w:szCs w:val="20"/>
        </w:rPr>
        <w:t>’</w:t>
      </w:r>
      <w:r w:rsidRPr="002C1035">
        <w:rPr>
          <w:sz w:val="20"/>
          <w:szCs w:val="20"/>
        </w:rPr>
        <w:t>s homebuyer programs.</w:t>
      </w:r>
      <w:r w:rsidRPr="00E73A11">
        <w:rPr>
          <w:sz w:val="20"/>
          <w:szCs w:val="20"/>
        </w:rPr>
        <w:t xml:space="preserve">  </w:t>
      </w:r>
    </w:p>
    <w:p w:rsidR="00D052B4" w:rsidP="00D052B4" w:rsidRDefault="00D052B4" w14:paraId="4E3B247A" w14:textId="16393319">
      <w:pPr>
        <w:pStyle w:val="1stLineIndentSS"/>
        <w:rPr>
          <w:sz w:val="20"/>
          <w:szCs w:val="20"/>
        </w:rPr>
      </w:pPr>
      <w:r w:rsidRPr="002C1035">
        <w:rPr>
          <w:sz w:val="20"/>
          <w:szCs w:val="20"/>
        </w:rPr>
        <w:t>The Authority</w:t>
      </w:r>
      <w:r w:rsidR="00C34AEA">
        <w:rPr>
          <w:sz w:val="20"/>
          <w:szCs w:val="20"/>
        </w:rPr>
        <w:t>’</w:t>
      </w:r>
      <w:r w:rsidRPr="002C1035">
        <w:rPr>
          <w:sz w:val="20"/>
          <w:szCs w:val="20"/>
        </w:rPr>
        <w:t xml:space="preserve">s programs are available to a broad range of potential homebuyers for the purpose of making the dream of homeownership a reality for all </w:t>
      </w:r>
      <w:r w:rsidRPr="002C1035" w:rsidR="004B79A5">
        <w:rPr>
          <w:sz w:val="20"/>
          <w:szCs w:val="20"/>
        </w:rPr>
        <w:t>residents of the State</w:t>
      </w:r>
      <w:r w:rsidRPr="002C1035">
        <w:rPr>
          <w:sz w:val="20"/>
          <w:szCs w:val="20"/>
        </w:rPr>
        <w:t>.  The Authority</w:t>
      </w:r>
      <w:r w:rsidR="00C34AEA">
        <w:rPr>
          <w:sz w:val="20"/>
          <w:szCs w:val="20"/>
        </w:rPr>
        <w:t>’</w:t>
      </w:r>
      <w:r w:rsidRPr="002C1035">
        <w:rPr>
          <w:sz w:val="20"/>
          <w:szCs w:val="20"/>
        </w:rPr>
        <w:t xml:space="preserve">s core bond-funded homebuyer program offers 30-year amortizing fixed interest rate mortgage loans and down payment assistance </w:t>
      </w:r>
      <w:r w:rsidR="00F34EA0">
        <w:rPr>
          <w:sz w:val="20"/>
          <w:szCs w:val="20"/>
        </w:rPr>
        <w:t xml:space="preserve">loans </w:t>
      </w:r>
      <w:r w:rsidRPr="002C1035">
        <w:rPr>
          <w:sz w:val="20"/>
          <w:szCs w:val="20"/>
        </w:rPr>
        <w:t>to low- and moderate- income first-time homebuyers and buyers who have not owned a home in the last three years</w:t>
      </w:r>
      <w:r w:rsidRPr="002C1035" w:rsidR="009D1176">
        <w:rPr>
          <w:sz w:val="20"/>
          <w:szCs w:val="20"/>
        </w:rPr>
        <w:t xml:space="preserve"> (with certain exceptions in Targeted Areas)</w:t>
      </w:r>
      <w:r w:rsidRPr="002C1035">
        <w:rPr>
          <w:sz w:val="20"/>
          <w:szCs w:val="20"/>
        </w:rPr>
        <w:t xml:space="preserve">.  According to requirements of the Code, to qualify for an Authority mortgage loan, applicants must meet specific income criteria specific to the particular county of the State and the owner-occupied home they plan to purchase must be within sales price guidelines specific to the area of the State.  In areas designated as </w:t>
      </w:r>
      <w:r w:rsidR="00C34AEA">
        <w:rPr>
          <w:sz w:val="20"/>
          <w:szCs w:val="20"/>
        </w:rPr>
        <w:t>“</w:t>
      </w:r>
      <w:r w:rsidRPr="002C1035">
        <w:rPr>
          <w:sz w:val="20"/>
          <w:szCs w:val="20"/>
        </w:rPr>
        <w:t>Targeted Areas</w:t>
      </w:r>
      <w:r w:rsidR="00C34AEA">
        <w:rPr>
          <w:sz w:val="20"/>
          <w:szCs w:val="20"/>
        </w:rPr>
        <w:t>”</w:t>
      </w:r>
      <w:r w:rsidRPr="002C1035">
        <w:rPr>
          <w:sz w:val="20"/>
          <w:szCs w:val="20"/>
        </w:rPr>
        <w:t xml:space="preserve"> or census tracts defined by the IRS as an area of chronic economic distress which could benefit from increased homeownership, such income limit and sales price limits may be increased.  See </w:t>
      </w:r>
      <w:r w:rsidR="00C34AEA">
        <w:rPr>
          <w:sz w:val="20"/>
          <w:szCs w:val="20"/>
        </w:rPr>
        <w:t>“</w:t>
      </w:r>
      <w:r w:rsidRPr="002C1035">
        <w:rPr>
          <w:sz w:val="20"/>
          <w:szCs w:val="20"/>
        </w:rPr>
        <w:t>FEDERAL TAX LAW REQUIREMENTS</w:t>
      </w:r>
      <w:r w:rsidR="00C34AEA">
        <w:rPr>
          <w:sz w:val="20"/>
          <w:szCs w:val="20"/>
        </w:rPr>
        <w:t>”</w:t>
      </w:r>
      <w:r w:rsidRPr="002C1035">
        <w:rPr>
          <w:sz w:val="20"/>
          <w:szCs w:val="20"/>
        </w:rPr>
        <w:t xml:space="preserve"> for further information.</w:t>
      </w:r>
      <w:r>
        <w:rPr>
          <w:sz w:val="20"/>
          <w:szCs w:val="20"/>
        </w:rPr>
        <w:t xml:space="preserve">  To encourage and facilitate the greatest financial success, the Authority makes available</w:t>
      </w:r>
      <w:r w:rsidR="006900D9">
        <w:rPr>
          <w:sz w:val="20"/>
          <w:szCs w:val="20"/>
        </w:rPr>
        <w:t xml:space="preserve"> homebuyer education to enable </w:t>
      </w:r>
      <w:r>
        <w:rPr>
          <w:sz w:val="20"/>
          <w:szCs w:val="20"/>
        </w:rPr>
        <w:t>the Authority</w:t>
      </w:r>
      <w:r w:rsidR="00C34AEA">
        <w:rPr>
          <w:sz w:val="20"/>
          <w:szCs w:val="20"/>
        </w:rPr>
        <w:t>’</w:t>
      </w:r>
      <w:r>
        <w:rPr>
          <w:sz w:val="20"/>
          <w:szCs w:val="20"/>
        </w:rPr>
        <w:t xml:space="preserve">s borrowers to obtain the financial tools needed for successful homeownership.  </w:t>
      </w:r>
    </w:p>
    <w:p w:rsidRPr="009C421E" w:rsidR="00D052B4" w:rsidP="00C730D2" w:rsidRDefault="00D052B4" w14:paraId="4DF32899" w14:textId="1BFF2FF8">
      <w:pPr>
        <w:pStyle w:val="BlockSS"/>
        <w:widowControl/>
        <w:ind w:firstLine="720"/>
        <w:rPr>
          <w:sz w:val="20"/>
          <w:szCs w:val="20"/>
        </w:rPr>
      </w:pPr>
      <w:bookmarkStart w:name="ElPgBr17" w:id="138"/>
      <w:bookmarkEnd w:id="138"/>
      <w:r w:rsidRPr="009C421E">
        <w:rPr>
          <w:sz w:val="20"/>
          <w:szCs w:val="20"/>
        </w:rPr>
        <w:lastRenderedPageBreak/>
        <w:t>For more homebuyer program information, in addition to other non-bond funded affordable homeownership program activities, please refer to the Authority</w:t>
      </w:r>
      <w:r w:rsidRPr="009C421E" w:rsidR="00C34AEA">
        <w:rPr>
          <w:sz w:val="20"/>
          <w:szCs w:val="20"/>
        </w:rPr>
        <w:t>’</w:t>
      </w:r>
      <w:r w:rsidRPr="009C421E">
        <w:rPr>
          <w:sz w:val="20"/>
          <w:szCs w:val="20"/>
        </w:rPr>
        <w:t>s website.</w:t>
      </w:r>
    </w:p>
    <w:p w:rsidRPr="009C421E" w:rsidR="00D052B4" w:rsidP="00D052B4" w:rsidRDefault="00D052B4" w14:paraId="04695A5D" w14:textId="77777777">
      <w:pPr>
        <w:pStyle w:val="Heading2"/>
        <w:keepNext/>
        <w:widowControl/>
        <w:numPr>
          <w:ilvl w:val="1"/>
          <w:numId w:val="42"/>
        </w:numPr>
        <w:autoSpaceDE/>
        <w:autoSpaceDN/>
        <w:adjustRightInd/>
        <w:rPr>
          <w:b/>
          <w:bCs/>
        </w:rPr>
      </w:pPr>
      <w:bookmarkStart w:name="_Toc69199616" w:id="139"/>
      <w:r w:rsidRPr="009C421E">
        <w:rPr>
          <w:b/>
        </w:rPr>
        <w:t>Historical Program Data</w:t>
      </w:r>
      <w:bookmarkEnd w:id="139"/>
    </w:p>
    <w:p w:rsidRPr="009C421E" w:rsidR="00D052B4" w:rsidP="00D052B4" w:rsidRDefault="00D052B4" w14:paraId="58BC6106" w14:textId="1B922364">
      <w:pPr>
        <w:pStyle w:val="1stLineIndentSS"/>
        <w:rPr>
          <w:sz w:val="20"/>
          <w:szCs w:val="20"/>
        </w:rPr>
      </w:pPr>
      <w:r w:rsidRPr="009C421E">
        <w:rPr>
          <w:sz w:val="20"/>
          <w:szCs w:val="20"/>
        </w:rPr>
        <w:t>The following tables provide summary data describing historical loan origination activity f</w:t>
      </w:r>
      <w:r w:rsidRPr="009C421E" w:rsidR="000E366F">
        <w:rPr>
          <w:sz w:val="20"/>
          <w:szCs w:val="20"/>
        </w:rPr>
        <w:t>or the Authority</w:t>
      </w:r>
      <w:r w:rsidRPr="009C421E" w:rsidR="00C34AEA">
        <w:rPr>
          <w:sz w:val="20"/>
          <w:szCs w:val="20"/>
        </w:rPr>
        <w:t>’</w:t>
      </w:r>
      <w:r w:rsidRPr="009C421E" w:rsidR="000E366F">
        <w:rPr>
          <w:sz w:val="20"/>
          <w:szCs w:val="20"/>
        </w:rPr>
        <w:t>s first time ho</w:t>
      </w:r>
      <w:r w:rsidRPr="009C421E">
        <w:rPr>
          <w:sz w:val="20"/>
          <w:szCs w:val="20"/>
        </w:rPr>
        <w:t>mebuyer program and down</w:t>
      </w:r>
      <w:r w:rsidRPr="009C421E" w:rsidR="000E366F">
        <w:rPr>
          <w:sz w:val="20"/>
          <w:szCs w:val="20"/>
        </w:rPr>
        <w:t xml:space="preserve"> </w:t>
      </w:r>
      <w:r w:rsidRPr="009C421E" w:rsidR="0025598B">
        <w:rPr>
          <w:sz w:val="20"/>
          <w:szCs w:val="20"/>
        </w:rPr>
        <w:t>payment assistance loans</w:t>
      </w:r>
      <w:r w:rsidRPr="009C421E">
        <w:rPr>
          <w:sz w:val="20"/>
          <w:szCs w:val="20"/>
        </w:rPr>
        <w:t xml:space="preserve"> and the borrower profile expressed in relation to the borrower</w:t>
      </w:r>
      <w:r w:rsidRPr="009C421E" w:rsidR="00C34AEA">
        <w:rPr>
          <w:sz w:val="20"/>
          <w:szCs w:val="20"/>
        </w:rPr>
        <w:t>’</w:t>
      </w:r>
      <w:r w:rsidRPr="009C421E">
        <w:rPr>
          <w:sz w:val="20"/>
          <w:szCs w:val="20"/>
        </w:rPr>
        <w:t xml:space="preserve">s income as a percentage of the area median income (AMI) for Mortgage Loans financed by the Authority under the Indenture </w:t>
      </w:r>
      <w:r w:rsidRPr="009C421E" w:rsidR="00CC279A">
        <w:rPr>
          <w:sz w:val="20"/>
          <w:szCs w:val="20"/>
        </w:rPr>
        <w:t>over the last f</w:t>
      </w:r>
      <w:r w:rsidR="00AB0C7D">
        <w:rPr>
          <w:sz w:val="20"/>
          <w:szCs w:val="20"/>
        </w:rPr>
        <w:t xml:space="preserve">ive </w:t>
      </w:r>
      <w:r w:rsidRPr="009C421E">
        <w:rPr>
          <w:sz w:val="20"/>
          <w:szCs w:val="20"/>
        </w:rPr>
        <w:t>calendar years</w:t>
      </w:r>
      <w:r w:rsidRPr="009C421E" w:rsidR="00950C5A">
        <w:rPr>
          <w:sz w:val="20"/>
          <w:szCs w:val="20"/>
        </w:rPr>
        <w:t xml:space="preserve"> </w:t>
      </w:r>
      <w:r w:rsidRPr="009C421E">
        <w:rPr>
          <w:sz w:val="20"/>
          <w:szCs w:val="20"/>
        </w:rPr>
        <w:t>(201</w:t>
      </w:r>
      <w:r w:rsidRPr="009C421E" w:rsidR="009B2DF0">
        <w:rPr>
          <w:sz w:val="20"/>
          <w:szCs w:val="20"/>
        </w:rPr>
        <w:t>9</w:t>
      </w:r>
      <w:r w:rsidRPr="009C421E">
        <w:rPr>
          <w:sz w:val="20"/>
          <w:szCs w:val="20"/>
        </w:rPr>
        <w:t xml:space="preserve"> </w:t>
      </w:r>
      <w:r w:rsidRPr="009C421E" w:rsidR="00C00C5C">
        <w:rPr>
          <w:sz w:val="20"/>
          <w:szCs w:val="20"/>
        </w:rPr>
        <w:t>–</w:t>
      </w:r>
      <w:r w:rsidRPr="009C421E">
        <w:rPr>
          <w:sz w:val="20"/>
          <w:szCs w:val="20"/>
        </w:rPr>
        <w:t xml:space="preserve"> </w:t>
      </w:r>
      <w:r w:rsidRPr="009C421E" w:rsidR="00CC279A">
        <w:rPr>
          <w:sz w:val="20"/>
          <w:szCs w:val="20"/>
        </w:rPr>
        <w:t>202</w:t>
      </w:r>
      <w:r w:rsidR="00AB0C7D">
        <w:rPr>
          <w:sz w:val="20"/>
          <w:szCs w:val="20"/>
        </w:rPr>
        <w:t>3</w:t>
      </w:r>
      <w:r w:rsidRPr="009C421E">
        <w:rPr>
          <w:sz w:val="20"/>
          <w:szCs w:val="20"/>
        </w:rPr>
        <w:t xml:space="preserve">).  </w:t>
      </w:r>
    </w:p>
    <w:p w:rsidRPr="009C421E" w:rsidR="00904605" w:rsidP="00264852" w:rsidRDefault="00904605" w14:paraId="1DE850FC" w14:textId="77777777">
      <w:pPr>
        <w:pStyle w:val="BlockSSNoPt"/>
        <w:jc w:val="center"/>
        <w:rPr>
          <w:b/>
          <w:bCs/>
          <w:sz w:val="16"/>
          <w:szCs w:val="16"/>
        </w:rPr>
        <w:sectPr w:rsidRPr="009C421E" w:rsidR="00904605" w:rsidSect="00677520">
          <w:footnotePr>
            <w:numFmt w:val="chicago"/>
            <w:numRestart w:val="eachPage"/>
          </w:footnotePr>
          <w:pgSz w:w="12240" w:h="15840" w:code="1"/>
          <w:pgMar w:top="1440" w:right="1440" w:bottom="1440" w:left="1440" w:header="720" w:footer="720" w:gutter="0"/>
          <w:pgNumType w:start="1"/>
          <w:cols w:space="720"/>
          <w:noEndnote/>
          <w:titlePg/>
          <w:docGrid w:linePitch="360"/>
        </w:sectPr>
      </w:pPr>
    </w:p>
    <w:p w:rsidRPr="009C421E" w:rsidR="00904605" w:rsidP="00264852" w:rsidRDefault="00904605" w14:paraId="75A03FB1" w14:textId="77777777">
      <w:pPr>
        <w:pStyle w:val="BlockSSNoPt"/>
        <w:jc w:val="center"/>
        <w:rPr>
          <w:b/>
          <w:bCs/>
          <w:sz w:val="16"/>
          <w:szCs w:val="16"/>
        </w:rPr>
        <w:sectPr w:rsidRPr="009C421E" w:rsidR="00904605" w:rsidSect="00904605">
          <w:footnotePr>
            <w:numRestart w:val="eachPage"/>
          </w:footnotePr>
          <w:type w:val="continuous"/>
          <w:pgSz w:w="12240" w:h="15840" w:code="1"/>
          <w:pgMar w:top="1440" w:right="1440" w:bottom="1440" w:left="1440" w:header="720" w:footer="720" w:gutter="0"/>
          <w:pgNumType w:start="1"/>
          <w:cols w:space="720"/>
          <w:noEndnote/>
          <w:titlePg/>
          <w:docGrid w:linePitch="360"/>
        </w:sectPr>
      </w:pPr>
    </w:p>
    <w:tbl>
      <w:tblPr>
        <w:tblStyle w:val="TableGrid"/>
        <w:tblW w:w="9175" w:type="dxa"/>
        <w:tblBorders>
          <w:insideH w:val="none" w:color="auto" w:sz="0" w:space="0"/>
          <w:insideV w:val="none" w:color="auto" w:sz="0" w:space="0"/>
        </w:tblBorders>
        <w:tblLook w:val="04A0" w:firstRow="1" w:lastRow="0" w:firstColumn="1" w:lastColumn="0" w:noHBand="0" w:noVBand="1"/>
      </w:tblPr>
      <w:tblGrid>
        <w:gridCol w:w="2695"/>
        <w:gridCol w:w="1620"/>
        <w:gridCol w:w="540"/>
        <w:gridCol w:w="2610"/>
        <w:gridCol w:w="1710"/>
      </w:tblGrid>
      <w:tr w:rsidRPr="009C421E" w:rsidR="00264852" w:rsidTr="00213C2E" w14:paraId="3BB6F3A1" w14:textId="77777777">
        <w:tc>
          <w:tcPr>
            <w:tcW w:w="9175" w:type="dxa"/>
            <w:gridSpan w:val="5"/>
          </w:tcPr>
          <w:p w:rsidRPr="009C421E" w:rsidR="00264852" w:rsidP="00264852" w:rsidRDefault="00264852" w14:paraId="2B285904" w14:textId="38AE273F">
            <w:pPr>
              <w:pStyle w:val="BlockSSNoPt"/>
              <w:jc w:val="center"/>
              <w:rPr>
                <w:b/>
                <w:bCs/>
                <w:sz w:val="16"/>
                <w:szCs w:val="16"/>
              </w:rPr>
            </w:pPr>
            <w:r w:rsidRPr="009C421E">
              <w:rPr>
                <w:b/>
                <w:bCs/>
                <w:sz w:val="16"/>
                <w:szCs w:val="16"/>
              </w:rPr>
              <w:t>Indiana Housing and Community Development Authority</w:t>
            </w:r>
          </w:p>
          <w:p w:rsidRPr="009C421E" w:rsidR="00264852" w:rsidP="00264852" w:rsidRDefault="00264852" w14:paraId="45EBB543" w14:textId="053324CA">
            <w:pPr>
              <w:pStyle w:val="BlockSSNoPt"/>
              <w:jc w:val="center"/>
              <w:rPr>
                <w:b/>
                <w:bCs/>
                <w:sz w:val="16"/>
                <w:szCs w:val="16"/>
              </w:rPr>
            </w:pPr>
            <w:r w:rsidRPr="009C421E">
              <w:rPr>
                <w:b/>
                <w:bCs/>
                <w:sz w:val="16"/>
                <w:szCs w:val="16"/>
              </w:rPr>
              <w:t>Homebuyer Program Highlights (January 201</w:t>
            </w:r>
            <w:r w:rsidRPr="009C421E" w:rsidR="009B2DF0">
              <w:rPr>
                <w:b/>
                <w:bCs/>
                <w:sz w:val="16"/>
                <w:szCs w:val="16"/>
              </w:rPr>
              <w:t>9</w:t>
            </w:r>
            <w:r w:rsidRPr="009C421E">
              <w:rPr>
                <w:b/>
                <w:bCs/>
                <w:sz w:val="16"/>
                <w:szCs w:val="16"/>
              </w:rPr>
              <w:t xml:space="preserve"> – </w:t>
            </w:r>
            <w:r w:rsidRPr="009C421E" w:rsidR="00A5797C">
              <w:rPr>
                <w:b/>
                <w:bCs/>
                <w:sz w:val="16"/>
                <w:szCs w:val="16"/>
              </w:rPr>
              <w:t>December</w:t>
            </w:r>
            <w:r w:rsidRPr="009C421E" w:rsidR="00BF0A3B">
              <w:rPr>
                <w:b/>
                <w:bCs/>
                <w:sz w:val="16"/>
                <w:szCs w:val="16"/>
              </w:rPr>
              <w:t xml:space="preserve"> 202</w:t>
            </w:r>
            <w:r w:rsidR="00AB0C7D">
              <w:rPr>
                <w:b/>
                <w:bCs/>
                <w:sz w:val="16"/>
                <w:szCs w:val="16"/>
              </w:rPr>
              <w:t>3</w:t>
            </w:r>
            <w:r w:rsidRPr="009C421E">
              <w:rPr>
                <w:b/>
                <w:bCs/>
                <w:sz w:val="16"/>
                <w:szCs w:val="16"/>
              </w:rPr>
              <w:t>)</w:t>
            </w:r>
          </w:p>
          <w:p w:rsidRPr="009C421E" w:rsidR="005F55C8" w:rsidP="00281BAD" w:rsidRDefault="00264852" w14:paraId="30003FED" w14:textId="77777777">
            <w:pPr>
              <w:pStyle w:val="BlockSS"/>
              <w:jc w:val="center"/>
              <w:rPr>
                <w:b/>
                <w:bCs/>
                <w:sz w:val="16"/>
                <w:szCs w:val="16"/>
              </w:rPr>
            </w:pPr>
            <w:r w:rsidRPr="009C421E">
              <w:rPr>
                <w:b/>
                <w:bCs/>
                <w:sz w:val="16"/>
                <w:szCs w:val="16"/>
              </w:rPr>
              <w:t>For Mortgage Loans Financed</w:t>
            </w:r>
            <w:r w:rsidRPr="009C421E" w:rsidR="00904605">
              <w:rPr>
                <w:rStyle w:val="FootnoteReference"/>
                <w:b/>
                <w:bCs/>
                <w:vertAlign w:val="superscript"/>
              </w:rPr>
              <w:footnoteReference w:id="3"/>
            </w:r>
            <w:r w:rsidRPr="009C421E">
              <w:rPr>
                <w:b/>
                <w:bCs/>
                <w:sz w:val="16"/>
                <w:szCs w:val="16"/>
              </w:rPr>
              <w:t>under the</w:t>
            </w:r>
            <w:r w:rsidRPr="009C421E" w:rsidR="00F16B73">
              <w:rPr>
                <w:b/>
                <w:bCs/>
                <w:sz w:val="16"/>
                <w:szCs w:val="16"/>
              </w:rPr>
              <w:t xml:space="preserve"> Master</w:t>
            </w:r>
            <w:r w:rsidRPr="009C421E">
              <w:rPr>
                <w:b/>
                <w:bCs/>
                <w:sz w:val="16"/>
                <w:szCs w:val="16"/>
              </w:rPr>
              <w:t xml:space="preserve"> Indenture</w:t>
            </w:r>
          </w:p>
          <w:p w:rsidRPr="009C421E" w:rsidR="00264852" w:rsidP="00281BAD" w:rsidRDefault="00264852" w14:paraId="13804A81" w14:textId="30DA3CAD">
            <w:pPr>
              <w:pStyle w:val="BlockSS"/>
              <w:jc w:val="center"/>
              <w:rPr>
                <w:sz w:val="16"/>
                <w:szCs w:val="16"/>
              </w:rPr>
            </w:pPr>
          </w:p>
        </w:tc>
      </w:tr>
      <w:tr w:rsidRPr="009C421E" w:rsidR="00D052B4" w:rsidTr="00213C2E" w14:paraId="77277531" w14:textId="77777777">
        <w:tc>
          <w:tcPr>
            <w:tcW w:w="4315" w:type="dxa"/>
            <w:gridSpan w:val="2"/>
          </w:tcPr>
          <w:p w:rsidRPr="009C421E" w:rsidR="00D052B4" w:rsidP="00213C2E" w:rsidRDefault="00D052B4" w14:paraId="18577A2D" w14:textId="77777777">
            <w:pPr>
              <w:pStyle w:val="BlockSS"/>
              <w:spacing w:after="0"/>
              <w:jc w:val="center"/>
              <w:rPr>
                <w:b/>
                <w:sz w:val="16"/>
                <w:szCs w:val="16"/>
              </w:rPr>
            </w:pPr>
            <w:r w:rsidRPr="009C421E">
              <w:rPr>
                <w:b/>
                <w:sz w:val="16"/>
                <w:szCs w:val="16"/>
              </w:rPr>
              <w:t>Bond Eligible Single Family Mortgage Program Loans</w:t>
            </w:r>
          </w:p>
        </w:tc>
        <w:tc>
          <w:tcPr>
            <w:tcW w:w="540" w:type="dxa"/>
          </w:tcPr>
          <w:p w:rsidRPr="009C421E" w:rsidR="00D052B4" w:rsidP="00FA1230" w:rsidRDefault="00D052B4" w14:paraId="6EF6C4CC" w14:textId="77777777">
            <w:pPr>
              <w:pStyle w:val="BlockSS"/>
              <w:spacing w:after="0"/>
              <w:rPr>
                <w:b/>
                <w:sz w:val="16"/>
                <w:szCs w:val="16"/>
              </w:rPr>
            </w:pPr>
          </w:p>
        </w:tc>
        <w:tc>
          <w:tcPr>
            <w:tcW w:w="4320" w:type="dxa"/>
            <w:gridSpan w:val="2"/>
          </w:tcPr>
          <w:p w:rsidRPr="009C421E" w:rsidR="00D052B4" w:rsidP="00213C2E" w:rsidRDefault="00D052B4" w14:paraId="0BE8A5A5" w14:textId="77777777">
            <w:pPr>
              <w:pStyle w:val="BlockSS"/>
              <w:spacing w:after="0"/>
              <w:jc w:val="center"/>
              <w:rPr>
                <w:b/>
                <w:sz w:val="16"/>
                <w:szCs w:val="16"/>
              </w:rPr>
            </w:pPr>
            <w:r w:rsidRPr="009C421E">
              <w:rPr>
                <w:b/>
                <w:sz w:val="16"/>
                <w:szCs w:val="16"/>
              </w:rPr>
              <w:t>Down Payment Assistance (DPA) Loans</w:t>
            </w:r>
          </w:p>
        </w:tc>
      </w:tr>
      <w:tr w:rsidRPr="009C421E" w:rsidR="00213C2E" w:rsidTr="00213C2E" w14:paraId="6C6A21A3" w14:textId="77777777">
        <w:tc>
          <w:tcPr>
            <w:tcW w:w="2695" w:type="dxa"/>
          </w:tcPr>
          <w:p w:rsidRPr="009C421E" w:rsidR="00213C2E" w:rsidP="00FA1230" w:rsidRDefault="00213C2E" w14:paraId="5E8F0393" w14:textId="77777777">
            <w:pPr>
              <w:pStyle w:val="BlockSS"/>
              <w:spacing w:after="0"/>
              <w:rPr>
                <w:sz w:val="16"/>
                <w:szCs w:val="16"/>
              </w:rPr>
            </w:pPr>
          </w:p>
        </w:tc>
        <w:tc>
          <w:tcPr>
            <w:tcW w:w="1620" w:type="dxa"/>
          </w:tcPr>
          <w:p w:rsidRPr="009C421E" w:rsidR="00213C2E" w:rsidP="00BE24F1" w:rsidRDefault="00213C2E" w14:paraId="2F8914F1" w14:textId="77777777">
            <w:pPr>
              <w:pStyle w:val="BlockSS"/>
              <w:spacing w:after="0"/>
              <w:jc w:val="right"/>
              <w:rPr>
                <w:sz w:val="16"/>
                <w:szCs w:val="16"/>
              </w:rPr>
            </w:pPr>
          </w:p>
        </w:tc>
        <w:tc>
          <w:tcPr>
            <w:tcW w:w="540" w:type="dxa"/>
          </w:tcPr>
          <w:p w:rsidRPr="009C421E" w:rsidR="00213C2E" w:rsidP="00FA1230" w:rsidRDefault="00213C2E" w14:paraId="38F522AA" w14:textId="77777777">
            <w:pPr>
              <w:pStyle w:val="BlockSS"/>
              <w:spacing w:after="0"/>
              <w:rPr>
                <w:sz w:val="16"/>
                <w:szCs w:val="16"/>
              </w:rPr>
            </w:pPr>
          </w:p>
        </w:tc>
        <w:tc>
          <w:tcPr>
            <w:tcW w:w="2610" w:type="dxa"/>
          </w:tcPr>
          <w:p w:rsidRPr="009C421E" w:rsidR="00213C2E" w:rsidP="00FA1230" w:rsidRDefault="00213C2E" w14:paraId="2F3FA7AE" w14:textId="77777777">
            <w:pPr>
              <w:pStyle w:val="BlockSS"/>
              <w:spacing w:after="0"/>
              <w:rPr>
                <w:sz w:val="16"/>
                <w:szCs w:val="16"/>
              </w:rPr>
            </w:pPr>
          </w:p>
        </w:tc>
        <w:tc>
          <w:tcPr>
            <w:tcW w:w="1710" w:type="dxa"/>
          </w:tcPr>
          <w:p w:rsidRPr="009C421E" w:rsidR="00213C2E" w:rsidP="00213C2E" w:rsidRDefault="00213C2E" w14:paraId="38108279" w14:textId="77777777">
            <w:pPr>
              <w:pStyle w:val="BlockSS"/>
              <w:spacing w:after="0"/>
              <w:ind w:right="259"/>
              <w:jc w:val="right"/>
              <w:rPr>
                <w:sz w:val="16"/>
                <w:szCs w:val="16"/>
              </w:rPr>
            </w:pPr>
          </w:p>
        </w:tc>
      </w:tr>
      <w:tr w:rsidRPr="009C421E" w:rsidR="00D052B4" w:rsidTr="00213C2E" w14:paraId="2F6BE22C" w14:textId="77777777">
        <w:tc>
          <w:tcPr>
            <w:tcW w:w="2695" w:type="dxa"/>
          </w:tcPr>
          <w:p w:rsidRPr="00E671A2" w:rsidR="00D052B4" w:rsidP="00213C2E" w:rsidRDefault="00D052B4" w14:paraId="3FC7D93A" w14:textId="77777777">
            <w:pPr>
              <w:pStyle w:val="BlockSS"/>
              <w:spacing w:after="0"/>
              <w:ind w:left="155"/>
              <w:rPr>
                <w:sz w:val="16"/>
                <w:szCs w:val="16"/>
              </w:rPr>
            </w:pPr>
            <w:r w:rsidRPr="00E671A2">
              <w:rPr>
                <w:sz w:val="16"/>
                <w:szCs w:val="16"/>
              </w:rPr>
              <w:t>Loan Volume ($)</w:t>
            </w:r>
          </w:p>
        </w:tc>
        <w:tc>
          <w:tcPr>
            <w:tcW w:w="1620" w:type="dxa"/>
          </w:tcPr>
          <w:p w:rsidRPr="00E671A2" w:rsidR="00D052B4" w:rsidP="00CC279A" w:rsidRDefault="00D13B80" w14:paraId="70E56CCB" w14:textId="2A64C39A">
            <w:pPr>
              <w:pStyle w:val="BlockSS"/>
              <w:spacing w:after="0"/>
              <w:ind w:right="347"/>
              <w:jc w:val="right"/>
              <w:rPr>
                <w:sz w:val="16"/>
                <w:szCs w:val="16"/>
              </w:rPr>
            </w:pPr>
            <w:r w:rsidRPr="00E671A2">
              <w:rPr>
                <w:sz w:val="16"/>
                <w:szCs w:val="16"/>
              </w:rPr>
              <w:t>$</w:t>
            </w:r>
            <w:r w:rsidRPr="00E671A2" w:rsidR="00213C2E">
              <w:rPr>
                <w:sz w:val="16"/>
                <w:szCs w:val="16"/>
              </w:rPr>
              <w:t xml:space="preserve"> </w:t>
            </w:r>
            <w:r w:rsidRPr="00E671A2" w:rsidR="00CC279A">
              <w:rPr>
                <w:sz w:val="16"/>
                <w:szCs w:val="16"/>
              </w:rPr>
              <w:t>814,648,747</w:t>
            </w:r>
          </w:p>
        </w:tc>
        <w:tc>
          <w:tcPr>
            <w:tcW w:w="540" w:type="dxa"/>
          </w:tcPr>
          <w:p w:rsidRPr="00E671A2" w:rsidR="00D052B4" w:rsidP="00FA1230" w:rsidRDefault="00D052B4" w14:paraId="2C8BA913" w14:textId="77777777">
            <w:pPr>
              <w:pStyle w:val="BlockSS"/>
              <w:spacing w:after="0"/>
              <w:rPr>
                <w:sz w:val="16"/>
                <w:szCs w:val="16"/>
              </w:rPr>
            </w:pPr>
          </w:p>
        </w:tc>
        <w:tc>
          <w:tcPr>
            <w:tcW w:w="2610" w:type="dxa"/>
          </w:tcPr>
          <w:p w:rsidRPr="00E671A2" w:rsidR="00D052B4" w:rsidP="00FA1230" w:rsidRDefault="00D052B4" w14:paraId="04E2052A" w14:textId="77777777">
            <w:pPr>
              <w:pStyle w:val="BlockSS"/>
              <w:spacing w:after="0"/>
              <w:rPr>
                <w:sz w:val="16"/>
                <w:szCs w:val="16"/>
              </w:rPr>
            </w:pPr>
            <w:r w:rsidRPr="00E671A2">
              <w:rPr>
                <w:sz w:val="16"/>
                <w:szCs w:val="16"/>
              </w:rPr>
              <w:t>DPA Loan Volume ($)</w:t>
            </w:r>
          </w:p>
        </w:tc>
        <w:tc>
          <w:tcPr>
            <w:tcW w:w="1710" w:type="dxa"/>
          </w:tcPr>
          <w:p w:rsidRPr="00E671A2" w:rsidR="00D052B4" w:rsidP="00123563" w:rsidRDefault="00D13B80" w14:paraId="6DECC5C4" w14:textId="6AC93BED">
            <w:pPr>
              <w:pStyle w:val="BlockSS"/>
              <w:spacing w:after="0"/>
              <w:ind w:right="259"/>
              <w:jc w:val="right"/>
              <w:rPr>
                <w:sz w:val="16"/>
                <w:szCs w:val="16"/>
              </w:rPr>
            </w:pPr>
            <w:r w:rsidRPr="00E671A2">
              <w:rPr>
                <w:sz w:val="16"/>
                <w:szCs w:val="16"/>
              </w:rPr>
              <w:t>$</w:t>
            </w:r>
            <w:r w:rsidRPr="00E671A2" w:rsidR="00213C2E">
              <w:rPr>
                <w:sz w:val="16"/>
                <w:szCs w:val="16"/>
              </w:rPr>
              <w:t xml:space="preserve">  </w:t>
            </w:r>
            <w:r w:rsidRPr="00E671A2" w:rsidR="00CC279A">
              <w:rPr>
                <w:sz w:val="16"/>
                <w:szCs w:val="16"/>
              </w:rPr>
              <w:t>45,321,155</w:t>
            </w:r>
          </w:p>
        </w:tc>
      </w:tr>
      <w:tr w:rsidRPr="009C421E" w:rsidR="00213C2E" w:rsidTr="00213C2E" w14:paraId="5679D3A9" w14:textId="77777777">
        <w:tc>
          <w:tcPr>
            <w:tcW w:w="2695" w:type="dxa"/>
          </w:tcPr>
          <w:p w:rsidRPr="00E671A2" w:rsidR="00213C2E" w:rsidP="00213C2E" w:rsidRDefault="00213C2E" w14:paraId="12CF2E37" w14:textId="77777777">
            <w:pPr>
              <w:pStyle w:val="BlockSS"/>
              <w:spacing w:after="0"/>
              <w:ind w:left="155"/>
              <w:rPr>
                <w:sz w:val="16"/>
                <w:szCs w:val="16"/>
              </w:rPr>
            </w:pPr>
          </w:p>
        </w:tc>
        <w:tc>
          <w:tcPr>
            <w:tcW w:w="1620" w:type="dxa"/>
          </w:tcPr>
          <w:p w:rsidRPr="00E671A2" w:rsidR="00213C2E" w:rsidP="00213C2E" w:rsidRDefault="00213C2E" w14:paraId="312CB17F" w14:textId="77777777">
            <w:pPr>
              <w:pStyle w:val="BlockSS"/>
              <w:spacing w:after="0"/>
              <w:ind w:right="347"/>
              <w:jc w:val="right"/>
              <w:rPr>
                <w:sz w:val="16"/>
                <w:szCs w:val="16"/>
              </w:rPr>
            </w:pPr>
          </w:p>
        </w:tc>
        <w:tc>
          <w:tcPr>
            <w:tcW w:w="540" w:type="dxa"/>
          </w:tcPr>
          <w:p w:rsidRPr="00E671A2" w:rsidR="00213C2E" w:rsidP="00FA1230" w:rsidRDefault="00213C2E" w14:paraId="1AA233D9" w14:textId="77777777">
            <w:pPr>
              <w:pStyle w:val="BlockSS"/>
              <w:spacing w:after="0"/>
              <w:rPr>
                <w:sz w:val="16"/>
                <w:szCs w:val="16"/>
              </w:rPr>
            </w:pPr>
          </w:p>
        </w:tc>
        <w:tc>
          <w:tcPr>
            <w:tcW w:w="2610" w:type="dxa"/>
          </w:tcPr>
          <w:p w:rsidRPr="00E671A2" w:rsidR="00213C2E" w:rsidP="00FA1230" w:rsidRDefault="00213C2E" w14:paraId="5BABD616" w14:textId="77777777">
            <w:pPr>
              <w:pStyle w:val="BlockSS"/>
              <w:spacing w:after="0"/>
              <w:rPr>
                <w:sz w:val="16"/>
                <w:szCs w:val="16"/>
              </w:rPr>
            </w:pPr>
          </w:p>
        </w:tc>
        <w:tc>
          <w:tcPr>
            <w:tcW w:w="1710" w:type="dxa"/>
          </w:tcPr>
          <w:p w:rsidRPr="00E671A2" w:rsidR="00213C2E" w:rsidP="00213C2E" w:rsidRDefault="00213C2E" w14:paraId="6A40E40E" w14:textId="77777777">
            <w:pPr>
              <w:pStyle w:val="BlockSS"/>
              <w:spacing w:after="0"/>
              <w:ind w:right="259"/>
              <w:jc w:val="right"/>
              <w:rPr>
                <w:sz w:val="16"/>
                <w:szCs w:val="16"/>
              </w:rPr>
            </w:pPr>
          </w:p>
        </w:tc>
      </w:tr>
      <w:tr w:rsidRPr="009C421E" w:rsidR="00D052B4" w:rsidTr="00213C2E" w14:paraId="35B9A7F6" w14:textId="77777777">
        <w:tc>
          <w:tcPr>
            <w:tcW w:w="2695" w:type="dxa"/>
          </w:tcPr>
          <w:p w:rsidRPr="00E671A2" w:rsidR="00D052B4" w:rsidP="00213C2E" w:rsidRDefault="00D052B4" w14:paraId="58D07019" w14:textId="77777777">
            <w:pPr>
              <w:pStyle w:val="BlockSS"/>
              <w:spacing w:after="0"/>
              <w:ind w:left="155"/>
              <w:rPr>
                <w:sz w:val="16"/>
                <w:szCs w:val="16"/>
              </w:rPr>
            </w:pPr>
            <w:r w:rsidRPr="00E671A2">
              <w:rPr>
                <w:sz w:val="16"/>
                <w:szCs w:val="16"/>
              </w:rPr>
              <w:t>Loans Provided (#)</w:t>
            </w:r>
          </w:p>
        </w:tc>
        <w:tc>
          <w:tcPr>
            <w:tcW w:w="1620" w:type="dxa"/>
          </w:tcPr>
          <w:p w:rsidRPr="00E671A2" w:rsidR="00D052B4" w:rsidP="00A559CE" w:rsidRDefault="00CC279A" w14:paraId="4F695F2D" w14:textId="737FB27A">
            <w:pPr>
              <w:pStyle w:val="BlockSS"/>
              <w:spacing w:after="0"/>
              <w:ind w:right="347"/>
              <w:jc w:val="right"/>
              <w:rPr>
                <w:sz w:val="16"/>
                <w:szCs w:val="16"/>
              </w:rPr>
            </w:pPr>
            <w:r w:rsidRPr="00E671A2">
              <w:rPr>
                <w:sz w:val="16"/>
                <w:szCs w:val="16"/>
              </w:rPr>
              <w:t>5,093</w:t>
            </w:r>
          </w:p>
        </w:tc>
        <w:tc>
          <w:tcPr>
            <w:tcW w:w="540" w:type="dxa"/>
          </w:tcPr>
          <w:p w:rsidRPr="00E671A2" w:rsidR="00D052B4" w:rsidP="00FA1230" w:rsidRDefault="00D052B4" w14:paraId="18751100" w14:textId="77777777">
            <w:pPr>
              <w:pStyle w:val="BlockSS"/>
              <w:spacing w:after="0"/>
              <w:rPr>
                <w:sz w:val="16"/>
                <w:szCs w:val="16"/>
              </w:rPr>
            </w:pPr>
          </w:p>
        </w:tc>
        <w:tc>
          <w:tcPr>
            <w:tcW w:w="2610" w:type="dxa"/>
          </w:tcPr>
          <w:p w:rsidRPr="00E671A2" w:rsidR="00D052B4" w:rsidP="00FA1230" w:rsidRDefault="00D052B4" w14:paraId="5E19E3B2" w14:textId="77777777">
            <w:pPr>
              <w:pStyle w:val="BlockSS"/>
              <w:spacing w:after="0"/>
              <w:rPr>
                <w:sz w:val="16"/>
                <w:szCs w:val="16"/>
              </w:rPr>
            </w:pPr>
            <w:r w:rsidRPr="00E671A2">
              <w:rPr>
                <w:sz w:val="16"/>
                <w:szCs w:val="16"/>
              </w:rPr>
              <w:t>DPA Loans Provided (#)</w:t>
            </w:r>
          </w:p>
        </w:tc>
        <w:tc>
          <w:tcPr>
            <w:tcW w:w="1710" w:type="dxa"/>
          </w:tcPr>
          <w:p w:rsidRPr="00E671A2" w:rsidR="00D052B4" w:rsidP="00123563" w:rsidRDefault="00CC279A" w14:paraId="2241146F" w14:textId="16EC25E3">
            <w:pPr>
              <w:pStyle w:val="BlockSS"/>
              <w:spacing w:after="0"/>
              <w:ind w:right="259"/>
              <w:jc w:val="right"/>
              <w:rPr>
                <w:sz w:val="16"/>
                <w:szCs w:val="16"/>
              </w:rPr>
            </w:pPr>
            <w:r w:rsidRPr="00E671A2">
              <w:rPr>
                <w:sz w:val="16"/>
                <w:szCs w:val="16"/>
              </w:rPr>
              <w:t>5,093</w:t>
            </w:r>
          </w:p>
        </w:tc>
      </w:tr>
      <w:tr w:rsidRPr="009C421E" w:rsidR="00213C2E" w:rsidTr="00213C2E" w14:paraId="5471F060" w14:textId="77777777">
        <w:tc>
          <w:tcPr>
            <w:tcW w:w="2695" w:type="dxa"/>
          </w:tcPr>
          <w:p w:rsidRPr="00E671A2" w:rsidR="00213C2E" w:rsidP="00213C2E" w:rsidRDefault="00213C2E" w14:paraId="1CDAC150" w14:textId="77777777">
            <w:pPr>
              <w:pStyle w:val="BlockSS"/>
              <w:spacing w:after="0"/>
              <w:ind w:left="155"/>
              <w:rPr>
                <w:sz w:val="16"/>
                <w:szCs w:val="16"/>
              </w:rPr>
            </w:pPr>
          </w:p>
        </w:tc>
        <w:tc>
          <w:tcPr>
            <w:tcW w:w="1620" w:type="dxa"/>
          </w:tcPr>
          <w:p w:rsidRPr="00E671A2" w:rsidR="00213C2E" w:rsidP="00213C2E" w:rsidRDefault="00213C2E" w14:paraId="0F36DCFA" w14:textId="77777777">
            <w:pPr>
              <w:pStyle w:val="BlockSS"/>
              <w:spacing w:after="0"/>
              <w:ind w:right="347"/>
              <w:jc w:val="right"/>
              <w:rPr>
                <w:sz w:val="16"/>
                <w:szCs w:val="16"/>
              </w:rPr>
            </w:pPr>
          </w:p>
        </w:tc>
        <w:tc>
          <w:tcPr>
            <w:tcW w:w="540" w:type="dxa"/>
          </w:tcPr>
          <w:p w:rsidRPr="00E671A2" w:rsidR="00213C2E" w:rsidP="00FA1230" w:rsidRDefault="00213C2E" w14:paraId="46C81E2A" w14:textId="77777777">
            <w:pPr>
              <w:pStyle w:val="BlockSS"/>
              <w:spacing w:after="0"/>
              <w:rPr>
                <w:sz w:val="16"/>
                <w:szCs w:val="16"/>
              </w:rPr>
            </w:pPr>
          </w:p>
        </w:tc>
        <w:tc>
          <w:tcPr>
            <w:tcW w:w="2610" w:type="dxa"/>
          </w:tcPr>
          <w:p w:rsidRPr="00E671A2" w:rsidR="00213C2E" w:rsidP="00FA1230" w:rsidRDefault="00213C2E" w14:paraId="063A05B5" w14:textId="77777777">
            <w:pPr>
              <w:pStyle w:val="BlockSS"/>
              <w:spacing w:after="0"/>
              <w:rPr>
                <w:sz w:val="16"/>
                <w:szCs w:val="16"/>
              </w:rPr>
            </w:pPr>
          </w:p>
        </w:tc>
        <w:tc>
          <w:tcPr>
            <w:tcW w:w="1710" w:type="dxa"/>
          </w:tcPr>
          <w:p w:rsidRPr="00E671A2" w:rsidR="00213C2E" w:rsidP="00213C2E" w:rsidRDefault="00213C2E" w14:paraId="7AF99910" w14:textId="77777777">
            <w:pPr>
              <w:pStyle w:val="BlockSS"/>
              <w:spacing w:after="0"/>
              <w:ind w:right="259"/>
              <w:jc w:val="right"/>
              <w:rPr>
                <w:sz w:val="16"/>
                <w:szCs w:val="16"/>
              </w:rPr>
            </w:pPr>
          </w:p>
        </w:tc>
      </w:tr>
      <w:tr w:rsidRPr="009C421E" w:rsidR="00D052B4" w:rsidTr="00213C2E" w14:paraId="59BC7A75" w14:textId="77777777">
        <w:tc>
          <w:tcPr>
            <w:tcW w:w="2695" w:type="dxa"/>
          </w:tcPr>
          <w:p w:rsidRPr="00E671A2" w:rsidR="00D052B4" w:rsidP="00213C2E" w:rsidRDefault="00D052B4" w14:paraId="2E6D66B4" w14:textId="77777777">
            <w:pPr>
              <w:pStyle w:val="BlockSS"/>
              <w:spacing w:after="0"/>
              <w:ind w:left="155"/>
              <w:rPr>
                <w:sz w:val="16"/>
                <w:szCs w:val="16"/>
              </w:rPr>
            </w:pPr>
            <w:r w:rsidRPr="00E671A2">
              <w:rPr>
                <w:sz w:val="16"/>
                <w:szCs w:val="16"/>
              </w:rPr>
              <w:t>Average Loan Amount</w:t>
            </w:r>
          </w:p>
        </w:tc>
        <w:tc>
          <w:tcPr>
            <w:tcW w:w="1620" w:type="dxa"/>
          </w:tcPr>
          <w:p w:rsidRPr="00E671A2" w:rsidR="00D052B4" w:rsidP="00A559CE" w:rsidRDefault="00D13B80" w14:paraId="3609D52B" w14:textId="0A284861">
            <w:pPr>
              <w:pStyle w:val="BlockSS"/>
              <w:spacing w:after="0"/>
              <w:ind w:right="347"/>
              <w:jc w:val="right"/>
              <w:rPr>
                <w:sz w:val="16"/>
                <w:szCs w:val="16"/>
              </w:rPr>
            </w:pPr>
            <w:r w:rsidRPr="00E671A2">
              <w:rPr>
                <w:sz w:val="16"/>
                <w:szCs w:val="16"/>
              </w:rPr>
              <w:t>$</w:t>
            </w:r>
            <w:r w:rsidRPr="00E671A2" w:rsidR="00213C2E">
              <w:rPr>
                <w:sz w:val="16"/>
                <w:szCs w:val="16"/>
              </w:rPr>
              <w:t xml:space="preserve">       </w:t>
            </w:r>
            <w:r w:rsidRPr="00E671A2" w:rsidR="00CC279A">
              <w:rPr>
                <w:sz w:val="16"/>
                <w:szCs w:val="16"/>
              </w:rPr>
              <w:t>159,955</w:t>
            </w:r>
          </w:p>
        </w:tc>
        <w:tc>
          <w:tcPr>
            <w:tcW w:w="540" w:type="dxa"/>
          </w:tcPr>
          <w:p w:rsidRPr="00E671A2" w:rsidR="00D052B4" w:rsidP="00FA1230" w:rsidRDefault="00D052B4" w14:paraId="32439AEE" w14:textId="77777777">
            <w:pPr>
              <w:pStyle w:val="BlockSS"/>
              <w:spacing w:after="0"/>
              <w:rPr>
                <w:sz w:val="16"/>
                <w:szCs w:val="16"/>
              </w:rPr>
            </w:pPr>
          </w:p>
        </w:tc>
        <w:tc>
          <w:tcPr>
            <w:tcW w:w="2610" w:type="dxa"/>
          </w:tcPr>
          <w:p w:rsidRPr="00E671A2" w:rsidR="00D052B4" w:rsidP="00FA1230" w:rsidRDefault="00D052B4" w14:paraId="669B5ACD" w14:textId="77777777">
            <w:pPr>
              <w:pStyle w:val="BlockSS"/>
              <w:spacing w:after="0"/>
              <w:rPr>
                <w:sz w:val="16"/>
                <w:szCs w:val="16"/>
              </w:rPr>
            </w:pPr>
            <w:r w:rsidRPr="00E671A2">
              <w:rPr>
                <w:sz w:val="16"/>
                <w:szCs w:val="16"/>
              </w:rPr>
              <w:t>Average DPA Loan Amount</w:t>
            </w:r>
          </w:p>
        </w:tc>
        <w:tc>
          <w:tcPr>
            <w:tcW w:w="1710" w:type="dxa"/>
          </w:tcPr>
          <w:p w:rsidRPr="00E671A2" w:rsidR="00D052B4" w:rsidP="00123563" w:rsidRDefault="00D13B80" w14:paraId="70F7491B" w14:textId="7B007391">
            <w:pPr>
              <w:pStyle w:val="BlockSS"/>
              <w:spacing w:after="0"/>
              <w:ind w:right="259"/>
              <w:jc w:val="right"/>
              <w:rPr>
                <w:sz w:val="16"/>
                <w:szCs w:val="16"/>
              </w:rPr>
            </w:pPr>
            <w:r w:rsidRPr="00E671A2">
              <w:rPr>
                <w:sz w:val="16"/>
                <w:szCs w:val="16"/>
              </w:rPr>
              <w:t>$</w:t>
            </w:r>
            <w:r w:rsidRPr="00E671A2" w:rsidR="00213C2E">
              <w:rPr>
                <w:sz w:val="16"/>
                <w:szCs w:val="16"/>
              </w:rPr>
              <w:t xml:space="preserve">  </w:t>
            </w:r>
            <w:r w:rsidRPr="00E671A2" w:rsidR="001103A4">
              <w:rPr>
                <w:sz w:val="16"/>
                <w:szCs w:val="16"/>
              </w:rPr>
              <w:t xml:space="preserve">      8,899</w:t>
            </w:r>
            <w:r w:rsidRPr="00E671A2" w:rsidR="00213C2E">
              <w:rPr>
                <w:sz w:val="16"/>
                <w:szCs w:val="16"/>
              </w:rPr>
              <w:t xml:space="preserve">      </w:t>
            </w:r>
          </w:p>
        </w:tc>
      </w:tr>
      <w:tr w:rsidRPr="009C421E" w:rsidR="00213C2E" w:rsidTr="00213C2E" w14:paraId="3063918D" w14:textId="77777777">
        <w:tc>
          <w:tcPr>
            <w:tcW w:w="2695" w:type="dxa"/>
          </w:tcPr>
          <w:p w:rsidRPr="00E671A2" w:rsidR="00213C2E" w:rsidP="00213C2E" w:rsidRDefault="00213C2E" w14:paraId="44120EF1" w14:textId="77777777">
            <w:pPr>
              <w:pStyle w:val="BlockSS"/>
              <w:spacing w:after="0"/>
              <w:ind w:left="155"/>
              <w:rPr>
                <w:sz w:val="16"/>
                <w:szCs w:val="16"/>
              </w:rPr>
            </w:pPr>
          </w:p>
        </w:tc>
        <w:tc>
          <w:tcPr>
            <w:tcW w:w="1620" w:type="dxa"/>
          </w:tcPr>
          <w:p w:rsidRPr="00E671A2" w:rsidR="00213C2E" w:rsidP="00213C2E" w:rsidRDefault="00213C2E" w14:paraId="03D402E7" w14:textId="77777777">
            <w:pPr>
              <w:pStyle w:val="BlockSS"/>
              <w:spacing w:after="0"/>
              <w:ind w:right="347"/>
              <w:jc w:val="right"/>
              <w:rPr>
                <w:sz w:val="16"/>
                <w:szCs w:val="16"/>
              </w:rPr>
            </w:pPr>
          </w:p>
        </w:tc>
        <w:tc>
          <w:tcPr>
            <w:tcW w:w="540" w:type="dxa"/>
          </w:tcPr>
          <w:p w:rsidRPr="00E671A2" w:rsidR="00213C2E" w:rsidP="00FA1230" w:rsidRDefault="00213C2E" w14:paraId="7780191A" w14:textId="77777777">
            <w:pPr>
              <w:pStyle w:val="BlockSS"/>
              <w:spacing w:after="0"/>
              <w:rPr>
                <w:sz w:val="16"/>
                <w:szCs w:val="16"/>
              </w:rPr>
            </w:pPr>
          </w:p>
        </w:tc>
        <w:tc>
          <w:tcPr>
            <w:tcW w:w="2610" w:type="dxa"/>
          </w:tcPr>
          <w:p w:rsidRPr="00E671A2" w:rsidR="00213C2E" w:rsidP="00FA1230" w:rsidRDefault="00213C2E" w14:paraId="084FFBB3" w14:textId="77777777">
            <w:pPr>
              <w:pStyle w:val="BlockSS"/>
              <w:spacing w:after="0"/>
              <w:rPr>
                <w:sz w:val="16"/>
                <w:szCs w:val="16"/>
              </w:rPr>
            </w:pPr>
          </w:p>
        </w:tc>
        <w:tc>
          <w:tcPr>
            <w:tcW w:w="1710" w:type="dxa"/>
          </w:tcPr>
          <w:p w:rsidRPr="00E671A2" w:rsidR="00213C2E" w:rsidP="00213C2E" w:rsidRDefault="00213C2E" w14:paraId="7F77C23D" w14:textId="77777777">
            <w:pPr>
              <w:pStyle w:val="BlockSS"/>
              <w:spacing w:after="0"/>
              <w:ind w:right="259"/>
              <w:jc w:val="right"/>
              <w:rPr>
                <w:sz w:val="16"/>
                <w:szCs w:val="16"/>
              </w:rPr>
            </w:pPr>
          </w:p>
        </w:tc>
      </w:tr>
      <w:tr w:rsidRPr="009C421E" w:rsidR="00D052B4" w:rsidTr="00213C2E" w14:paraId="390538DC" w14:textId="77777777">
        <w:tc>
          <w:tcPr>
            <w:tcW w:w="2695" w:type="dxa"/>
          </w:tcPr>
          <w:p w:rsidRPr="00E671A2" w:rsidR="00D052B4" w:rsidP="00213C2E" w:rsidRDefault="00D052B4" w14:paraId="2EB2B8D7" w14:textId="77777777">
            <w:pPr>
              <w:pStyle w:val="BlockSS"/>
              <w:spacing w:after="0"/>
              <w:ind w:left="155"/>
              <w:rPr>
                <w:sz w:val="16"/>
                <w:szCs w:val="16"/>
              </w:rPr>
            </w:pPr>
            <w:r w:rsidRPr="00E671A2">
              <w:rPr>
                <w:sz w:val="16"/>
                <w:szCs w:val="16"/>
              </w:rPr>
              <w:t>Average Purchase Price</w:t>
            </w:r>
          </w:p>
        </w:tc>
        <w:tc>
          <w:tcPr>
            <w:tcW w:w="1620" w:type="dxa"/>
          </w:tcPr>
          <w:p w:rsidRPr="00E671A2" w:rsidR="00D052B4" w:rsidP="00213C2E" w:rsidRDefault="00D13B80" w14:paraId="1969DDE2" w14:textId="5D69F6C5">
            <w:pPr>
              <w:pStyle w:val="BlockSS"/>
              <w:spacing w:after="0"/>
              <w:ind w:right="347"/>
              <w:jc w:val="right"/>
              <w:rPr>
                <w:sz w:val="16"/>
                <w:szCs w:val="16"/>
              </w:rPr>
            </w:pPr>
            <w:r w:rsidRPr="00E671A2">
              <w:rPr>
                <w:sz w:val="16"/>
                <w:szCs w:val="16"/>
              </w:rPr>
              <w:t>$</w:t>
            </w:r>
            <w:r w:rsidRPr="00E671A2" w:rsidR="00213C2E">
              <w:rPr>
                <w:sz w:val="16"/>
                <w:szCs w:val="16"/>
              </w:rPr>
              <w:t xml:space="preserve">       </w:t>
            </w:r>
            <w:r w:rsidRPr="00E671A2" w:rsidR="00CC279A">
              <w:rPr>
                <w:sz w:val="16"/>
                <w:szCs w:val="16"/>
              </w:rPr>
              <w:t>163,901</w:t>
            </w:r>
          </w:p>
        </w:tc>
        <w:tc>
          <w:tcPr>
            <w:tcW w:w="540" w:type="dxa"/>
          </w:tcPr>
          <w:p w:rsidRPr="00E671A2" w:rsidR="00D052B4" w:rsidP="00FA1230" w:rsidRDefault="00D052B4" w14:paraId="0D71EF69" w14:textId="77777777">
            <w:pPr>
              <w:pStyle w:val="BlockSS"/>
              <w:spacing w:after="0"/>
              <w:rPr>
                <w:sz w:val="16"/>
                <w:szCs w:val="16"/>
              </w:rPr>
            </w:pPr>
          </w:p>
        </w:tc>
        <w:tc>
          <w:tcPr>
            <w:tcW w:w="2610" w:type="dxa"/>
          </w:tcPr>
          <w:p w:rsidRPr="00E671A2" w:rsidR="00D052B4" w:rsidP="00FA1230" w:rsidRDefault="00D13B80" w14:paraId="66FA4D7C" w14:textId="39B6C5F9">
            <w:pPr>
              <w:pStyle w:val="BlockSS"/>
              <w:spacing w:after="0"/>
              <w:rPr>
                <w:sz w:val="16"/>
                <w:szCs w:val="16"/>
              </w:rPr>
            </w:pPr>
            <w:r w:rsidRPr="00E671A2">
              <w:rPr>
                <w:sz w:val="16"/>
                <w:szCs w:val="16"/>
              </w:rPr>
              <w:t>Largest DPA Loan Amount</w:t>
            </w:r>
          </w:p>
        </w:tc>
        <w:tc>
          <w:tcPr>
            <w:tcW w:w="1710" w:type="dxa"/>
          </w:tcPr>
          <w:p w:rsidRPr="00E671A2" w:rsidR="00D052B4" w:rsidP="00123563" w:rsidRDefault="00D13B80" w14:paraId="2B7B6CAF" w14:textId="66BBB450">
            <w:pPr>
              <w:pStyle w:val="BlockSS"/>
              <w:spacing w:after="0"/>
              <w:ind w:right="259"/>
              <w:jc w:val="right"/>
              <w:rPr>
                <w:sz w:val="16"/>
                <w:szCs w:val="16"/>
              </w:rPr>
            </w:pPr>
            <w:r w:rsidRPr="00E671A2">
              <w:rPr>
                <w:sz w:val="16"/>
                <w:szCs w:val="16"/>
              </w:rPr>
              <w:t>$</w:t>
            </w:r>
            <w:r w:rsidRPr="00E671A2" w:rsidR="00213C2E">
              <w:rPr>
                <w:sz w:val="16"/>
                <w:szCs w:val="16"/>
              </w:rPr>
              <w:t xml:space="preserve">      </w:t>
            </w:r>
            <w:r w:rsidRPr="00E671A2" w:rsidR="00123563">
              <w:rPr>
                <w:sz w:val="16"/>
                <w:szCs w:val="16"/>
              </w:rPr>
              <w:t>22</w:t>
            </w:r>
            <w:r w:rsidRPr="00E671A2">
              <w:rPr>
                <w:sz w:val="16"/>
                <w:szCs w:val="16"/>
              </w:rPr>
              <w:t>,</w:t>
            </w:r>
            <w:r w:rsidRPr="00E671A2" w:rsidR="00123563">
              <w:rPr>
                <w:sz w:val="16"/>
                <w:szCs w:val="16"/>
              </w:rPr>
              <w:t>230</w:t>
            </w:r>
          </w:p>
        </w:tc>
      </w:tr>
      <w:tr w:rsidRPr="009C421E" w:rsidR="00213C2E" w:rsidTr="00213C2E" w14:paraId="2356A646" w14:textId="77777777">
        <w:tc>
          <w:tcPr>
            <w:tcW w:w="2695" w:type="dxa"/>
          </w:tcPr>
          <w:p w:rsidRPr="00E671A2" w:rsidR="00213C2E" w:rsidP="00213C2E" w:rsidRDefault="00213C2E" w14:paraId="74AA452F" w14:textId="77777777">
            <w:pPr>
              <w:pStyle w:val="BlockSS"/>
              <w:spacing w:after="0"/>
              <w:ind w:left="155"/>
              <w:rPr>
                <w:sz w:val="16"/>
                <w:szCs w:val="16"/>
              </w:rPr>
            </w:pPr>
          </w:p>
        </w:tc>
        <w:tc>
          <w:tcPr>
            <w:tcW w:w="1620" w:type="dxa"/>
          </w:tcPr>
          <w:p w:rsidRPr="00E671A2" w:rsidR="00213C2E" w:rsidP="00213C2E" w:rsidRDefault="00213C2E" w14:paraId="432D1B4D" w14:textId="77777777">
            <w:pPr>
              <w:pStyle w:val="BlockSS"/>
              <w:spacing w:after="0"/>
              <w:ind w:right="347"/>
              <w:jc w:val="right"/>
              <w:rPr>
                <w:sz w:val="16"/>
                <w:szCs w:val="16"/>
              </w:rPr>
            </w:pPr>
          </w:p>
        </w:tc>
        <w:tc>
          <w:tcPr>
            <w:tcW w:w="540" w:type="dxa"/>
          </w:tcPr>
          <w:p w:rsidRPr="00E671A2" w:rsidR="00213C2E" w:rsidP="00FA1230" w:rsidRDefault="00213C2E" w14:paraId="347D434C" w14:textId="77777777">
            <w:pPr>
              <w:pStyle w:val="BlockSS"/>
              <w:spacing w:after="0"/>
              <w:rPr>
                <w:sz w:val="16"/>
                <w:szCs w:val="16"/>
              </w:rPr>
            </w:pPr>
          </w:p>
        </w:tc>
        <w:tc>
          <w:tcPr>
            <w:tcW w:w="2610" w:type="dxa"/>
          </w:tcPr>
          <w:p w:rsidRPr="00E671A2" w:rsidR="00213C2E" w:rsidP="00FA1230" w:rsidRDefault="00213C2E" w14:paraId="448B8AC8" w14:textId="77777777">
            <w:pPr>
              <w:pStyle w:val="BlockSS"/>
              <w:spacing w:after="0"/>
              <w:rPr>
                <w:sz w:val="16"/>
                <w:szCs w:val="16"/>
              </w:rPr>
            </w:pPr>
          </w:p>
        </w:tc>
        <w:tc>
          <w:tcPr>
            <w:tcW w:w="1710" w:type="dxa"/>
          </w:tcPr>
          <w:p w:rsidRPr="00E671A2" w:rsidR="00213C2E" w:rsidP="00213C2E" w:rsidRDefault="00213C2E" w14:paraId="38580222" w14:textId="77777777">
            <w:pPr>
              <w:pStyle w:val="BlockSS"/>
              <w:spacing w:after="0"/>
              <w:ind w:right="259"/>
              <w:jc w:val="right"/>
              <w:rPr>
                <w:sz w:val="16"/>
                <w:szCs w:val="16"/>
              </w:rPr>
            </w:pPr>
          </w:p>
        </w:tc>
      </w:tr>
      <w:tr w:rsidRPr="009C421E" w:rsidR="00D052B4" w:rsidTr="00213C2E" w14:paraId="1089FB1C" w14:textId="77777777">
        <w:tc>
          <w:tcPr>
            <w:tcW w:w="2695" w:type="dxa"/>
          </w:tcPr>
          <w:p w:rsidRPr="00E671A2" w:rsidR="00D052B4" w:rsidP="00213C2E" w:rsidRDefault="00D052B4" w14:paraId="18632E1C" w14:textId="77777777">
            <w:pPr>
              <w:pStyle w:val="BlockSS"/>
              <w:spacing w:after="0"/>
              <w:ind w:left="155"/>
              <w:rPr>
                <w:sz w:val="16"/>
                <w:szCs w:val="16"/>
              </w:rPr>
            </w:pPr>
            <w:r w:rsidRPr="00E671A2">
              <w:rPr>
                <w:sz w:val="16"/>
                <w:szCs w:val="16"/>
              </w:rPr>
              <w:t>Average Household Income</w:t>
            </w:r>
          </w:p>
        </w:tc>
        <w:tc>
          <w:tcPr>
            <w:tcW w:w="1620" w:type="dxa"/>
          </w:tcPr>
          <w:p w:rsidRPr="00E671A2" w:rsidR="00D052B4" w:rsidP="00A559CE" w:rsidRDefault="00D13B80" w14:paraId="2FECA803" w14:textId="1C6B7647">
            <w:pPr>
              <w:pStyle w:val="BlockSS"/>
              <w:spacing w:after="0"/>
              <w:ind w:right="347"/>
              <w:jc w:val="right"/>
              <w:rPr>
                <w:sz w:val="16"/>
                <w:szCs w:val="16"/>
              </w:rPr>
            </w:pPr>
            <w:r w:rsidRPr="00E671A2">
              <w:rPr>
                <w:sz w:val="16"/>
                <w:szCs w:val="16"/>
              </w:rPr>
              <w:t>$</w:t>
            </w:r>
            <w:r w:rsidRPr="00E671A2" w:rsidR="00213C2E">
              <w:rPr>
                <w:sz w:val="16"/>
                <w:szCs w:val="16"/>
              </w:rPr>
              <w:t xml:space="preserve">         </w:t>
            </w:r>
            <w:r w:rsidRPr="00E671A2" w:rsidR="00CC279A">
              <w:rPr>
                <w:sz w:val="16"/>
                <w:szCs w:val="16"/>
              </w:rPr>
              <w:t>50,242</w:t>
            </w:r>
          </w:p>
        </w:tc>
        <w:tc>
          <w:tcPr>
            <w:tcW w:w="540" w:type="dxa"/>
          </w:tcPr>
          <w:p w:rsidRPr="00E671A2" w:rsidR="00D052B4" w:rsidP="00FA1230" w:rsidRDefault="00D052B4" w14:paraId="24F64BA4" w14:textId="77777777">
            <w:pPr>
              <w:pStyle w:val="BlockSS"/>
              <w:spacing w:after="0"/>
              <w:rPr>
                <w:sz w:val="16"/>
                <w:szCs w:val="16"/>
              </w:rPr>
            </w:pPr>
          </w:p>
        </w:tc>
        <w:tc>
          <w:tcPr>
            <w:tcW w:w="2610" w:type="dxa"/>
          </w:tcPr>
          <w:p w:rsidRPr="00E671A2" w:rsidR="00D052B4" w:rsidP="00FA1230" w:rsidRDefault="00D052B4" w14:paraId="17C0902C" w14:textId="77777777">
            <w:pPr>
              <w:pStyle w:val="BlockSS"/>
              <w:spacing w:after="0"/>
              <w:rPr>
                <w:sz w:val="16"/>
                <w:szCs w:val="16"/>
              </w:rPr>
            </w:pPr>
            <w:r w:rsidRPr="00E671A2">
              <w:rPr>
                <w:sz w:val="16"/>
                <w:szCs w:val="16"/>
              </w:rPr>
              <w:t>% Eligible Borrowers Using DPA</w:t>
            </w:r>
          </w:p>
        </w:tc>
        <w:tc>
          <w:tcPr>
            <w:tcW w:w="1710" w:type="dxa"/>
          </w:tcPr>
          <w:p w:rsidRPr="00E671A2" w:rsidR="00D052B4" w:rsidP="00213C2E" w:rsidRDefault="008D01FB" w14:paraId="5167A74C" w14:textId="3825EEFE">
            <w:pPr>
              <w:pStyle w:val="BlockSS"/>
              <w:spacing w:after="0"/>
              <w:ind w:right="259"/>
              <w:jc w:val="right"/>
              <w:rPr>
                <w:sz w:val="16"/>
                <w:szCs w:val="16"/>
              </w:rPr>
            </w:pPr>
            <w:r w:rsidRPr="00E671A2">
              <w:rPr>
                <w:sz w:val="16"/>
                <w:szCs w:val="16"/>
              </w:rPr>
              <w:t>100</w:t>
            </w:r>
            <w:r w:rsidRPr="00E671A2" w:rsidR="00D13B80">
              <w:rPr>
                <w:sz w:val="16"/>
                <w:szCs w:val="16"/>
              </w:rPr>
              <w:t>%</w:t>
            </w:r>
          </w:p>
        </w:tc>
      </w:tr>
      <w:tr w:rsidRPr="009C421E" w:rsidR="00213C2E" w:rsidTr="00213C2E" w14:paraId="16E3A961" w14:textId="77777777">
        <w:tc>
          <w:tcPr>
            <w:tcW w:w="2695" w:type="dxa"/>
          </w:tcPr>
          <w:p w:rsidRPr="00E671A2" w:rsidR="00213C2E" w:rsidP="00213C2E" w:rsidRDefault="00213C2E" w14:paraId="32884F22" w14:textId="77777777">
            <w:pPr>
              <w:pStyle w:val="BlockSS"/>
              <w:spacing w:after="0"/>
              <w:ind w:left="155"/>
              <w:rPr>
                <w:sz w:val="16"/>
                <w:szCs w:val="16"/>
              </w:rPr>
            </w:pPr>
          </w:p>
        </w:tc>
        <w:tc>
          <w:tcPr>
            <w:tcW w:w="1620" w:type="dxa"/>
          </w:tcPr>
          <w:p w:rsidRPr="00E671A2" w:rsidR="00213C2E" w:rsidP="00213C2E" w:rsidRDefault="00213C2E" w14:paraId="32509CCD" w14:textId="77777777">
            <w:pPr>
              <w:pStyle w:val="BlockSS"/>
              <w:spacing w:after="0"/>
              <w:ind w:right="347"/>
              <w:jc w:val="right"/>
              <w:rPr>
                <w:sz w:val="16"/>
                <w:szCs w:val="16"/>
              </w:rPr>
            </w:pPr>
          </w:p>
        </w:tc>
        <w:tc>
          <w:tcPr>
            <w:tcW w:w="540" w:type="dxa"/>
          </w:tcPr>
          <w:p w:rsidRPr="00E671A2" w:rsidR="00213C2E" w:rsidP="00FA1230" w:rsidRDefault="00213C2E" w14:paraId="599C28F5" w14:textId="77777777">
            <w:pPr>
              <w:pStyle w:val="BlockSS"/>
              <w:spacing w:after="0"/>
              <w:rPr>
                <w:sz w:val="16"/>
                <w:szCs w:val="16"/>
              </w:rPr>
            </w:pPr>
          </w:p>
        </w:tc>
        <w:tc>
          <w:tcPr>
            <w:tcW w:w="2610" w:type="dxa"/>
          </w:tcPr>
          <w:p w:rsidRPr="00E671A2" w:rsidR="00213C2E" w:rsidP="00FA1230" w:rsidRDefault="00213C2E" w14:paraId="56DC1997" w14:textId="77777777">
            <w:pPr>
              <w:pStyle w:val="BlockSS"/>
              <w:spacing w:after="0"/>
              <w:rPr>
                <w:sz w:val="16"/>
                <w:szCs w:val="16"/>
              </w:rPr>
            </w:pPr>
          </w:p>
        </w:tc>
        <w:tc>
          <w:tcPr>
            <w:tcW w:w="1710" w:type="dxa"/>
          </w:tcPr>
          <w:p w:rsidRPr="00E671A2" w:rsidR="00213C2E" w:rsidP="00FA1230" w:rsidRDefault="00213C2E" w14:paraId="54CEA6D9" w14:textId="77777777">
            <w:pPr>
              <w:pStyle w:val="BlockSS"/>
              <w:spacing w:after="0"/>
              <w:rPr>
                <w:sz w:val="16"/>
                <w:szCs w:val="16"/>
              </w:rPr>
            </w:pPr>
          </w:p>
        </w:tc>
      </w:tr>
      <w:tr w:rsidRPr="009C421E" w:rsidR="00D052B4" w:rsidTr="00213C2E" w14:paraId="751611EF" w14:textId="77777777">
        <w:tc>
          <w:tcPr>
            <w:tcW w:w="2695" w:type="dxa"/>
          </w:tcPr>
          <w:p w:rsidRPr="00E671A2" w:rsidR="00D052B4" w:rsidP="00213C2E" w:rsidRDefault="00D052B4" w14:paraId="18731540" w14:textId="77777777">
            <w:pPr>
              <w:pStyle w:val="BlockSS"/>
              <w:spacing w:after="0"/>
              <w:ind w:left="155"/>
              <w:rPr>
                <w:sz w:val="16"/>
                <w:szCs w:val="16"/>
              </w:rPr>
            </w:pPr>
            <w:r w:rsidRPr="00E671A2">
              <w:rPr>
                <w:sz w:val="16"/>
                <w:szCs w:val="16"/>
              </w:rPr>
              <w:t>% Minority</w:t>
            </w:r>
          </w:p>
        </w:tc>
        <w:tc>
          <w:tcPr>
            <w:tcW w:w="1620" w:type="dxa"/>
          </w:tcPr>
          <w:p w:rsidRPr="00E671A2" w:rsidR="00D052B4" w:rsidP="00213C2E" w:rsidRDefault="00CC279A" w14:paraId="1202F4F2" w14:textId="7DEF5A43">
            <w:pPr>
              <w:pStyle w:val="BlockSS"/>
              <w:spacing w:after="0"/>
              <w:ind w:right="347"/>
              <w:jc w:val="right"/>
              <w:rPr>
                <w:sz w:val="16"/>
                <w:szCs w:val="16"/>
              </w:rPr>
            </w:pPr>
            <w:r w:rsidRPr="00E671A2">
              <w:rPr>
                <w:sz w:val="16"/>
                <w:szCs w:val="16"/>
              </w:rPr>
              <w:t>27.3</w:t>
            </w:r>
            <w:r w:rsidRPr="00E671A2" w:rsidR="00D13B80">
              <w:rPr>
                <w:sz w:val="16"/>
                <w:szCs w:val="16"/>
              </w:rPr>
              <w:t>%</w:t>
            </w:r>
          </w:p>
        </w:tc>
        <w:tc>
          <w:tcPr>
            <w:tcW w:w="540" w:type="dxa"/>
          </w:tcPr>
          <w:p w:rsidRPr="00E671A2" w:rsidR="00D052B4" w:rsidP="00FA1230" w:rsidRDefault="00D052B4" w14:paraId="167BA057" w14:textId="77777777">
            <w:pPr>
              <w:pStyle w:val="BlockSS"/>
              <w:spacing w:after="0"/>
              <w:rPr>
                <w:sz w:val="16"/>
                <w:szCs w:val="16"/>
              </w:rPr>
            </w:pPr>
          </w:p>
        </w:tc>
        <w:tc>
          <w:tcPr>
            <w:tcW w:w="2610" w:type="dxa"/>
          </w:tcPr>
          <w:p w:rsidRPr="00E671A2" w:rsidR="00D052B4" w:rsidP="00FA1230" w:rsidRDefault="00D052B4" w14:paraId="1FC2D477" w14:textId="77777777">
            <w:pPr>
              <w:pStyle w:val="BlockSS"/>
              <w:spacing w:after="0"/>
              <w:rPr>
                <w:sz w:val="16"/>
                <w:szCs w:val="16"/>
              </w:rPr>
            </w:pPr>
          </w:p>
        </w:tc>
        <w:tc>
          <w:tcPr>
            <w:tcW w:w="1710" w:type="dxa"/>
          </w:tcPr>
          <w:p w:rsidRPr="00E671A2" w:rsidR="00D052B4" w:rsidP="00FA1230" w:rsidRDefault="00D052B4" w14:paraId="105DAF2D" w14:textId="77777777">
            <w:pPr>
              <w:pStyle w:val="BlockSS"/>
              <w:spacing w:after="0"/>
              <w:rPr>
                <w:sz w:val="16"/>
                <w:szCs w:val="16"/>
              </w:rPr>
            </w:pPr>
          </w:p>
        </w:tc>
      </w:tr>
      <w:tr w:rsidRPr="009C421E" w:rsidR="00213C2E" w:rsidTr="00213C2E" w14:paraId="2660B91D" w14:textId="77777777">
        <w:tc>
          <w:tcPr>
            <w:tcW w:w="2695" w:type="dxa"/>
          </w:tcPr>
          <w:p w:rsidRPr="00E671A2" w:rsidR="00213C2E" w:rsidP="00213C2E" w:rsidRDefault="00213C2E" w14:paraId="4F79B736" w14:textId="77777777">
            <w:pPr>
              <w:pStyle w:val="BlockSS"/>
              <w:spacing w:after="0"/>
              <w:ind w:left="155"/>
              <w:rPr>
                <w:sz w:val="16"/>
                <w:szCs w:val="16"/>
              </w:rPr>
            </w:pPr>
          </w:p>
        </w:tc>
        <w:tc>
          <w:tcPr>
            <w:tcW w:w="1620" w:type="dxa"/>
          </w:tcPr>
          <w:p w:rsidRPr="00E671A2" w:rsidR="00213C2E" w:rsidP="00213C2E" w:rsidRDefault="00213C2E" w14:paraId="0B767A3F" w14:textId="77777777">
            <w:pPr>
              <w:pStyle w:val="BlockSS"/>
              <w:spacing w:after="0"/>
              <w:ind w:right="347"/>
              <w:jc w:val="right"/>
              <w:rPr>
                <w:sz w:val="16"/>
                <w:szCs w:val="16"/>
              </w:rPr>
            </w:pPr>
          </w:p>
        </w:tc>
        <w:tc>
          <w:tcPr>
            <w:tcW w:w="540" w:type="dxa"/>
          </w:tcPr>
          <w:p w:rsidRPr="00E671A2" w:rsidR="00213C2E" w:rsidP="00FA1230" w:rsidRDefault="00213C2E" w14:paraId="5B3C7E61" w14:textId="77777777">
            <w:pPr>
              <w:pStyle w:val="BlockSS"/>
              <w:spacing w:after="0"/>
              <w:rPr>
                <w:sz w:val="16"/>
                <w:szCs w:val="16"/>
              </w:rPr>
            </w:pPr>
          </w:p>
        </w:tc>
        <w:tc>
          <w:tcPr>
            <w:tcW w:w="2610" w:type="dxa"/>
          </w:tcPr>
          <w:p w:rsidRPr="00E671A2" w:rsidR="00213C2E" w:rsidP="00FA1230" w:rsidRDefault="00213C2E" w14:paraId="3AC9319F" w14:textId="77777777">
            <w:pPr>
              <w:pStyle w:val="BlockSS"/>
              <w:spacing w:after="0"/>
              <w:rPr>
                <w:sz w:val="16"/>
                <w:szCs w:val="16"/>
              </w:rPr>
            </w:pPr>
          </w:p>
        </w:tc>
        <w:tc>
          <w:tcPr>
            <w:tcW w:w="1710" w:type="dxa"/>
          </w:tcPr>
          <w:p w:rsidRPr="00E671A2" w:rsidR="00213C2E" w:rsidP="00FA1230" w:rsidRDefault="00213C2E" w14:paraId="53816732" w14:textId="77777777">
            <w:pPr>
              <w:pStyle w:val="BlockSS"/>
              <w:spacing w:after="0"/>
              <w:rPr>
                <w:sz w:val="16"/>
                <w:szCs w:val="16"/>
              </w:rPr>
            </w:pPr>
          </w:p>
        </w:tc>
      </w:tr>
      <w:tr w:rsidRPr="009C421E" w:rsidR="00D052B4" w:rsidTr="00213C2E" w14:paraId="4E57031F" w14:textId="77777777">
        <w:tc>
          <w:tcPr>
            <w:tcW w:w="2695" w:type="dxa"/>
          </w:tcPr>
          <w:p w:rsidRPr="00E671A2" w:rsidR="00D052B4" w:rsidP="00213C2E" w:rsidRDefault="00D052B4" w14:paraId="6ABAEDB1" w14:textId="77777777">
            <w:pPr>
              <w:pStyle w:val="BlockSS"/>
              <w:spacing w:after="0"/>
              <w:ind w:left="155"/>
              <w:rPr>
                <w:sz w:val="16"/>
                <w:szCs w:val="16"/>
              </w:rPr>
            </w:pPr>
            <w:r w:rsidRPr="00E671A2">
              <w:rPr>
                <w:sz w:val="16"/>
                <w:szCs w:val="16"/>
              </w:rPr>
              <w:t>% Female Head of Household</w:t>
            </w:r>
          </w:p>
        </w:tc>
        <w:tc>
          <w:tcPr>
            <w:tcW w:w="1620" w:type="dxa"/>
          </w:tcPr>
          <w:p w:rsidRPr="00E671A2" w:rsidR="00D052B4" w:rsidP="00213C2E" w:rsidRDefault="00CC279A" w14:paraId="203D807C" w14:textId="2E055FA5">
            <w:pPr>
              <w:pStyle w:val="BlockSS"/>
              <w:spacing w:after="0"/>
              <w:ind w:right="347"/>
              <w:jc w:val="right"/>
              <w:rPr>
                <w:sz w:val="16"/>
                <w:szCs w:val="16"/>
              </w:rPr>
            </w:pPr>
            <w:r w:rsidRPr="00E671A2">
              <w:rPr>
                <w:sz w:val="16"/>
                <w:szCs w:val="16"/>
              </w:rPr>
              <w:t>47.5</w:t>
            </w:r>
            <w:r w:rsidRPr="00E671A2" w:rsidR="00D13B80">
              <w:rPr>
                <w:sz w:val="16"/>
                <w:szCs w:val="16"/>
              </w:rPr>
              <w:t>%</w:t>
            </w:r>
          </w:p>
        </w:tc>
        <w:tc>
          <w:tcPr>
            <w:tcW w:w="540" w:type="dxa"/>
          </w:tcPr>
          <w:p w:rsidRPr="00E671A2" w:rsidR="00D052B4" w:rsidP="00FA1230" w:rsidRDefault="00D052B4" w14:paraId="7276DF13" w14:textId="77777777">
            <w:pPr>
              <w:pStyle w:val="BlockSS"/>
              <w:spacing w:after="0"/>
              <w:rPr>
                <w:sz w:val="16"/>
                <w:szCs w:val="16"/>
              </w:rPr>
            </w:pPr>
          </w:p>
        </w:tc>
        <w:tc>
          <w:tcPr>
            <w:tcW w:w="2610" w:type="dxa"/>
          </w:tcPr>
          <w:p w:rsidRPr="00E671A2" w:rsidR="00D052B4" w:rsidP="00FA1230" w:rsidRDefault="00D052B4" w14:paraId="5558C76C" w14:textId="77777777">
            <w:pPr>
              <w:pStyle w:val="BlockSS"/>
              <w:spacing w:after="0"/>
              <w:rPr>
                <w:sz w:val="16"/>
                <w:szCs w:val="16"/>
              </w:rPr>
            </w:pPr>
          </w:p>
        </w:tc>
        <w:tc>
          <w:tcPr>
            <w:tcW w:w="1710" w:type="dxa"/>
          </w:tcPr>
          <w:p w:rsidRPr="00E671A2" w:rsidR="00D052B4" w:rsidP="00FA1230" w:rsidRDefault="00D052B4" w14:paraId="49E76D40" w14:textId="77777777">
            <w:pPr>
              <w:pStyle w:val="BlockSS"/>
              <w:spacing w:after="0"/>
              <w:rPr>
                <w:sz w:val="16"/>
                <w:szCs w:val="16"/>
              </w:rPr>
            </w:pPr>
          </w:p>
        </w:tc>
      </w:tr>
      <w:tr w:rsidRPr="009C421E" w:rsidR="00213C2E" w:rsidTr="00213C2E" w14:paraId="10F1F247" w14:textId="77777777">
        <w:tc>
          <w:tcPr>
            <w:tcW w:w="2695" w:type="dxa"/>
          </w:tcPr>
          <w:p w:rsidRPr="009C421E" w:rsidR="00213C2E" w:rsidP="00FA1230" w:rsidRDefault="00213C2E" w14:paraId="4BA7F57D" w14:textId="77777777">
            <w:pPr>
              <w:pStyle w:val="BlockSS"/>
              <w:spacing w:after="0"/>
              <w:rPr>
                <w:sz w:val="16"/>
                <w:szCs w:val="16"/>
              </w:rPr>
            </w:pPr>
          </w:p>
        </w:tc>
        <w:tc>
          <w:tcPr>
            <w:tcW w:w="1620" w:type="dxa"/>
          </w:tcPr>
          <w:p w:rsidRPr="009C421E" w:rsidR="00213C2E" w:rsidP="00213C2E" w:rsidRDefault="00213C2E" w14:paraId="05819EA5" w14:textId="77777777">
            <w:pPr>
              <w:pStyle w:val="BlockSS"/>
              <w:spacing w:after="0"/>
              <w:ind w:right="347"/>
              <w:jc w:val="right"/>
              <w:rPr>
                <w:sz w:val="16"/>
                <w:szCs w:val="16"/>
              </w:rPr>
            </w:pPr>
          </w:p>
        </w:tc>
        <w:tc>
          <w:tcPr>
            <w:tcW w:w="540" w:type="dxa"/>
          </w:tcPr>
          <w:p w:rsidRPr="009C421E" w:rsidR="00213C2E" w:rsidP="00FA1230" w:rsidRDefault="00213C2E" w14:paraId="58AFD870" w14:textId="77777777">
            <w:pPr>
              <w:pStyle w:val="BlockSS"/>
              <w:spacing w:after="0"/>
              <w:rPr>
                <w:sz w:val="16"/>
                <w:szCs w:val="16"/>
              </w:rPr>
            </w:pPr>
          </w:p>
        </w:tc>
        <w:tc>
          <w:tcPr>
            <w:tcW w:w="2610" w:type="dxa"/>
          </w:tcPr>
          <w:p w:rsidRPr="009C421E" w:rsidR="00213C2E" w:rsidP="00FA1230" w:rsidRDefault="00213C2E" w14:paraId="6D0F18E0" w14:textId="77777777">
            <w:pPr>
              <w:pStyle w:val="BlockSS"/>
              <w:spacing w:after="0"/>
              <w:rPr>
                <w:sz w:val="16"/>
                <w:szCs w:val="16"/>
              </w:rPr>
            </w:pPr>
          </w:p>
        </w:tc>
        <w:tc>
          <w:tcPr>
            <w:tcW w:w="1710" w:type="dxa"/>
          </w:tcPr>
          <w:p w:rsidRPr="009C421E" w:rsidR="00213C2E" w:rsidP="00FA1230" w:rsidRDefault="00213C2E" w14:paraId="773A418F" w14:textId="77777777">
            <w:pPr>
              <w:pStyle w:val="BlockSS"/>
              <w:spacing w:after="0"/>
              <w:rPr>
                <w:sz w:val="16"/>
                <w:szCs w:val="16"/>
              </w:rPr>
            </w:pPr>
          </w:p>
        </w:tc>
      </w:tr>
      <w:tr w:rsidRPr="009C421E" w:rsidR="00213C2E" w:rsidTr="00213C2E" w14:paraId="01973E80" w14:textId="77777777">
        <w:tc>
          <w:tcPr>
            <w:tcW w:w="2695" w:type="dxa"/>
          </w:tcPr>
          <w:p w:rsidRPr="009C421E" w:rsidR="00213C2E" w:rsidP="00FA1230" w:rsidRDefault="00213C2E" w14:paraId="33D6E247" w14:textId="77777777">
            <w:pPr>
              <w:pStyle w:val="BlockSS"/>
              <w:spacing w:after="0"/>
              <w:rPr>
                <w:sz w:val="16"/>
                <w:szCs w:val="16"/>
              </w:rPr>
            </w:pPr>
          </w:p>
        </w:tc>
        <w:tc>
          <w:tcPr>
            <w:tcW w:w="1620" w:type="dxa"/>
          </w:tcPr>
          <w:p w:rsidRPr="009C421E" w:rsidR="00213C2E" w:rsidP="00213C2E" w:rsidRDefault="00213C2E" w14:paraId="55B37E28" w14:textId="77777777">
            <w:pPr>
              <w:pStyle w:val="BlockSS"/>
              <w:spacing w:after="0"/>
              <w:ind w:right="347"/>
              <w:jc w:val="right"/>
              <w:rPr>
                <w:sz w:val="16"/>
                <w:szCs w:val="16"/>
              </w:rPr>
            </w:pPr>
          </w:p>
        </w:tc>
        <w:tc>
          <w:tcPr>
            <w:tcW w:w="540" w:type="dxa"/>
          </w:tcPr>
          <w:p w:rsidRPr="009C421E" w:rsidR="00213C2E" w:rsidP="00FA1230" w:rsidRDefault="00213C2E" w14:paraId="61FB9F7E" w14:textId="77777777">
            <w:pPr>
              <w:pStyle w:val="BlockSS"/>
              <w:spacing w:after="0"/>
              <w:rPr>
                <w:sz w:val="16"/>
                <w:szCs w:val="16"/>
              </w:rPr>
            </w:pPr>
          </w:p>
        </w:tc>
        <w:tc>
          <w:tcPr>
            <w:tcW w:w="2610" w:type="dxa"/>
          </w:tcPr>
          <w:p w:rsidRPr="009C421E" w:rsidR="00213C2E" w:rsidP="00FA1230" w:rsidRDefault="00213C2E" w14:paraId="0D22923F" w14:textId="77777777">
            <w:pPr>
              <w:pStyle w:val="BlockSS"/>
              <w:spacing w:after="0"/>
              <w:rPr>
                <w:sz w:val="16"/>
                <w:szCs w:val="16"/>
              </w:rPr>
            </w:pPr>
          </w:p>
        </w:tc>
        <w:tc>
          <w:tcPr>
            <w:tcW w:w="1710" w:type="dxa"/>
          </w:tcPr>
          <w:p w:rsidRPr="009C421E" w:rsidR="00213C2E" w:rsidP="00FA1230" w:rsidRDefault="00213C2E" w14:paraId="02513CD4" w14:textId="77777777">
            <w:pPr>
              <w:pStyle w:val="BlockSS"/>
              <w:spacing w:after="0"/>
              <w:rPr>
                <w:sz w:val="16"/>
                <w:szCs w:val="16"/>
              </w:rPr>
            </w:pPr>
          </w:p>
        </w:tc>
      </w:tr>
    </w:tbl>
    <w:p w:rsidRPr="009C421E" w:rsidR="00364E86" w:rsidP="00D052B4" w:rsidRDefault="00364E86" w14:paraId="47AFEEDD" w14:textId="77777777">
      <w:pPr>
        <w:pStyle w:val="BlockSS"/>
        <w:rPr>
          <w:sz w:val="20"/>
          <w:szCs w:val="20"/>
        </w:rPr>
      </w:pPr>
    </w:p>
    <w:p w:rsidRPr="009C421E" w:rsidR="00D052B4" w:rsidP="00364E86" w:rsidRDefault="00364E86" w14:paraId="7B1F920D" w14:textId="1758E0AC">
      <w:pPr>
        <w:pStyle w:val="BlockSS"/>
        <w:jc w:val="center"/>
        <w:rPr>
          <w:sz w:val="20"/>
          <w:szCs w:val="20"/>
        </w:rPr>
      </w:pPr>
      <w:r w:rsidRPr="009C421E">
        <w:rPr>
          <w:sz w:val="20"/>
          <w:szCs w:val="20"/>
        </w:rPr>
        <w:t>[</w:t>
      </w:r>
      <w:r w:rsidRPr="009C421E">
        <w:rPr>
          <w:i/>
          <w:sz w:val="20"/>
          <w:szCs w:val="20"/>
        </w:rPr>
        <w:t>Remainder of Page Intentionally Left Blank</w:t>
      </w:r>
      <w:r w:rsidRPr="009C421E">
        <w:rPr>
          <w:sz w:val="20"/>
          <w:szCs w:val="20"/>
        </w:rPr>
        <w:t>]</w:t>
      </w:r>
    </w:p>
    <w:p w:rsidRPr="009C421E" w:rsidR="00D13B80" w:rsidP="00D052B4" w:rsidRDefault="00D13B80" w14:paraId="0532FC1B" w14:textId="5C475D33">
      <w:pPr>
        <w:pStyle w:val="BlockSS"/>
        <w:rPr>
          <w:sz w:val="20"/>
          <w:szCs w:val="20"/>
        </w:rPr>
      </w:pPr>
      <w:r w:rsidRPr="009C421E">
        <w:rPr>
          <w:sz w:val="20"/>
          <w:szCs w:val="20"/>
        </w:rPr>
        <w:br w:type="page"/>
      </w:r>
    </w:p>
    <w:tbl>
      <w:tblPr>
        <w:tblStyle w:val="TableGrid"/>
        <w:tblW w:w="11913" w:type="dxa"/>
        <w:jc w:val="center"/>
        <w:tblBorders>
          <w:insideH w:val="none" w:color="auto" w:sz="0" w:space="0"/>
          <w:insideV w:val="none" w:color="auto" w:sz="0" w:space="0"/>
        </w:tblBorders>
        <w:tblLayout w:type="fixed"/>
        <w:tblLook w:val="04A0" w:firstRow="1" w:lastRow="0" w:firstColumn="1" w:lastColumn="0" w:noHBand="0" w:noVBand="1"/>
      </w:tblPr>
      <w:tblGrid>
        <w:gridCol w:w="900"/>
        <w:gridCol w:w="369"/>
        <w:gridCol w:w="270"/>
        <w:gridCol w:w="176"/>
        <w:gridCol w:w="94"/>
        <w:gridCol w:w="716"/>
        <w:gridCol w:w="270"/>
        <w:gridCol w:w="720"/>
        <w:gridCol w:w="810"/>
        <w:gridCol w:w="270"/>
        <w:gridCol w:w="810"/>
        <w:gridCol w:w="810"/>
        <w:gridCol w:w="270"/>
        <w:gridCol w:w="810"/>
        <w:gridCol w:w="810"/>
        <w:gridCol w:w="270"/>
        <w:gridCol w:w="810"/>
        <w:gridCol w:w="810"/>
        <w:gridCol w:w="270"/>
        <w:gridCol w:w="748"/>
        <w:gridCol w:w="900"/>
      </w:tblGrid>
      <w:tr w:rsidRPr="00AE648D" w:rsidR="00B808B3" w:rsidTr="00581747" w14:paraId="5B3CEDEC" w14:textId="77777777">
        <w:trPr>
          <w:trHeight w:val="530"/>
          <w:jc w:val="center"/>
        </w:trPr>
        <w:tc>
          <w:tcPr>
            <w:tcW w:w="900" w:type="dxa"/>
          </w:tcPr>
          <w:p w:rsidRPr="00AE648D" w:rsidR="00B808B3" w:rsidP="00581747" w:rsidRDefault="00B808B3" w14:paraId="7F6D9121" w14:textId="77777777">
            <w:pPr>
              <w:pStyle w:val="BlockSSNoPt"/>
              <w:jc w:val="center"/>
              <w:rPr>
                <w:b/>
                <w:bCs/>
                <w:sz w:val="16"/>
                <w:szCs w:val="16"/>
              </w:rPr>
            </w:pPr>
            <w:bookmarkStart w:name="ElPgBr18" w:id="140"/>
            <w:bookmarkEnd w:id="140"/>
          </w:p>
        </w:tc>
        <w:tc>
          <w:tcPr>
            <w:tcW w:w="369" w:type="dxa"/>
          </w:tcPr>
          <w:p w:rsidRPr="00AE648D" w:rsidR="00B808B3" w:rsidP="00581747" w:rsidRDefault="00B808B3" w14:paraId="2965A81C" w14:textId="77777777">
            <w:pPr>
              <w:pStyle w:val="BlockSSNoPt"/>
              <w:jc w:val="center"/>
              <w:rPr>
                <w:b/>
                <w:bCs/>
                <w:sz w:val="16"/>
                <w:szCs w:val="16"/>
              </w:rPr>
            </w:pPr>
          </w:p>
        </w:tc>
        <w:tc>
          <w:tcPr>
            <w:tcW w:w="270" w:type="dxa"/>
          </w:tcPr>
          <w:p w:rsidRPr="00AE648D" w:rsidR="00B808B3" w:rsidP="00581747" w:rsidRDefault="00B808B3" w14:paraId="3BEEFD3C" w14:textId="77777777">
            <w:pPr>
              <w:pStyle w:val="BlockSSNoPt"/>
              <w:jc w:val="center"/>
              <w:rPr>
                <w:b/>
                <w:bCs/>
                <w:sz w:val="16"/>
                <w:szCs w:val="16"/>
              </w:rPr>
            </w:pPr>
          </w:p>
        </w:tc>
        <w:tc>
          <w:tcPr>
            <w:tcW w:w="270" w:type="dxa"/>
            <w:gridSpan w:val="2"/>
          </w:tcPr>
          <w:p w:rsidRPr="00AE648D" w:rsidR="00B808B3" w:rsidP="00581747" w:rsidRDefault="00B808B3" w14:paraId="5A75B013" w14:textId="77777777">
            <w:pPr>
              <w:pStyle w:val="BlockSSNoPt"/>
              <w:jc w:val="center"/>
              <w:rPr>
                <w:b/>
                <w:bCs/>
                <w:sz w:val="16"/>
                <w:szCs w:val="16"/>
              </w:rPr>
            </w:pPr>
          </w:p>
        </w:tc>
        <w:tc>
          <w:tcPr>
            <w:tcW w:w="10104" w:type="dxa"/>
            <w:gridSpan w:val="16"/>
          </w:tcPr>
          <w:p w:rsidRPr="00AE648D" w:rsidR="00B808B3" w:rsidP="00581747" w:rsidRDefault="00B808B3" w14:paraId="6FF0BB77" w14:textId="77777777">
            <w:pPr>
              <w:pStyle w:val="BlockSSNoPt"/>
              <w:jc w:val="center"/>
              <w:rPr>
                <w:b/>
                <w:bCs/>
                <w:sz w:val="16"/>
                <w:szCs w:val="16"/>
              </w:rPr>
            </w:pPr>
          </w:p>
          <w:p w:rsidRPr="00AE648D" w:rsidR="00B808B3" w:rsidP="00581747" w:rsidRDefault="00B808B3" w14:paraId="0154BA06" w14:textId="77777777">
            <w:pPr>
              <w:pStyle w:val="BlockSSNoPt"/>
              <w:jc w:val="center"/>
              <w:rPr>
                <w:b/>
                <w:bCs/>
                <w:sz w:val="16"/>
                <w:szCs w:val="16"/>
              </w:rPr>
            </w:pPr>
            <w:r w:rsidRPr="00AE648D">
              <w:rPr>
                <w:b/>
                <w:bCs/>
                <w:sz w:val="16"/>
                <w:szCs w:val="16"/>
              </w:rPr>
              <w:t>Indiana Housing and Community Development Authority</w:t>
            </w:r>
          </w:p>
          <w:p w:rsidRPr="00AE648D" w:rsidR="00B808B3" w:rsidP="00581747" w:rsidRDefault="00B808B3" w14:paraId="2A7119F9" w14:textId="77777777">
            <w:pPr>
              <w:pStyle w:val="BlockSSNoPt"/>
              <w:jc w:val="center"/>
              <w:rPr>
                <w:b/>
                <w:bCs/>
                <w:sz w:val="16"/>
                <w:szCs w:val="16"/>
              </w:rPr>
            </w:pPr>
            <w:r w:rsidRPr="00AE648D">
              <w:rPr>
                <w:b/>
                <w:bCs/>
                <w:sz w:val="16"/>
                <w:szCs w:val="16"/>
              </w:rPr>
              <w:t>Mortgage Loans</w:t>
            </w:r>
            <w:r w:rsidRPr="00AE648D">
              <w:rPr>
                <w:b/>
                <w:bCs/>
                <w:sz w:val="16"/>
                <w:szCs w:val="16"/>
                <w:vertAlign w:val="superscript"/>
              </w:rPr>
              <w:t>(</w:t>
            </w:r>
            <w:r w:rsidRPr="00AE648D">
              <w:rPr>
                <w:rStyle w:val="FootnoteReference"/>
                <w:b/>
                <w:bCs/>
                <w:sz w:val="16"/>
                <w:szCs w:val="16"/>
                <w:vertAlign w:val="superscript"/>
              </w:rPr>
              <w:footnoteReference w:id="4"/>
            </w:r>
            <w:r w:rsidRPr="00AE648D">
              <w:rPr>
                <w:b/>
                <w:bCs/>
                <w:sz w:val="16"/>
                <w:szCs w:val="16"/>
                <w:vertAlign w:val="superscript"/>
              </w:rPr>
              <w:t xml:space="preserve">) </w:t>
            </w:r>
            <w:r w:rsidRPr="00AE648D">
              <w:rPr>
                <w:b/>
                <w:bCs/>
                <w:sz w:val="16"/>
                <w:szCs w:val="16"/>
              </w:rPr>
              <w:t>Originated by Borrower Income as a</w:t>
            </w:r>
          </w:p>
          <w:p w:rsidRPr="00AE648D" w:rsidR="00B808B3" w:rsidP="00581747" w:rsidRDefault="00B808B3" w14:paraId="4FFE3C39" w14:textId="77777777">
            <w:pPr>
              <w:pStyle w:val="BlockSSNoPt"/>
              <w:jc w:val="center"/>
              <w:rPr>
                <w:b/>
                <w:bCs/>
                <w:sz w:val="16"/>
                <w:szCs w:val="16"/>
              </w:rPr>
            </w:pPr>
            <w:r w:rsidRPr="00AE648D">
              <w:rPr>
                <w:b/>
                <w:bCs/>
                <w:sz w:val="16"/>
                <w:szCs w:val="16"/>
              </w:rPr>
              <w:t>Percentage of Area Median Income</w:t>
            </w:r>
          </w:p>
          <w:p w:rsidRPr="00AE648D" w:rsidR="00B808B3" w:rsidP="00581747" w:rsidRDefault="00B808B3" w14:paraId="67594915" w14:textId="77777777">
            <w:pPr>
              <w:pStyle w:val="BlockSSNoPt"/>
              <w:jc w:val="center"/>
              <w:rPr>
                <w:b/>
                <w:bCs/>
                <w:sz w:val="16"/>
                <w:szCs w:val="16"/>
              </w:rPr>
            </w:pPr>
            <w:r w:rsidRPr="00AE648D">
              <w:rPr>
                <w:b/>
                <w:bCs/>
                <w:sz w:val="16"/>
                <w:szCs w:val="16"/>
              </w:rPr>
              <w:t>and Financed under the Master Indenture</w:t>
            </w:r>
          </w:p>
          <w:p w:rsidRPr="00AE648D" w:rsidR="00B808B3" w:rsidP="00581747" w:rsidRDefault="00B808B3" w14:paraId="6755A236" w14:textId="77777777">
            <w:pPr>
              <w:pStyle w:val="BlockSSNoPt"/>
              <w:jc w:val="center"/>
              <w:rPr>
                <w:b/>
                <w:sz w:val="16"/>
                <w:szCs w:val="16"/>
              </w:rPr>
            </w:pPr>
          </w:p>
        </w:tc>
      </w:tr>
      <w:tr w:rsidRPr="00AE648D" w:rsidR="00B808B3" w:rsidTr="00581747" w14:paraId="32A7A751" w14:textId="77777777">
        <w:trPr>
          <w:trHeight w:val="530"/>
          <w:jc w:val="center"/>
        </w:trPr>
        <w:tc>
          <w:tcPr>
            <w:tcW w:w="900" w:type="dxa"/>
          </w:tcPr>
          <w:p w:rsidRPr="001000D5" w:rsidR="00B808B3" w:rsidP="00581747" w:rsidRDefault="00B808B3" w14:paraId="4B805DAF" w14:textId="77777777">
            <w:pPr>
              <w:pStyle w:val="BlockSSNoPt"/>
              <w:jc w:val="center"/>
              <w:rPr>
                <w:b/>
                <w:sz w:val="11"/>
                <w:szCs w:val="11"/>
              </w:rPr>
            </w:pPr>
          </w:p>
        </w:tc>
        <w:tc>
          <w:tcPr>
            <w:tcW w:w="1625" w:type="dxa"/>
            <w:gridSpan w:val="5"/>
            <w:tcBorders>
              <w:top w:val="nil"/>
              <w:bottom w:val="single" w:color="auto" w:sz="4" w:space="0"/>
            </w:tcBorders>
            <w:vAlign w:val="bottom"/>
          </w:tcPr>
          <w:p w:rsidRPr="001000D5" w:rsidR="00B808B3" w:rsidP="00581747" w:rsidRDefault="00B808B3" w14:paraId="1696F272" w14:textId="77777777">
            <w:pPr>
              <w:pStyle w:val="BlockSSNoPt"/>
              <w:jc w:val="center"/>
              <w:rPr>
                <w:b/>
                <w:sz w:val="11"/>
                <w:szCs w:val="11"/>
              </w:rPr>
            </w:pPr>
            <w:r w:rsidRPr="001000D5">
              <w:rPr>
                <w:b/>
                <w:sz w:val="11"/>
                <w:szCs w:val="11"/>
              </w:rPr>
              <w:t>2019</w:t>
            </w:r>
          </w:p>
        </w:tc>
        <w:tc>
          <w:tcPr>
            <w:tcW w:w="270" w:type="dxa"/>
            <w:vAlign w:val="bottom"/>
          </w:tcPr>
          <w:p w:rsidRPr="001000D5" w:rsidR="00B808B3" w:rsidP="00581747" w:rsidRDefault="00B808B3" w14:paraId="37DFBA29" w14:textId="77777777">
            <w:pPr>
              <w:pStyle w:val="BlockSSNoPt"/>
              <w:jc w:val="center"/>
              <w:rPr>
                <w:b/>
                <w:sz w:val="11"/>
                <w:szCs w:val="11"/>
              </w:rPr>
            </w:pPr>
          </w:p>
        </w:tc>
        <w:tc>
          <w:tcPr>
            <w:tcW w:w="1530" w:type="dxa"/>
            <w:gridSpan w:val="2"/>
            <w:tcBorders>
              <w:top w:val="nil"/>
              <w:bottom w:val="single" w:color="auto" w:sz="4" w:space="0"/>
            </w:tcBorders>
            <w:vAlign w:val="bottom"/>
          </w:tcPr>
          <w:p w:rsidRPr="001000D5" w:rsidR="00B808B3" w:rsidP="00581747" w:rsidRDefault="00B808B3" w14:paraId="1CF579F5" w14:textId="77777777">
            <w:pPr>
              <w:pStyle w:val="BlockSSNoPt"/>
              <w:jc w:val="center"/>
              <w:rPr>
                <w:b/>
                <w:sz w:val="11"/>
                <w:szCs w:val="11"/>
              </w:rPr>
            </w:pPr>
            <w:r w:rsidRPr="001000D5">
              <w:rPr>
                <w:b/>
                <w:sz w:val="11"/>
                <w:szCs w:val="11"/>
              </w:rPr>
              <w:t>2020</w:t>
            </w:r>
          </w:p>
        </w:tc>
        <w:tc>
          <w:tcPr>
            <w:tcW w:w="270" w:type="dxa"/>
            <w:vAlign w:val="bottom"/>
          </w:tcPr>
          <w:p w:rsidRPr="001000D5" w:rsidR="00B808B3" w:rsidP="00581747" w:rsidRDefault="00B808B3" w14:paraId="10547549" w14:textId="77777777">
            <w:pPr>
              <w:pStyle w:val="BlockSSNoPt"/>
              <w:jc w:val="center"/>
              <w:rPr>
                <w:b/>
                <w:sz w:val="11"/>
                <w:szCs w:val="11"/>
              </w:rPr>
            </w:pPr>
          </w:p>
        </w:tc>
        <w:tc>
          <w:tcPr>
            <w:tcW w:w="1620" w:type="dxa"/>
            <w:gridSpan w:val="2"/>
            <w:tcBorders>
              <w:top w:val="nil"/>
              <w:bottom w:val="single" w:color="auto" w:sz="4" w:space="0"/>
            </w:tcBorders>
            <w:vAlign w:val="bottom"/>
          </w:tcPr>
          <w:p w:rsidRPr="001000D5" w:rsidR="00B808B3" w:rsidP="00581747" w:rsidRDefault="00B808B3" w14:paraId="13243DBA" w14:textId="77777777">
            <w:pPr>
              <w:pStyle w:val="BlockSSNoPt"/>
              <w:jc w:val="center"/>
              <w:rPr>
                <w:b/>
                <w:sz w:val="11"/>
                <w:szCs w:val="11"/>
              </w:rPr>
            </w:pPr>
            <w:r w:rsidRPr="001000D5">
              <w:rPr>
                <w:b/>
                <w:sz w:val="11"/>
                <w:szCs w:val="11"/>
              </w:rPr>
              <w:t>2021</w:t>
            </w:r>
          </w:p>
        </w:tc>
        <w:tc>
          <w:tcPr>
            <w:tcW w:w="270" w:type="dxa"/>
            <w:vAlign w:val="bottom"/>
          </w:tcPr>
          <w:p w:rsidRPr="001000D5" w:rsidR="00B808B3" w:rsidP="00581747" w:rsidRDefault="00B808B3" w14:paraId="7060B1A1" w14:textId="77777777">
            <w:pPr>
              <w:pStyle w:val="BlockSSNoPt"/>
              <w:jc w:val="center"/>
              <w:rPr>
                <w:b/>
                <w:sz w:val="11"/>
                <w:szCs w:val="11"/>
              </w:rPr>
            </w:pPr>
          </w:p>
        </w:tc>
        <w:tc>
          <w:tcPr>
            <w:tcW w:w="1620" w:type="dxa"/>
            <w:gridSpan w:val="2"/>
            <w:tcBorders>
              <w:top w:val="nil"/>
              <w:bottom w:val="single" w:color="auto" w:sz="4" w:space="0"/>
            </w:tcBorders>
            <w:vAlign w:val="bottom"/>
          </w:tcPr>
          <w:p w:rsidRPr="001000D5" w:rsidR="00B808B3" w:rsidP="00581747" w:rsidRDefault="00B808B3" w14:paraId="488B5C02" w14:textId="77777777">
            <w:pPr>
              <w:pStyle w:val="BlockSSNoPt"/>
              <w:jc w:val="center"/>
              <w:rPr>
                <w:b/>
                <w:sz w:val="11"/>
                <w:szCs w:val="11"/>
              </w:rPr>
            </w:pPr>
            <w:r w:rsidRPr="001000D5">
              <w:rPr>
                <w:b/>
                <w:sz w:val="11"/>
                <w:szCs w:val="11"/>
              </w:rPr>
              <w:t>2022</w:t>
            </w:r>
          </w:p>
        </w:tc>
        <w:tc>
          <w:tcPr>
            <w:tcW w:w="270" w:type="dxa"/>
          </w:tcPr>
          <w:p w:rsidRPr="001000D5" w:rsidR="00B808B3" w:rsidP="00581747" w:rsidRDefault="00B808B3" w14:paraId="25558F92" w14:textId="77777777">
            <w:pPr>
              <w:pStyle w:val="BlockSSNoPt"/>
              <w:jc w:val="center"/>
              <w:rPr>
                <w:b/>
                <w:sz w:val="11"/>
                <w:szCs w:val="11"/>
              </w:rPr>
            </w:pPr>
          </w:p>
        </w:tc>
        <w:tc>
          <w:tcPr>
            <w:tcW w:w="1620" w:type="dxa"/>
            <w:gridSpan w:val="2"/>
            <w:tcBorders>
              <w:top w:val="nil"/>
              <w:bottom w:val="single" w:color="auto" w:sz="4" w:space="0"/>
            </w:tcBorders>
            <w:vAlign w:val="bottom"/>
          </w:tcPr>
          <w:p w:rsidRPr="001000D5" w:rsidR="00B808B3" w:rsidP="00581747" w:rsidRDefault="00B808B3" w14:paraId="5E719B85" w14:textId="77777777">
            <w:pPr>
              <w:pStyle w:val="BlockSSNoPt"/>
              <w:jc w:val="center"/>
              <w:rPr>
                <w:b/>
                <w:sz w:val="11"/>
                <w:szCs w:val="11"/>
              </w:rPr>
            </w:pPr>
            <w:r w:rsidRPr="001000D5">
              <w:rPr>
                <w:b/>
                <w:sz w:val="11"/>
                <w:szCs w:val="11"/>
              </w:rPr>
              <w:t>2023</w:t>
            </w:r>
          </w:p>
        </w:tc>
        <w:tc>
          <w:tcPr>
            <w:tcW w:w="270" w:type="dxa"/>
          </w:tcPr>
          <w:p w:rsidRPr="001000D5" w:rsidR="00B808B3" w:rsidP="00581747" w:rsidRDefault="00B808B3" w14:paraId="47682218" w14:textId="77777777">
            <w:pPr>
              <w:pStyle w:val="BlockSSNoPt"/>
              <w:jc w:val="center"/>
              <w:rPr>
                <w:b/>
                <w:sz w:val="11"/>
                <w:szCs w:val="11"/>
              </w:rPr>
            </w:pPr>
          </w:p>
        </w:tc>
        <w:tc>
          <w:tcPr>
            <w:tcW w:w="1648" w:type="dxa"/>
            <w:gridSpan w:val="2"/>
            <w:tcBorders>
              <w:top w:val="nil"/>
              <w:bottom w:val="single" w:color="auto" w:sz="4" w:space="0"/>
            </w:tcBorders>
            <w:vAlign w:val="bottom"/>
          </w:tcPr>
          <w:p w:rsidRPr="001000D5" w:rsidR="00B808B3" w:rsidP="00581747" w:rsidRDefault="00B808B3" w14:paraId="00F0D853" w14:textId="77777777">
            <w:pPr>
              <w:pStyle w:val="BlockSSNoPt"/>
              <w:jc w:val="center"/>
              <w:rPr>
                <w:b/>
                <w:sz w:val="11"/>
                <w:szCs w:val="11"/>
              </w:rPr>
            </w:pPr>
            <w:r w:rsidRPr="001000D5">
              <w:rPr>
                <w:b/>
                <w:sz w:val="11"/>
                <w:szCs w:val="11"/>
              </w:rPr>
              <w:t>Total</w:t>
            </w:r>
          </w:p>
        </w:tc>
      </w:tr>
      <w:tr w:rsidRPr="00AE648D" w:rsidR="00B808B3" w:rsidTr="00581747" w14:paraId="5101F59B" w14:textId="77777777">
        <w:trPr>
          <w:trHeight w:val="530"/>
          <w:jc w:val="center"/>
        </w:trPr>
        <w:tc>
          <w:tcPr>
            <w:tcW w:w="900" w:type="dxa"/>
          </w:tcPr>
          <w:p w:rsidRPr="001000D5" w:rsidR="00B808B3" w:rsidP="00581747" w:rsidRDefault="00B808B3" w14:paraId="64CAACFC" w14:textId="77777777">
            <w:pPr>
              <w:pStyle w:val="BlockSSNoPt"/>
              <w:jc w:val="left"/>
              <w:rPr>
                <w:b/>
                <w:sz w:val="11"/>
                <w:szCs w:val="11"/>
              </w:rPr>
            </w:pPr>
            <w:r w:rsidRPr="001000D5">
              <w:rPr>
                <w:b/>
                <w:sz w:val="11"/>
                <w:szCs w:val="11"/>
              </w:rPr>
              <w:t>AMI Band</w:t>
            </w:r>
          </w:p>
        </w:tc>
        <w:tc>
          <w:tcPr>
            <w:tcW w:w="815" w:type="dxa"/>
            <w:gridSpan w:val="3"/>
          </w:tcPr>
          <w:p w:rsidRPr="001000D5" w:rsidR="00B808B3" w:rsidP="00581747" w:rsidRDefault="00B808B3" w14:paraId="4E5B2DBA" w14:textId="77777777">
            <w:pPr>
              <w:pStyle w:val="BlockSSNoPt"/>
              <w:jc w:val="center"/>
              <w:rPr>
                <w:b/>
                <w:sz w:val="11"/>
                <w:szCs w:val="11"/>
              </w:rPr>
            </w:pPr>
            <w:r w:rsidRPr="001000D5">
              <w:rPr>
                <w:b/>
                <w:sz w:val="11"/>
                <w:szCs w:val="11"/>
              </w:rPr>
              <w:t>Loans</w:t>
            </w:r>
          </w:p>
          <w:p w:rsidRPr="001000D5" w:rsidR="00B808B3" w:rsidP="00581747" w:rsidRDefault="00B808B3" w14:paraId="1AF62991" w14:textId="77777777">
            <w:pPr>
              <w:pStyle w:val="BlockSSNoPt"/>
              <w:jc w:val="center"/>
              <w:rPr>
                <w:b/>
                <w:sz w:val="11"/>
                <w:szCs w:val="11"/>
              </w:rPr>
            </w:pPr>
            <w:r w:rsidRPr="001000D5">
              <w:rPr>
                <w:b/>
                <w:sz w:val="11"/>
                <w:szCs w:val="11"/>
              </w:rPr>
              <w:t>($ millions)</w:t>
            </w:r>
          </w:p>
        </w:tc>
        <w:tc>
          <w:tcPr>
            <w:tcW w:w="810" w:type="dxa"/>
            <w:gridSpan w:val="2"/>
          </w:tcPr>
          <w:p w:rsidRPr="001000D5" w:rsidR="00B808B3" w:rsidP="00581747" w:rsidRDefault="00B808B3" w14:paraId="70A54FDA" w14:textId="77777777">
            <w:pPr>
              <w:pStyle w:val="BlockSSNoPt"/>
              <w:jc w:val="center"/>
              <w:rPr>
                <w:b/>
                <w:sz w:val="11"/>
                <w:szCs w:val="11"/>
              </w:rPr>
            </w:pPr>
            <w:r w:rsidRPr="001000D5">
              <w:rPr>
                <w:b/>
                <w:sz w:val="11"/>
                <w:szCs w:val="11"/>
              </w:rPr>
              <w:t>Cumulative (%)</w:t>
            </w:r>
          </w:p>
        </w:tc>
        <w:tc>
          <w:tcPr>
            <w:tcW w:w="270" w:type="dxa"/>
          </w:tcPr>
          <w:p w:rsidRPr="001000D5" w:rsidR="00B808B3" w:rsidP="00581747" w:rsidRDefault="00B808B3" w14:paraId="10F55689" w14:textId="77777777">
            <w:pPr>
              <w:pStyle w:val="BlockSSNoPt"/>
              <w:jc w:val="center"/>
              <w:rPr>
                <w:b/>
                <w:sz w:val="11"/>
                <w:szCs w:val="11"/>
              </w:rPr>
            </w:pPr>
          </w:p>
        </w:tc>
        <w:tc>
          <w:tcPr>
            <w:tcW w:w="720" w:type="dxa"/>
          </w:tcPr>
          <w:p w:rsidRPr="001000D5" w:rsidR="00B808B3" w:rsidP="00581747" w:rsidRDefault="00B808B3" w14:paraId="2F056E75" w14:textId="77777777">
            <w:pPr>
              <w:pStyle w:val="BlockSSNoPt"/>
              <w:jc w:val="center"/>
              <w:rPr>
                <w:b/>
                <w:sz w:val="11"/>
                <w:szCs w:val="11"/>
              </w:rPr>
            </w:pPr>
            <w:r w:rsidRPr="001000D5">
              <w:rPr>
                <w:b/>
                <w:sz w:val="11"/>
                <w:szCs w:val="11"/>
              </w:rPr>
              <w:t>Loans</w:t>
            </w:r>
          </w:p>
          <w:p w:rsidRPr="001000D5" w:rsidR="00B808B3" w:rsidDel="003027BD" w:rsidP="00581747" w:rsidRDefault="00B808B3" w14:paraId="7E6B4A2E" w14:textId="77777777">
            <w:pPr>
              <w:pStyle w:val="BlockSSNoPt"/>
              <w:jc w:val="center"/>
              <w:rPr>
                <w:b/>
                <w:sz w:val="11"/>
                <w:szCs w:val="11"/>
              </w:rPr>
            </w:pPr>
            <w:r w:rsidRPr="001000D5">
              <w:rPr>
                <w:b/>
                <w:sz w:val="11"/>
                <w:szCs w:val="11"/>
              </w:rPr>
              <w:t>($ millions)</w:t>
            </w:r>
          </w:p>
        </w:tc>
        <w:tc>
          <w:tcPr>
            <w:tcW w:w="810" w:type="dxa"/>
          </w:tcPr>
          <w:p w:rsidRPr="001000D5" w:rsidR="00B808B3" w:rsidDel="003027BD" w:rsidP="00581747" w:rsidRDefault="00B808B3" w14:paraId="7509B215" w14:textId="77777777">
            <w:pPr>
              <w:pStyle w:val="BlockSSNoPt"/>
              <w:jc w:val="center"/>
              <w:rPr>
                <w:b/>
                <w:sz w:val="11"/>
                <w:szCs w:val="11"/>
              </w:rPr>
            </w:pPr>
            <w:r w:rsidRPr="001000D5">
              <w:rPr>
                <w:b/>
                <w:sz w:val="11"/>
                <w:szCs w:val="11"/>
              </w:rPr>
              <w:t>Cumulative (%)</w:t>
            </w:r>
          </w:p>
        </w:tc>
        <w:tc>
          <w:tcPr>
            <w:tcW w:w="270" w:type="dxa"/>
          </w:tcPr>
          <w:p w:rsidRPr="001000D5" w:rsidR="00B808B3" w:rsidP="00581747" w:rsidRDefault="00B808B3" w14:paraId="1001B4B6" w14:textId="77777777">
            <w:pPr>
              <w:pStyle w:val="BlockSSNoPt"/>
              <w:jc w:val="center"/>
              <w:rPr>
                <w:b/>
                <w:sz w:val="11"/>
                <w:szCs w:val="11"/>
              </w:rPr>
            </w:pPr>
          </w:p>
        </w:tc>
        <w:tc>
          <w:tcPr>
            <w:tcW w:w="810" w:type="dxa"/>
          </w:tcPr>
          <w:p w:rsidRPr="001000D5" w:rsidR="00B808B3" w:rsidP="00581747" w:rsidRDefault="00B808B3" w14:paraId="2C7E5EF1" w14:textId="77777777">
            <w:pPr>
              <w:pStyle w:val="BlockSSNoPt"/>
              <w:jc w:val="center"/>
              <w:rPr>
                <w:b/>
                <w:sz w:val="11"/>
                <w:szCs w:val="11"/>
              </w:rPr>
            </w:pPr>
            <w:r w:rsidRPr="001000D5">
              <w:rPr>
                <w:b/>
                <w:sz w:val="11"/>
                <w:szCs w:val="11"/>
              </w:rPr>
              <w:t>Loans</w:t>
            </w:r>
          </w:p>
          <w:p w:rsidRPr="001000D5" w:rsidR="00B808B3" w:rsidDel="003027BD" w:rsidP="00581747" w:rsidRDefault="00B808B3" w14:paraId="070D1F91" w14:textId="77777777">
            <w:pPr>
              <w:pStyle w:val="BlockSSNoPt"/>
              <w:jc w:val="center"/>
              <w:rPr>
                <w:b/>
                <w:sz w:val="11"/>
                <w:szCs w:val="11"/>
              </w:rPr>
            </w:pPr>
            <w:r w:rsidRPr="001000D5">
              <w:rPr>
                <w:b/>
                <w:sz w:val="11"/>
                <w:szCs w:val="11"/>
              </w:rPr>
              <w:t>($ millions)</w:t>
            </w:r>
          </w:p>
        </w:tc>
        <w:tc>
          <w:tcPr>
            <w:tcW w:w="810" w:type="dxa"/>
          </w:tcPr>
          <w:p w:rsidRPr="001000D5" w:rsidR="00B808B3" w:rsidDel="003027BD" w:rsidP="00581747" w:rsidRDefault="00B808B3" w14:paraId="1D80B340" w14:textId="77777777">
            <w:pPr>
              <w:pStyle w:val="BlockSSNoPt"/>
              <w:jc w:val="center"/>
              <w:rPr>
                <w:b/>
                <w:sz w:val="11"/>
                <w:szCs w:val="11"/>
              </w:rPr>
            </w:pPr>
            <w:r w:rsidRPr="001000D5">
              <w:rPr>
                <w:b/>
                <w:sz w:val="11"/>
                <w:szCs w:val="11"/>
              </w:rPr>
              <w:t>Cumulative (%)</w:t>
            </w:r>
          </w:p>
        </w:tc>
        <w:tc>
          <w:tcPr>
            <w:tcW w:w="270" w:type="dxa"/>
          </w:tcPr>
          <w:p w:rsidRPr="001000D5" w:rsidR="00B808B3" w:rsidP="00581747" w:rsidRDefault="00B808B3" w14:paraId="6D697337" w14:textId="77777777">
            <w:pPr>
              <w:pStyle w:val="BlockSSNoPt"/>
              <w:jc w:val="center"/>
              <w:rPr>
                <w:b/>
                <w:sz w:val="11"/>
                <w:szCs w:val="11"/>
              </w:rPr>
            </w:pPr>
          </w:p>
        </w:tc>
        <w:tc>
          <w:tcPr>
            <w:tcW w:w="810" w:type="dxa"/>
          </w:tcPr>
          <w:p w:rsidRPr="001000D5" w:rsidR="00B808B3" w:rsidP="00581747" w:rsidRDefault="00B808B3" w14:paraId="01760470" w14:textId="77777777">
            <w:pPr>
              <w:pStyle w:val="BlockSSNoPt"/>
              <w:jc w:val="center"/>
              <w:rPr>
                <w:b/>
                <w:sz w:val="11"/>
                <w:szCs w:val="11"/>
              </w:rPr>
            </w:pPr>
            <w:r w:rsidRPr="001000D5">
              <w:rPr>
                <w:b/>
                <w:sz w:val="11"/>
                <w:szCs w:val="11"/>
              </w:rPr>
              <w:t>Loans</w:t>
            </w:r>
          </w:p>
          <w:p w:rsidRPr="001000D5" w:rsidR="00B808B3" w:rsidP="00581747" w:rsidRDefault="00B808B3" w14:paraId="2794EF1E" w14:textId="77777777">
            <w:pPr>
              <w:pStyle w:val="BlockSSNoPt"/>
              <w:jc w:val="center"/>
              <w:rPr>
                <w:b/>
                <w:sz w:val="11"/>
                <w:szCs w:val="11"/>
              </w:rPr>
            </w:pPr>
            <w:r w:rsidRPr="001000D5">
              <w:rPr>
                <w:b/>
                <w:sz w:val="11"/>
                <w:szCs w:val="11"/>
              </w:rPr>
              <w:t>($ millions)</w:t>
            </w:r>
          </w:p>
        </w:tc>
        <w:tc>
          <w:tcPr>
            <w:tcW w:w="810" w:type="dxa"/>
          </w:tcPr>
          <w:p w:rsidRPr="001000D5" w:rsidR="00B808B3" w:rsidP="00581747" w:rsidRDefault="00B808B3" w14:paraId="17A60EBF" w14:textId="77777777">
            <w:pPr>
              <w:pStyle w:val="BlockSSNoPt"/>
              <w:jc w:val="center"/>
              <w:rPr>
                <w:b/>
                <w:sz w:val="11"/>
                <w:szCs w:val="11"/>
              </w:rPr>
            </w:pPr>
            <w:r w:rsidRPr="001000D5">
              <w:rPr>
                <w:b/>
                <w:sz w:val="11"/>
                <w:szCs w:val="11"/>
              </w:rPr>
              <w:t>Cumulative (%)</w:t>
            </w:r>
          </w:p>
        </w:tc>
        <w:tc>
          <w:tcPr>
            <w:tcW w:w="270" w:type="dxa"/>
          </w:tcPr>
          <w:p w:rsidRPr="001000D5" w:rsidR="00B808B3" w:rsidP="00581747" w:rsidRDefault="00B808B3" w14:paraId="589060E2" w14:textId="77777777">
            <w:pPr>
              <w:pStyle w:val="BlockSSNoPt"/>
              <w:jc w:val="center"/>
              <w:rPr>
                <w:b/>
                <w:sz w:val="11"/>
                <w:szCs w:val="11"/>
              </w:rPr>
            </w:pPr>
          </w:p>
        </w:tc>
        <w:tc>
          <w:tcPr>
            <w:tcW w:w="810" w:type="dxa"/>
          </w:tcPr>
          <w:p w:rsidRPr="001000D5" w:rsidR="00B808B3" w:rsidP="00581747" w:rsidRDefault="00B808B3" w14:paraId="35E195BB" w14:textId="77777777">
            <w:pPr>
              <w:pStyle w:val="BlockSSNoPt"/>
              <w:jc w:val="center"/>
              <w:rPr>
                <w:b/>
                <w:sz w:val="11"/>
                <w:szCs w:val="11"/>
              </w:rPr>
            </w:pPr>
            <w:r w:rsidRPr="001000D5">
              <w:rPr>
                <w:b/>
                <w:sz w:val="11"/>
                <w:szCs w:val="11"/>
              </w:rPr>
              <w:t>Loans</w:t>
            </w:r>
          </w:p>
          <w:p w:rsidRPr="001000D5" w:rsidR="00B808B3" w:rsidP="00581747" w:rsidRDefault="00B808B3" w14:paraId="2A39FE00" w14:textId="77777777">
            <w:pPr>
              <w:pStyle w:val="BlockSSNoPt"/>
              <w:jc w:val="center"/>
              <w:rPr>
                <w:b/>
                <w:sz w:val="11"/>
                <w:szCs w:val="11"/>
              </w:rPr>
            </w:pPr>
            <w:r w:rsidRPr="001000D5">
              <w:rPr>
                <w:b/>
                <w:sz w:val="11"/>
                <w:szCs w:val="11"/>
              </w:rPr>
              <w:t>($ millions)</w:t>
            </w:r>
          </w:p>
        </w:tc>
        <w:tc>
          <w:tcPr>
            <w:tcW w:w="810" w:type="dxa"/>
          </w:tcPr>
          <w:p w:rsidRPr="001000D5" w:rsidR="00B808B3" w:rsidP="00581747" w:rsidRDefault="00B808B3" w14:paraId="0DD22264" w14:textId="77777777">
            <w:pPr>
              <w:pStyle w:val="BlockSSNoPt"/>
              <w:jc w:val="center"/>
              <w:rPr>
                <w:b/>
                <w:sz w:val="11"/>
                <w:szCs w:val="11"/>
              </w:rPr>
            </w:pPr>
            <w:r w:rsidRPr="001000D5">
              <w:rPr>
                <w:b/>
                <w:sz w:val="11"/>
                <w:szCs w:val="11"/>
              </w:rPr>
              <w:t>Cumulative (%)</w:t>
            </w:r>
          </w:p>
        </w:tc>
        <w:tc>
          <w:tcPr>
            <w:tcW w:w="270" w:type="dxa"/>
          </w:tcPr>
          <w:p w:rsidRPr="001000D5" w:rsidR="00B808B3" w:rsidP="00581747" w:rsidRDefault="00B808B3" w14:paraId="517E0861" w14:textId="77777777">
            <w:pPr>
              <w:pStyle w:val="BlockSSNoPt"/>
              <w:jc w:val="center"/>
              <w:rPr>
                <w:b/>
                <w:sz w:val="11"/>
                <w:szCs w:val="11"/>
              </w:rPr>
            </w:pPr>
          </w:p>
        </w:tc>
        <w:tc>
          <w:tcPr>
            <w:tcW w:w="748" w:type="dxa"/>
          </w:tcPr>
          <w:p w:rsidRPr="001000D5" w:rsidR="00B808B3" w:rsidP="00581747" w:rsidRDefault="00B808B3" w14:paraId="6B1457F6" w14:textId="77777777">
            <w:pPr>
              <w:pStyle w:val="BlockSSNoPt"/>
              <w:jc w:val="center"/>
              <w:rPr>
                <w:b/>
                <w:sz w:val="11"/>
                <w:szCs w:val="11"/>
              </w:rPr>
            </w:pPr>
            <w:r w:rsidRPr="001000D5">
              <w:rPr>
                <w:b/>
                <w:sz w:val="11"/>
                <w:szCs w:val="11"/>
              </w:rPr>
              <w:t>Loans</w:t>
            </w:r>
          </w:p>
          <w:p w:rsidRPr="001000D5" w:rsidR="00B808B3" w:rsidP="00581747" w:rsidRDefault="00B808B3" w14:paraId="067F79B3" w14:textId="77777777">
            <w:pPr>
              <w:pStyle w:val="BlockSSNoPt"/>
              <w:jc w:val="center"/>
              <w:rPr>
                <w:b/>
                <w:sz w:val="11"/>
                <w:szCs w:val="11"/>
              </w:rPr>
            </w:pPr>
            <w:r w:rsidRPr="001000D5">
              <w:rPr>
                <w:b/>
                <w:sz w:val="11"/>
                <w:szCs w:val="11"/>
              </w:rPr>
              <w:t>($ millions)</w:t>
            </w:r>
          </w:p>
        </w:tc>
        <w:tc>
          <w:tcPr>
            <w:tcW w:w="900" w:type="dxa"/>
          </w:tcPr>
          <w:p w:rsidRPr="001000D5" w:rsidR="00B808B3" w:rsidP="00581747" w:rsidRDefault="00B808B3" w14:paraId="636C68EB" w14:textId="77777777">
            <w:pPr>
              <w:pStyle w:val="BlockSSNoPt"/>
              <w:jc w:val="center"/>
              <w:rPr>
                <w:b/>
                <w:sz w:val="11"/>
                <w:szCs w:val="11"/>
              </w:rPr>
            </w:pPr>
            <w:r w:rsidRPr="001000D5">
              <w:rPr>
                <w:b/>
                <w:sz w:val="11"/>
                <w:szCs w:val="11"/>
              </w:rPr>
              <w:t>Cumulative (%)</w:t>
            </w:r>
          </w:p>
        </w:tc>
      </w:tr>
      <w:tr w:rsidRPr="00AE648D" w:rsidR="00B808B3" w:rsidTr="00581747" w14:paraId="62300BFF" w14:textId="77777777">
        <w:trPr>
          <w:trHeight w:val="216"/>
          <w:jc w:val="center"/>
        </w:trPr>
        <w:tc>
          <w:tcPr>
            <w:tcW w:w="900" w:type="dxa"/>
          </w:tcPr>
          <w:p w:rsidRPr="001000D5" w:rsidR="00B808B3" w:rsidP="00581747" w:rsidRDefault="00B808B3" w14:paraId="53382D46" w14:textId="77777777">
            <w:pPr>
              <w:pStyle w:val="BlockSSNoPt"/>
              <w:rPr>
                <w:sz w:val="11"/>
                <w:szCs w:val="11"/>
              </w:rPr>
            </w:pPr>
            <w:r w:rsidRPr="001000D5">
              <w:rPr>
                <w:sz w:val="11"/>
                <w:szCs w:val="11"/>
              </w:rPr>
              <w:t>Below 50%</w:t>
            </w:r>
          </w:p>
        </w:tc>
        <w:tc>
          <w:tcPr>
            <w:tcW w:w="815" w:type="dxa"/>
            <w:gridSpan w:val="3"/>
          </w:tcPr>
          <w:p w:rsidRPr="001000D5" w:rsidR="00B808B3" w:rsidP="00581747" w:rsidRDefault="00B808B3" w14:paraId="2D2DBAD6" w14:textId="77777777">
            <w:pPr>
              <w:pStyle w:val="BlockSSNoPt"/>
              <w:jc w:val="right"/>
              <w:rPr>
                <w:sz w:val="11"/>
                <w:szCs w:val="11"/>
              </w:rPr>
            </w:pPr>
            <w:r w:rsidRPr="001000D5">
              <w:rPr>
                <w:sz w:val="11"/>
                <w:szCs w:val="11"/>
              </w:rPr>
              <w:t xml:space="preserve"> 18.0 </w:t>
            </w:r>
          </w:p>
        </w:tc>
        <w:tc>
          <w:tcPr>
            <w:tcW w:w="810" w:type="dxa"/>
            <w:gridSpan w:val="2"/>
          </w:tcPr>
          <w:p w:rsidRPr="001000D5" w:rsidR="00B808B3" w:rsidP="00581747" w:rsidRDefault="00B808B3" w14:paraId="4E656681" w14:textId="77777777">
            <w:pPr>
              <w:pStyle w:val="BlockSSNoPt"/>
              <w:jc w:val="right"/>
              <w:rPr>
                <w:sz w:val="11"/>
                <w:szCs w:val="11"/>
              </w:rPr>
            </w:pPr>
            <w:r w:rsidRPr="001000D5">
              <w:rPr>
                <w:sz w:val="11"/>
                <w:szCs w:val="11"/>
              </w:rPr>
              <w:t>14.7%</w:t>
            </w:r>
          </w:p>
        </w:tc>
        <w:tc>
          <w:tcPr>
            <w:tcW w:w="270" w:type="dxa"/>
          </w:tcPr>
          <w:p w:rsidRPr="001000D5" w:rsidR="00B808B3" w:rsidP="00581747" w:rsidRDefault="00B808B3" w14:paraId="231A36A3" w14:textId="77777777">
            <w:pPr>
              <w:pStyle w:val="BlockSSNoPt"/>
              <w:jc w:val="right"/>
              <w:rPr>
                <w:sz w:val="11"/>
                <w:szCs w:val="11"/>
              </w:rPr>
            </w:pPr>
          </w:p>
        </w:tc>
        <w:tc>
          <w:tcPr>
            <w:tcW w:w="720" w:type="dxa"/>
          </w:tcPr>
          <w:p w:rsidRPr="001000D5" w:rsidR="00B808B3" w:rsidP="00581747" w:rsidRDefault="00B808B3" w14:paraId="3FAEC18A" w14:textId="77777777">
            <w:pPr>
              <w:pStyle w:val="BlockSSNoPt"/>
              <w:jc w:val="right"/>
              <w:rPr>
                <w:sz w:val="11"/>
                <w:szCs w:val="11"/>
              </w:rPr>
            </w:pPr>
            <w:r w:rsidRPr="001000D5">
              <w:rPr>
                <w:sz w:val="11"/>
                <w:szCs w:val="11"/>
              </w:rPr>
              <w:t xml:space="preserve"> 20.0 </w:t>
            </w:r>
          </w:p>
        </w:tc>
        <w:tc>
          <w:tcPr>
            <w:tcW w:w="810" w:type="dxa"/>
          </w:tcPr>
          <w:p w:rsidRPr="001000D5" w:rsidR="00B808B3" w:rsidP="00581747" w:rsidRDefault="00B808B3" w14:paraId="2E43990F" w14:textId="77777777">
            <w:pPr>
              <w:pStyle w:val="BlockSSNoPt"/>
              <w:jc w:val="right"/>
              <w:rPr>
                <w:sz w:val="11"/>
                <w:szCs w:val="11"/>
              </w:rPr>
            </w:pPr>
            <w:r w:rsidRPr="001000D5">
              <w:rPr>
                <w:sz w:val="11"/>
                <w:szCs w:val="11"/>
              </w:rPr>
              <w:t>18.0%</w:t>
            </w:r>
          </w:p>
        </w:tc>
        <w:tc>
          <w:tcPr>
            <w:tcW w:w="270" w:type="dxa"/>
          </w:tcPr>
          <w:p w:rsidRPr="001000D5" w:rsidR="00B808B3" w:rsidP="00581747" w:rsidRDefault="00B808B3" w14:paraId="7253AAB0" w14:textId="77777777">
            <w:pPr>
              <w:pStyle w:val="BlockSSNoPt"/>
              <w:jc w:val="right"/>
              <w:rPr>
                <w:sz w:val="11"/>
                <w:szCs w:val="11"/>
              </w:rPr>
            </w:pPr>
          </w:p>
        </w:tc>
        <w:tc>
          <w:tcPr>
            <w:tcW w:w="810" w:type="dxa"/>
          </w:tcPr>
          <w:p w:rsidRPr="001000D5" w:rsidR="00B808B3" w:rsidP="00581747" w:rsidRDefault="00B808B3" w14:paraId="0EC824C4" w14:textId="77777777">
            <w:pPr>
              <w:pStyle w:val="BlockSSNoPt"/>
              <w:jc w:val="right"/>
              <w:rPr>
                <w:sz w:val="11"/>
                <w:szCs w:val="11"/>
              </w:rPr>
            </w:pPr>
            <w:r w:rsidRPr="001000D5">
              <w:rPr>
                <w:sz w:val="11"/>
                <w:szCs w:val="11"/>
              </w:rPr>
              <w:t xml:space="preserve"> 36.0 </w:t>
            </w:r>
          </w:p>
        </w:tc>
        <w:tc>
          <w:tcPr>
            <w:tcW w:w="810" w:type="dxa"/>
          </w:tcPr>
          <w:p w:rsidRPr="001000D5" w:rsidR="00B808B3" w:rsidP="00581747" w:rsidRDefault="00B808B3" w14:paraId="2F372C60" w14:textId="77777777">
            <w:pPr>
              <w:pStyle w:val="BlockSSNoPt"/>
              <w:jc w:val="right"/>
              <w:rPr>
                <w:sz w:val="11"/>
                <w:szCs w:val="11"/>
              </w:rPr>
            </w:pPr>
            <w:r w:rsidRPr="001000D5">
              <w:rPr>
                <w:sz w:val="11"/>
                <w:szCs w:val="11"/>
              </w:rPr>
              <w:t>18.3%</w:t>
            </w:r>
          </w:p>
        </w:tc>
        <w:tc>
          <w:tcPr>
            <w:tcW w:w="270" w:type="dxa"/>
          </w:tcPr>
          <w:p w:rsidRPr="001000D5" w:rsidR="00B808B3" w:rsidP="00581747" w:rsidRDefault="00B808B3" w14:paraId="72AE290D" w14:textId="77777777">
            <w:pPr>
              <w:pStyle w:val="BlockSSNoPt"/>
              <w:jc w:val="right"/>
              <w:rPr>
                <w:sz w:val="11"/>
                <w:szCs w:val="11"/>
              </w:rPr>
            </w:pPr>
          </w:p>
        </w:tc>
        <w:tc>
          <w:tcPr>
            <w:tcW w:w="810" w:type="dxa"/>
          </w:tcPr>
          <w:p w:rsidRPr="001000D5" w:rsidR="00B808B3" w:rsidP="00581747" w:rsidRDefault="00B808B3" w14:paraId="1E69D12F" w14:textId="77777777">
            <w:pPr>
              <w:pStyle w:val="BlockSSNoPt"/>
              <w:jc w:val="right"/>
              <w:rPr>
                <w:sz w:val="11"/>
                <w:szCs w:val="11"/>
              </w:rPr>
            </w:pPr>
            <w:r w:rsidRPr="001000D5">
              <w:rPr>
                <w:sz w:val="11"/>
                <w:szCs w:val="11"/>
              </w:rPr>
              <w:t>72.2</w:t>
            </w:r>
          </w:p>
        </w:tc>
        <w:tc>
          <w:tcPr>
            <w:tcW w:w="810" w:type="dxa"/>
          </w:tcPr>
          <w:p w:rsidRPr="001000D5" w:rsidR="00B808B3" w:rsidP="00581747" w:rsidRDefault="00B808B3" w14:paraId="5C8ABC7B" w14:textId="77777777">
            <w:pPr>
              <w:pStyle w:val="BlockSSNoPt"/>
              <w:jc w:val="right"/>
              <w:rPr>
                <w:sz w:val="11"/>
                <w:szCs w:val="11"/>
              </w:rPr>
            </w:pPr>
            <w:r w:rsidRPr="001000D5">
              <w:rPr>
                <w:sz w:val="11"/>
                <w:szCs w:val="11"/>
              </w:rPr>
              <w:t>18.8%</w:t>
            </w:r>
          </w:p>
        </w:tc>
        <w:tc>
          <w:tcPr>
            <w:tcW w:w="270" w:type="dxa"/>
          </w:tcPr>
          <w:p w:rsidRPr="001000D5" w:rsidR="00B808B3" w:rsidP="00581747" w:rsidRDefault="00B808B3" w14:paraId="516DB4AB" w14:textId="77777777">
            <w:pPr>
              <w:pStyle w:val="BlockSSNoPt"/>
              <w:jc w:val="right"/>
              <w:rPr>
                <w:sz w:val="11"/>
                <w:szCs w:val="11"/>
              </w:rPr>
            </w:pPr>
          </w:p>
        </w:tc>
        <w:tc>
          <w:tcPr>
            <w:tcW w:w="810" w:type="dxa"/>
          </w:tcPr>
          <w:p w:rsidRPr="001000D5" w:rsidR="00B808B3" w:rsidP="00581747" w:rsidRDefault="00B808B3" w14:paraId="78B8D2DE" w14:textId="77777777">
            <w:pPr>
              <w:pStyle w:val="BlockSSNoPt"/>
              <w:jc w:val="right"/>
              <w:rPr>
                <w:sz w:val="11"/>
                <w:szCs w:val="11"/>
              </w:rPr>
            </w:pPr>
            <w:r>
              <w:rPr>
                <w:sz w:val="11"/>
                <w:szCs w:val="11"/>
              </w:rPr>
              <w:t>61.5</w:t>
            </w:r>
          </w:p>
        </w:tc>
        <w:tc>
          <w:tcPr>
            <w:tcW w:w="810" w:type="dxa"/>
          </w:tcPr>
          <w:p w:rsidRPr="001000D5" w:rsidR="00B808B3" w:rsidP="00581747" w:rsidRDefault="00B808B3" w14:paraId="657E8B2D" w14:textId="77777777">
            <w:pPr>
              <w:pStyle w:val="BlockSSNoPt"/>
              <w:jc w:val="right"/>
              <w:rPr>
                <w:sz w:val="11"/>
                <w:szCs w:val="11"/>
              </w:rPr>
            </w:pPr>
            <w:r>
              <w:rPr>
                <w:sz w:val="11"/>
                <w:szCs w:val="11"/>
              </w:rPr>
              <w:t>14.2</w:t>
            </w:r>
            <w:r w:rsidRPr="001000D5">
              <w:rPr>
                <w:sz w:val="11"/>
                <w:szCs w:val="11"/>
              </w:rPr>
              <w:t>%</w:t>
            </w:r>
          </w:p>
        </w:tc>
        <w:tc>
          <w:tcPr>
            <w:tcW w:w="270" w:type="dxa"/>
          </w:tcPr>
          <w:p w:rsidRPr="001000D5" w:rsidR="00B808B3" w:rsidP="00581747" w:rsidRDefault="00B808B3" w14:paraId="42AE395B" w14:textId="77777777">
            <w:pPr>
              <w:pStyle w:val="BlockSSNoPt"/>
              <w:jc w:val="right"/>
              <w:rPr>
                <w:sz w:val="11"/>
                <w:szCs w:val="11"/>
              </w:rPr>
            </w:pPr>
          </w:p>
        </w:tc>
        <w:tc>
          <w:tcPr>
            <w:tcW w:w="748" w:type="dxa"/>
          </w:tcPr>
          <w:p w:rsidRPr="001000D5" w:rsidR="00B808B3" w:rsidP="00581747" w:rsidRDefault="00B808B3" w14:paraId="30DB2323" w14:textId="77777777">
            <w:pPr>
              <w:pStyle w:val="BlockSSNoPt"/>
              <w:jc w:val="right"/>
              <w:rPr>
                <w:sz w:val="11"/>
                <w:szCs w:val="11"/>
              </w:rPr>
            </w:pPr>
            <w:r w:rsidRPr="001000D5">
              <w:rPr>
                <w:sz w:val="11"/>
                <w:szCs w:val="11"/>
              </w:rPr>
              <w:t xml:space="preserve"> 207.7 </w:t>
            </w:r>
          </w:p>
        </w:tc>
        <w:tc>
          <w:tcPr>
            <w:tcW w:w="900" w:type="dxa"/>
          </w:tcPr>
          <w:p w:rsidRPr="001000D5" w:rsidR="00B808B3" w:rsidP="00581747" w:rsidRDefault="00B808B3" w14:paraId="61DFCFB4" w14:textId="77777777">
            <w:pPr>
              <w:pStyle w:val="BlockSSNoPt"/>
              <w:jc w:val="right"/>
              <w:rPr>
                <w:sz w:val="11"/>
                <w:szCs w:val="11"/>
              </w:rPr>
            </w:pPr>
            <w:r w:rsidRPr="001000D5">
              <w:rPr>
                <w:sz w:val="11"/>
                <w:szCs w:val="11"/>
              </w:rPr>
              <w:t>16.7%</w:t>
            </w:r>
          </w:p>
        </w:tc>
      </w:tr>
      <w:tr w:rsidRPr="00AE648D" w:rsidR="00B808B3" w:rsidTr="00581747" w14:paraId="732CF104" w14:textId="77777777">
        <w:trPr>
          <w:trHeight w:val="216"/>
          <w:jc w:val="center"/>
        </w:trPr>
        <w:tc>
          <w:tcPr>
            <w:tcW w:w="900" w:type="dxa"/>
          </w:tcPr>
          <w:p w:rsidRPr="001000D5" w:rsidR="00B808B3" w:rsidP="00581747" w:rsidRDefault="00B808B3" w14:paraId="68492D25" w14:textId="77777777">
            <w:pPr>
              <w:pStyle w:val="BlockSSNoPt"/>
              <w:rPr>
                <w:sz w:val="11"/>
                <w:szCs w:val="11"/>
              </w:rPr>
            </w:pPr>
            <w:r w:rsidRPr="001000D5">
              <w:rPr>
                <w:sz w:val="11"/>
                <w:szCs w:val="11"/>
              </w:rPr>
              <w:t>50.1% - 60%</w:t>
            </w:r>
          </w:p>
        </w:tc>
        <w:tc>
          <w:tcPr>
            <w:tcW w:w="815" w:type="dxa"/>
            <w:gridSpan w:val="3"/>
          </w:tcPr>
          <w:p w:rsidRPr="001000D5" w:rsidR="00B808B3" w:rsidP="00581747" w:rsidRDefault="00B808B3" w14:paraId="5A55D9C7" w14:textId="77777777">
            <w:pPr>
              <w:pStyle w:val="BlockSSNoPt"/>
              <w:jc w:val="right"/>
              <w:rPr>
                <w:sz w:val="11"/>
                <w:szCs w:val="11"/>
                <w:u w:val="single"/>
              </w:rPr>
            </w:pPr>
            <w:r w:rsidRPr="001000D5">
              <w:rPr>
                <w:sz w:val="11"/>
                <w:szCs w:val="11"/>
              </w:rPr>
              <w:t xml:space="preserve"> 21.9 </w:t>
            </w:r>
          </w:p>
        </w:tc>
        <w:tc>
          <w:tcPr>
            <w:tcW w:w="810" w:type="dxa"/>
            <w:gridSpan w:val="2"/>
          </w:tcPr>
          <w:p w:rsidRPr="001000D5" w:rsidR="00B808B3" w:rsidP="00581747" w:rsidRDefault="00B808B3" w14:paraId="2A90925E" w14:textId="77777777">
            <w:pPr>
              <w:pStyle w:val="BlockSSNoPt"/>
              <w:jc w:val="right"/>
              <w:rPr>
                <w:sz w:val="11"/>
                <w:szCs w:val="11"/>
                <w:u w:val="single"/>
              </w:rPr>
            </w:pPr>
            <w:r w:rsidRPr="001000D5">
              <w:rPr>
                <w:sz w:val="11"/>
                <w:szCs w:val="11"/>
              </w:rPr>
              <w:t>32.5%</w:t>
            </w:r>
          </w:p>
        </w:tc>
        <w:tc>
          <w:tcPr>
            <w:tcW w:w="270" w:type="dxa"/>
          </w:tcPr>
          <w:p w:rsidRPr="001000D5" w:rsidR="00B808B3" w:rsidP="00581747" w:rsidRDefault="00B808B3" w14:paraId="074BE948" w14:textId="77777777">
            <w:pPr>
              <w:pStyle w:val="BlockSSNoPt"/>
              <w:jc w:val="right"/>
              <w:rPr>
                <w:sz w:val="11"/>
                <w:szCs w:val="11"/>
              </w:rPr>
            </w:pPr>
          </w:p>
        </w:tc>
        <w:tc>
          <w:tcPr>
            <w:tcW w:w="720" w:type="dxa"/>
          </w:tcPr>
          <w:p w:rsidRPr="001000D5" w:rsidR="00B808B3" w:rsidP="00581747" w:rsidRDefault="00B808B3" w14:paraId="06412D6D" w14:textId="77777777">
            <w:pPr>
              <w:pStyle w:val="BlockSSNoPt"/>
              <w:jc w:val="right"/>
              <w:rPr>
                <w:sz w:val="11"/>
                <w:szCs w:val="11"/>
                <w:u w:val="single"/>
              </w:rPr>
            </w:pPr>
            <w:r w:rsidRPr="001000D5">
              <w:rPr>
                <w:sz w:val="11"/>
                <w:szCs w:val="11"/>
              </w:rPr>
              <w:t xml:space="preserve"> 22.1 </w:t>
            </w:r>
          </w:p>
        </w:tc>
        <w:tc>
          <w:tcPr>
            <w:tcW w:w="810" w:type="dxa"/>
          </w:tcPr>
          <w:p w:rsidRPr="001000D5" w:rsidR="00B808B3" w:rsidP="00581747" w:rsidRDefault="00B808B3" w14:paraId="0D785FE7" w14:textId="77777777">
            <w:pPr>
              <w:pStyle w:val="BlockSSNoPt"/>
              <w:jc w:val="right"/>
              <w:rPr>
                <w:sz w:val="11"/>
                <w:szCs w:val="11"/>
                <w:u w:val="single"/>
              </w:rPr>
            </w:pPr>
            <w:r w:rsidRPr="001000D5">
              <w:rPr>
                <w:sz w:val="11"/>
                <w:szCs w:val="11"/>
              </w:rPr>
              <w:t>37.8%</w:t>
            </w:r>
          </w:p>
        </w:tc>
        <w:tc>
          <w:tcPr>
            <w:tcW w:w="270" w:type="dxa"/>
          </w:tcPr>
          <w:p w:rsidRPr="001000D5" w:rsidR="00B808B3" w:rsidP="00581747" w:rsidRDefault="00B808B3" w14:paraId="5E03E853" w14:textId="77777777">
            <w:pPr>
              <w:pStyle w:val="BlockSSNoPt"/>
              <w:jc w:val="right"/>
              <w:rPr>
                <w:sz w:val="11"/>
                <w:szCs w:val="11"/>
              </w:rPr>
            </w:pPr>
          </w:p>
        </w:tc>
        <w:tc>
          <w:tcPr>
            <w:tcW w:w="810" w:type="dxa"/>
          </w:tcPr>
          <w:p w:rsidRPr="001000D5" w:rsidR="00B808B3" w:rsidP="00581747" w:rsidRDefault="00B808B3" w14:paraId="56F495F6" w14:textId="77777777">
            <w:pPr>
              <w:pStyle w:val="BlockSSNoPt"/>
              <w:jc w:val="right"/>
              <w:rPr>
                <w:sz w:val="11"/>
                <w:szCs w:val="11"/>
                <w:u w:val="single"/>
              </w:rPr>
            </w:pPr>
            <w:r w:rsidRPr="001000D5">
              <w:rPr>
                <w:sz w:val="11"/>
                <w:szCs w:val="11"/>
              </w:rPr>
              <w:t xml:space="preserve"> 37.6 </w:t>
            </w:r>
          </w:p>
        </w:tc>
        <w:tc>
          <w:tcPr>
            <w:tcW w:w="810" w:type="dxa"/>
          </w:tcPr>
          <w:p w:rsidRPr="001000D5" w:rsidR="00B808B3" w:rsidP="00581747" w:rsidRDefault="00B808B3" w14:paraId="0029E818" w14:textId="77777777">
            <w:pPr>
              <w:pStyle w:val="BlockSSNoPt"/>
              <w:jc w:val="right"/>
              <w:rPr>
                <w:sz w:val="11"/>
                <w:szCs w:val="11"/>
                <w:u w:val="single"/>
              </w:rPr>
            </w:pPr>
            <w:r w:rsidRPr="001000D5">
              <w:rPr>
                <w:sz w:val="11"/>
                <w:szCs w:val="11"/>
              </w:rPr>
              <w:t>37.4%</w:t>
            </w:r>
          </w:p>
        </w:tc>
        <w:tc>
          <w:tcPr>
            <w:tcW w:w="270" w:type="dxa"/>
          </w:tcPr>
          <w:p w:rsidRPr="001000D5" w:rsidR="00B808B3" w:rsidP="00581747" w:rsidRDefault="00B808B3" w14:paraId="62B99F82" w14:textId="77777777">
            <w:pPr>
              <w:pStyle w:val="BlockSSNoPt"/>
              <w:jc w:val="right"/>
              <w:rPr>
                <w:sz w:val="11"/>
                <w:szCs w:val="11"/>
              </w:rPr>
            </w:pPr>
          </w:p>
        </w:tc>
        <w:tc>
          <w:tcPr>
            <w:tcW w:w="810" w:type="dxa"/>
          </w:tcPr>
          <w:p w:rsidRPr="001000D5" w:rsidR="00B808B3" w:rsidP="00581747" w:rsidRDefault="00B808B3" w14:paraId="06292050" w14:textId="77777777">
            <w:pPr>
              <w:pStyle w:val="BlockSSNoPt"/>
              <w:jc w:val="right"/>
              <w:rPr>
                <w:sz w:val="11"/>
                <w:szCs w:val="11"/>
              </w:rPr>
            </w:pPr>
            <w:r w:rsidRPr="001000D5">
              <w:rPr>
                <w:sz w:val="11"/>
                <w:szCs w:val="11"/>
              </w:rPr>
              <w:t>73.6</w:t>
            </w:r>
          </w:p>
        </w:tc>
        <w:tc>
          <w:tcPr>
            <w:tcW w:w="810" w:type="dxa"/>
          </w:tcPr>
          <w:p w:rsidRPr="001000D5" w:rsidR="00B808B3" w:rsidP="00581747" w:rsidRDefault="00B808B3" w14:paraId="72C95601" w14:textId="77777777">
            <w:pPr>
              <w:pStyle w:val="BlockSSNoPt"/>
              <w:jc w:val="right"/>
              <w:rPr>
                <w:sz w:val="11"/>
                <w:szCs w:val="11"/>
              </w:rPr>
            </w:pPr>
            <w:r w:rsidRPr="001000D5">
              <w:rPr>
                <w:sz w:val="11"/>
                <w:szCs w:val="11"/>
              </w:rPr>
              <w:t>38.0%</w:t>
            </w:r>
          </w:p>
        </w:tc>
        <w:tc>
          <w:tcPr>
            <w:tcW w:w="270" w:type="dxa"/>
          </w:tcPr>
          <w:p w:rsidRPr="001000D5" w:rsidR="00B808B3" w:rsidP="00581747" w:rsidRDefault="00B808B3" w14:paraId="30F5665D" w14:textId="77777777">
            <w:pPr>
              <w:pStyle w:val="BlockSSNoPt"/>
              <w:jc w:val="right"/>
              <w:rPr>
                <w:sz w:val="11"/>
                <w:szCs w:val="11"/>
              </w:rPr>
            </w:pPr>
          </w:p>
        </w:tc>
        <w:tc>
          <w:tcPr>
            <w:tcW w:w="810" w:type="dxa"/>
          </w:tcPr>
          <w:p w:rsidRPr="001000D5" w:rsidR="00B808B3" w:rsidP="00581747" w:rsidRDefault="00B808B3" w14:paraId="5164DD51" w14:textId="77777777">
            <w:pPr>
              <w:pStyle w:val="BlockSSNoPt"/>
              <w:jc w:val="right"/>
              <w:rPr>
                <w:sz w:val="11"/>
                <w:szCs w:val="11"/>
              </w:rPr>
            </w:pPr>
            <w:r w:rsidRPr="001000D5">
              <w:rPr>
                <w:sz w:val="11"/>
                <w:szCs w:val="11"/>
              </w:rPr>
              <w:t>71.9</w:t>
            </w:r>
          </w:p>
        </w:tc>
        <w:tc>
          <w:tcPr>
            <w:tcW w:w="810" w:type="dxa"/>
          </w:tcPr>
          <w:p w:rsidRPr="001000D5" w:rsidR="00B808B3" w:rsidP="00581747" w:rsidRDefault="00B808B3" w14:paraId="258B5CF8" w14:textId="77777777">
            <w:pPr>
              <w:pStyle w:val="BlockSSNoPt"/>
              <w:jc w:val="right"/>
              <w:rPr>
                <w:sz w:val="11"/>
                <w:szCs w:val="11"/>
              </w:rPr>
            </w:pPr>
            <w:r>
              <w:rPr>
                <w:sz w:val="11"/>
                <w:szCs w:val="11"/>
              </w:rPr>
              <w:t>30.9</w:t>
            </w:r>
            <w:r w:rsidRPr="001000D5">
              <w:rPr>
                <w:sz w:val="11"/>
                <w:szCs w:val="11"/>
              </w:rPr>
              <w:t>%</w:t>
            </w:r>
          </w:p>
        </w:tc>
        <w:tc>
          <w:tcPr>
            <w:tcW w:w="270" w:type="dxa"/>
          </w:tcPr>
          <w:p w:rsidRPr="001000D5" w:rsidR="00B808B3" w:rsidP="00581747" w:rsidRDefault="00B808B3" w14:paraId="6E7A6930" w14:textId="77777777">
            <w:pPr>
              <w:pStyle w:val="BlockSSNoPt"/>
              <w:jc w:val="right"/>
              <w:rPr>
                <w:sz w:val="11"/>
                <w:szCs w:val="11"/>
              </w:rPr>
            </w:pPr>
          </w:p>
        </w:tc>
        <w:tc>
          <w:tcPr>
            <w:tcW w:w="748" w:type="dxa"/>
          </w:tcPr>
          <w:p w:rsidRPr="001000D5" w:rsidR="00B808B3" w:rsidP="00581747" w:rsidRDefault="00B808B3" w14:paraId="69224122" w14:textId="77777777">
            <w:pPr>
              <w:pStyle w:val="BlockSSNoPt"/>
              <w:jc w:val="right"/>
              <w:rPr>
                <w:sz w:val="11"/>
                <w:szCs w:val="11"/>
                <w:u w:val="single"/>
              </w:rPr>
            </w:pPr>
            <w:r w:rsidRPr="001000D5">
              <w:rPr>
                <w:sz w:val="11"/>
                <w:szCs w:val="11"/>
              </w:rPr>
              <w:t xml:space="preserve"> 227.0 </w:t>
            </w:r>
          </w:p>
        </w:tc>
        <w:tc>
          <w:tcPr>
            <w:tcW w:w="900" w:type="dxa"/>
          </w:tcPr>
          <w:p w:rsidRPr="001000D5" w:rsidR="00B808B3" w:rsidP="00581747" w:rsidRDefault="00B808B3" w14:paraId="6229A85D" w14:textId="77777777">
            <w:pPr>
              <w:pStyle w:val="BlockSSNoPt"/>
              <w:jc w:val="right"/>
              <w:rPr>
                <w:sz w:val="11"/>
                <w:szCs w:val="11"/>
              </w:rPr>
            </w:pPr>
            <w:r w:rsidRPr="001000D5">
              <w:rPr>
                <w:sz w:val="11"/>
                <w:szCs w:val="11"/>
              </w:rPr>
              <w:t>34.9%</w:t>
            </w:r>
          </w:p>
        </w:tc>
      </w:tr>
      <w:tr w:rsidRPr="00AE648D" w:rsidR="00B808B3" w:rsidTr="00581747" w14:paraId="173CF646" w14:textId="77777777">
        <w:trPr>
          <w:trHeight w:val="216"/>
          <w:jc w:val="center"/>
        </w:trPr>
        <w:tc>
          <w:tcPr>
            <w:tcW w:w="900" w:type="dxa"/>
          </w:tcPr>
          <w:p w:rsidRPr="001000D5" w:rsidR="00B808B3" w:rsidP="00581747" w:rsidRDefault="00B808B3" w14:paraId="1E27229D" w14:textId="77777777">
            <w:pPr>
              <w:pStyle w:val="BlockSSNoPt"/>
              <w:rPr>
                <w:sz w:val="11"/>
                <w:szCs w:val="11"/>
              </w:rPr>
            </w:pPr>
            <w:r w:rsidRPr="001000D5">
              <w:rPr>
                <w:sz w:val="11"/>
                <w:szCs w:val="11"/>
              </w:rPr>
              <w:t>60.1% - 70%</w:t>
            </w:r>
          </w:p>
        </w:tc>
        <w:tc>
          <w:tcPr>
            <w:tcW w:w="815" w:type="dxa"/>
            <w:gridSpan w:val="3"/>
          </w:tcPr>
          <w:p w:rsidRPr="001000D5" w:rsidR="00B808B3" w:rsidP="00581747" w:rsidRDefault="00B808B3" w14:paraId="5E6793C3" w14:textId="77777777">
            <w:pPr>
              <w:pStyle w:val="BlockSSNoPt"/>
              <w:jc w:val="right"/>
              <w:rPr>
                <w:sz w:val="11"/>
                <w:szCs w:val="11"/>
                <w:u w:val="single"/>
              </w:rPr>
            </w:pPr>
            <w:r w:rsidRPr="001000D5">
              <w:rPr>
                <w:sz w:val="11"/>
                <w:szCs w:val="11"/>
              </w:rPr>
              <w:t xml:space="preserve"> 20.6 </w:t>
            </w:r>
          </w:p>
        </w:tc>
        <w:tc>
          <w:tcPr>
            <w:tcW w:w="810" w:type="dxa"/>
            <w:gridSpan w:val="2"/>
          </w:tcPr>
          <w:p w:rsidRPr="001000D5" w:rsidR="00B808B3" w:rsidP="00581747" w:rsidRDefault="00B808B3" w14:paraId="469C788E" w14:textId="77777777">
            <w:pPr>
              <w:pStyle w:val="BlockSSNoPt"/>
              <w:jc w:val="right"/>
              <w:rPr>
                <w:sz w:val="11"/>
                <w:szCs w:val="11"/>
                <w:u w:val="single"/>
              </w:rPr>
            </w:pPr>
            <w:r w:rsidRPr="001000D5">
              <w:rPr>
                <w:sz w:val="11"/>
                <w:szCs w:val="11"/>
              </w:rPr>
              <w:t>49.3%</w:t>
            </w:r>
          </w:p>
        </w:tc>
        <w:tc>
          <w:tcPr>
            <w:tcW w:w="270" w:type="dxa"/>
          </w:tcPr>
          <w:p w:rsidRPr="001000D5" w:rsidR="00B808B3" w:rsidP="00581747" w:rsidRDefault="00B808B3" w14:paraId="7BC9BBD2" w14:textId="77777777">
            <w:pPr>
              <w:pStyle w:val="BlockSSNoPt"/>
              <w:jc w:val="right"/>
              <w:rPr>
                <w:sz w:val="11"/>
                <w:szCs w:val="11"/>
              </w:rPr>
            </w:pPr>
          </w:p>
        </w:tc>
        <w:tc>
          <w:tcPr>
            <w:tcW w:w="720" w:type="dxa"/>
          </w:tcPr>
          <w:p w:rsidRPr="001000D5" w:rsidR="00B808B3" w:rsidP="00581747" w:rsidRDefault="00B808B3" w14:paraId="05375823" w14:textId="77777777">
            <w:pPr>
              <w:pStyle w:val="BlockSSNoPt"/>
              <w:jc w:val="right"/>
              <w:rPr>
                <w:sz w:val="11"/>
                <w:szCs w:val="11"/>
                <w:u w:val="single"/>
              </w:rPr>
            </w:pPr>
            <w:r w:rsidRPr="001000D5">
              <w:rPr>
                <w:sz w:val="11"/>
                <w:szCs w:val="11"/>
              </w:rPr>
              <w:t xml:space="preserve"> 18.6 </w:t>
            </w:r>
          </w:p>
        </w:tc>
        <w:tc>
          <w:tcPr>
            <w:tcW w:w="810" w:type="dxa"/>
          </w:tcPr>
          <w:p w:rsidRPr="001000D5" w:rsidR="00B808B3" w:rsidP="00581747" w:rsidRDefault="00B808B3" w14:paraId="373CD91C" w14:textId="77777777">
            <w:pPr>
              <w:pStyle w:val="BlockSSNoPt"/>
              <w:jc w:val="right"/>
              <w:rPr>
                <w:sz w:val="11"/>
                <w:szCs w:val="11"/>
                <w:u w:val="single"/>
              </w:rPr>
            </w:pPr>
            <w:r w:rsidRPr="001000D5">
              <w:rPr>
                <w:sz w:val="11"/>
                <w:szCs w:val="11"/>
              </w:rPr>
              <w:t>54.5%</w:t>
            </w:r>
          </w:p>
        </w:tc>
        <w:tc>
          <w:tcPr>
            <w:tcW w:w="270" w:type="dxa"/>
          </w:tcPr>
          <w:p w:rsidRPr="001000D5" w:rsidR="00B808B3" w:rsidP="00581747" w:rsidRDefault="00B808B3" w14:paraId="3461C8F6" w14:textId="77777777">
            <w:pPr>
              <w:pStyle w:val="BlockSSNoPt"/>
              <w:jc w:val="right"/>
              <w:rPr>
                <w:sz w:val="11"/>
                <w:szCs w:val="11"/>
              </w:rPr>
            </w:pPr>
          </w:p>
        </w:tc>
        <w:tc>
          <w:tcPr>
            <w:tcW w:w="810" w:type="dxa"/>
          </w:tcPr>
          <w:p w:rsidRPr="001000D5" w:rsidR="00B808B3" w:rsidP="00581747" w:rsidRDefault="00B808B3" w14:paraId="26674B47" w14:textId="77777777">
            <w:pPr>
              <w:pStyle w:val="BlockSSNoPt"/>
              <w:jc w:val="right"/>
              <w:rPr>
                <w:sz w:val="11"/>
                <w:szCs w:val="11"/>
                <w:u w:val="single"/>
              </w:rPr>
            </w:pPr>
            <w:r w:rsidRPr="001000D5">
              <w:rPr>
                <w:sz w:val="11"/>
                <w:szCs w:val="11"/>
              </w:rPr>
              <w:t xml:space="preserve"> 35.1 </w:t>
            </w:r>
          </w:p>
        </w:tc>
        <w:tc>
          <w:tcPr>
            <w:tcW w:w="810" w:type="dxa"/>
          </w:tcPr>
          <w:p w:rsidRPr="001000D5" w:rsidR="00B808B3" w:rsidP="00581747" w:rsidRDefault="00B808B3" w14:paraId="63BFA853" w14:textId="77777777">
            <w:pPr>
              <w:pStyle w:val="BlockSSNoPt"/>
              <w:jc w:val="right"/>
              <w:rPr>
                <w:sz w:val="11"/>
                <w:szCs w:val="11"/>
                <w:u w:val="single"/>
              </w:rPr>
            </w:pPr>
            <w:r w:rsidRPr="001000D5">
              <w:rPr>
                <w:sz w:val="11"/>
                <w:szCs w:val="11"/>
              </w:rPr>
              <w:t>55.3%</w:t>
            </w:r>
          </w:p>
        </w:tc>
        <w:tc>
          <w:tcPr>
            <w:tcW w:w="270" w:type="dxa"/>
          </w:tcPr>
          <w:p w:rsidRPr="001000D5" w:rsidR="00B808B3" w:rsidP="00581747" w:rsidRDefault="00B808B3" w14:paraId="4AA96792" w14:textId="77777777">
            <w:pPr>
              <w:pStyle w:val="BlockSSNoPt"/>
              <w:jc w:val="right"/>
              <w:rPr>
                <w:sz w:val="11"/>
                <w:szCs w:val="11"/>
              </w:rPr>
            </w:pPr>
          </w:p>
        </w:tc>
        <w:tc>
          <w:tcPr>
            <w:tcW w:w="810" w:type="dxa"/>
          </w:tcPr>
          <w:p w:rsidRPr="001000D5" w:rsidR="00B808B3" w:rsidP="00581747" w:rsidRDefault="00B808B3" w14:paraId="5FF729B3" w14:textId="77777777">
            <w:pPr>
              <w:pStyle w:val="BlockSSNoPt"/>
              <w:jc w:val="right"/>
              <w:rPr>
                <w:sz w:val="11"/>
                <w:szCs w:val="11"/>
              </w:rPr>
            </w:pPr>
            <w:r w:rsidRPr="001000D5">
              <w:rPr>
                <w:sz w:val="11"/>
                <w:szCs w:val="11"/>
              </w:rPr>
              <w:t>71.1</w:t>
            </w:r>
          </w:p>
        </w:tc>
        <w:tc>
          <w:tcPr>
            <w:tcW w:w="810" w:type="dxa"/>
          </w:tcPr>
          <w:p w:rsidRPr="001000D5" w:rsidR="00B808B3" w:rsidP="00581747" w:rsidRDefault="00B808B3" w14:paraId="280793D1" w14:textId="77777777">
            <w:pPr>
              <w:pStyle w:val="BlockSSNoPt"/>
              <w:jc w:val="right"/>
              <w:rPr>
                <w:sz w:val="11"/>
                <w:szCs w:val="11"/>
              </w:rPr>
            </w:pPr>
            <w:r w:rsidRPr="001000D5">
              <w:rPr>
                <w:sz w:val="11"/>
                <w:szCs w:val="11"/>
              </w:rPr>
              <w:t>56.5%</w:t>
            </w:r>
          </w:p>
        </w:tc>
        <w:tc>
          <w:tcPr>
            <w:tcW w:w="270" w:type="dxa"/>
          </w:tcPr>
          <w:p w:rsidRPr="001000D5" w:rsidR="00B808B3" w:rsidP="00581747" w:rsidRDefault="00B808B3" w14:paraId="45BE7FF5" w14:textId="77777777">
            <w:pPr>
              <w:pStyle w:val="BlockSSNoPt"/>
              <w:jc w:val="right"/>
              <w:rPr>
                <w:sz w:val="11"/>
                <w:szCs w:val="11"/>
              </w:rPr>
            </w:pPr>
          </w:p>
        </w:tc>
        <w:tc>
          <w:tcPr>
            <w:tcW w:w="810" w:type="dxa"/>
          </w:tcPr>
          <w:p w:rsidRPr="001000D5" w:rsidR="00B808B3" w:rsidP="00581747" w:rsidRDefault="00B808B3" w14:paraId="383FBB56" w14:textId="77777777">
            <w:pPr>
              <w:pStyle w:val="BlockSSNoPt"/>
              <w:jc w:val="right"/>
              <w:rPr>
                <w:sz w:val="11"/>
                <w:szCs w:val="11"/>
              </w:rPr>
            </w:pPr>
            <w:r w:rsidRPr="001000D5">
              <w:rPr>
                <w:sz w:val="11"/>
                <w:szCs w:val="11"/>
              </w:rPr>
              <w:t>72.1</w:t>
            </w:r>
          </w:p>
        </w:tc>
        <w:tc>
          <w:tcPr>
            <w:tcW w:w="810" w:type="dxa"/>
          </w:tcPr>
          <w:p w:rsidRPr="001000D5" w:rsidR="00B808B3" w:rsidP="00581747" w:rsidRDefault="00B808B3" w14:paraId="0002AA36" w14:textId="77777777">
            <w:pPr>
              <w:pStyle w:val="BlockSSNoPt"/>
              <w:jc w:val="right"/>
              <w:rPr>
                <w:sz w:val="11"/>
                <w:szCs w:val="11"/>
              </w:rPr>
            </w:pPr>
            <w:r>
              <w:rPr>
                <w:sz w:val="11"/>
                <w:szCs w:val="11"/>
              </w:rPr>
              <w:t>47.6</w:t>
            </w:r>
            <w:r w:rsidRPr="001000D5">
              <w:rPr>
                <w:sz w:val="11"/>
                <w:szCs w:val="11"/>
              </w:rPr>
              <w:t>%</w:t>
            </w:r>
          </w:p>
        </w:tc>
        <w:tc>
          <w:tcPr>
            <w:tcW w:w="270" w:type="dxa"/>
          </w:tcPr>
          <w:p w:rsidRPr="001000D5" w:rsidR="00B808B3" w:rsidP="00581747" w:rsidRDefault="00B808B3" w14:paraId="0148968A" w14:textId="77777777">
            <w:pPr>
              <w:pStyle w:val="BlockSSNoPt"/>
              <w:jc w:val="right"/>
              <w:rPr>
                <w:sz w:val="11"/>
                <w:szCs w:val="11"/>
              </w:rPr>
            </w:pPr>
          </w:p>
        </w:tc>
        <w:tc>
          <w:tcPr>
            <w:tcW w:w="748" w:type="dxa"/>
          </w:tcPr>
          <w:p w:rsidRPr="001000D5" w:rsidR="00B808B3" w:rsidP="00581747" w:rsidRDefault="00B808B3" w14:paraId="58C3D319" w14:textId="77777777">
            <w:pPr>
              <w:pStyle w:val="BlockSSNoPt"/>
              <w:jc w:val="right"/>
              <w:rPr>
                <w:sz w:val="11"/>
                <w:szCs w:val="11"/>
                <w:u w:val="single"/>
              </w:rPr>
            </w:pPr>
            <w:r w:rsidRPr="001000D5">
              <w:rPr>
                <w:sz w:val="11"/>
                <w:szCs w:val="11"/>
              </w:rPr>
              <w:t xml:space="preserve"> 217.5 </w:t>
            </w:r>
          </w:p>
        </w:tc>
        <w:tc>
          <w:tcPr>
            <w:tcW w:w="900" w:type="dxa"/>
          </w:tcPr>
          <w:p w:rsidRPr="001000D5" w:rsidR="00B808B3" w:rsidP="00581747" w:rsidRDefault="00B808B3" w14:paraId="6B8638C6" w14:textId="77777777">
            <w:pPr>
              <w:pStyle w:val="BlockSSNoPt"/>
              <w:jc w:val="right"/>
              <w:rPr>
                <w:sz w:val="11"/>
                <w:szCs w:val="11"/>
              </w:rPr>
            </w:pPr>
            <w:r w:rsidRPr="001000D5">
              <w:rPr>
                <w:sz w:val="11"/>
                <w:szCs w:val="11"/>
              </w:rPr>
              <w:t>52.3%</w:t>
            </w:r>
          </w:p>
        </w:tc>
      </w:tr>
      <w:tr w:rsidRPr="00AE648D" w:rsidR="00B808B3" w:rsidTr="00581747" w14:paraId="1CDFA346" w14:textId="77777777">
        <w:trPr>
          <w:trHeight w:val="216"/>
          <w:jc w:val="center"/>
        </w:trPr>
        <w:tc>
          <w:tcPr>
            <w:tcW w:w="900" w:type="dxa"/>
          </w:tcPr>
          <w:p w:rsidRPr="001000D5" w:rsidR="00B808B3" w:rsidP="00581747" w:rsidRDefault="00B808B3" w14:paraId="18C0961A" w14:textId="77777777">
            <w:pPr>
              <w:pStyle w:val="BlockSSNoPt"/>
              <w:rPr>
                <w:sz w:val="11"/>
                <w:szCs w:val="11"/>
              </w:rPr>
            </w:pPr>
            <w:r w:rsidRPr="001000D5">
              <w:rPr>
                <w:sz w:val="11"/>
                <w:szCs w:val="11"/>
              </w:rPr>
              <w:t>70.1% - 80%</w:t>
            </w:r>
          </w:p>
        </w:tc>
        <w:tc>
          <w:tcPr>
            <w:tcW w:w="815" w:type="dxa"/>
            <w:gridSpan w:val="3"/>
          </w:tcPr>
          <w:p w:rsidRPr="001000D5" w:rsidR="00B808B3" w:rsidP="00581747" w:rsidRDefault="00B808B3" w14:paraId="2F4B1F8A" w14:textId="77777777">
            <w:pPr>
              <w:pStyle w:val="BlockSSNoPt"/>
              <w:jc w:val="right"/>
              <w:rPr>
                <w:sz w:val="11"/>
                <w:szCs w:val="11"/>
                <w:u w:val="single"/>
              </w:rPr>
            </w:pPr>
            <w:r w:rsidRPr="001000D5">
              <w:rPr>
                <w:sz w:val="11"/>
                <w:szCs w:val="11"/>
              </w:rPr>
              <w:t xml:space="preserve"> 18.7 </w:t>
            </w:r>
          </w:p>
        </w:tc>
        <w:tc>
          <w:tcPr>
            <w:tcW w:w="810" w:type="dxa"/>
            <w:gridSpan w:val="2"/>
          </w:tcPr>
          <w:p w:rsidRPr="001000D5" w:rsidR="00B808B3" w:rsidP="00581747" w:rsidRDefault="00B808B3" w14:paraId="7005BE88" w14:textId="77777777">
            <w:pPr>
              <w:pStyle w:val="BlockSSNoPt"/>
              <w:jc w:val="right"/>
              <w:rPr>
                <w:sz w:val="11"/>
                <w:szCs w:val="11"/>
                <w:u w:val="single"/>
              </w:rPr>
            </w:pPr>
            <w:r w:rsidRPr="001000D5">
              <w:rPr>
                <w:sz w:val="11"/>
                <w:szCs w:val="11"/>
              </w:rPr>
              <w:t>64.6%</w:t>
            </w:r>
          </w:p>
        </w:tc>
        <w:tc>
          <w:tcPr>
            <w:tcW w:w="270" w:type="dxa"/>
          </w:tcPr>
          <w:p w:rsidRPr="001000D5" w:rsidR="00B808B3" w:rsidP="00581747" w:rsidRDefault="00B808B3" w14:paraId="276B5999" w14:textId="77777777">
            <w:pPr>
              <w:pStyle w:val="BlockSSNoPt"/>
              <w:jc w:val="right"/>
              <w:rPr>
                <w:sz w:val="11"/>
                <w:szCs w:val="11"/>
              </w:rPr>
            </w:pPr>
          </w:p>
        </w:tc>
        <w:tc>
          <w:tcPr>
            <w:tcW w:w="720" w:type="dxa"/>
          </w:tcPr>
          <w:p w:rsidRPr="001000D5" w:rsidR="00B808B3" w:rsidP="00581747" w:rsidRDefault="00B808B3" w14:paraId="5C591587" w14:textId="77777777">
            <w:pPr>
              <w:pStyle w:val="BlockSSNoPt"/>
              <w:jc w:val="right"/>
              <w:rPr>
                <w:sz w:val="11"/>
                <w:szCs w:val="11"/>
                <w:u w:val="single"/>
              </w:rPr>
            </w:pPr>
            <w:r w:rsidRPr="001000D5">
              <w:rPr>
                <w:sz w:val="11"/>
                <w:szCs w:val="11"/>
              </w:rPr>
              <w:t xml:space="preserve"> 17.0 </w:t>
            </w:r>
          </w:p>
        </w:tc>
        <w:tc>
          <w:tcPr>
            <w:tcW w:w="810" w:type="dxa"/>
          </w:tcPr>
          <w:p w:rsidRPr="001000D5" w:rsidR="00B808B3" w:rsidP="00581747" w:rsidRDefault="00B808B3" w14:paraId="609BB8CD" w14:textId="77777777">
            <w:pPr>
              <w:pStyle w:val="BlockSSNoPt"/>
              <w:jc w:val="right"/>
              <w:rPr>
                <w:sz w:val="11"/>
                <w:szCs w:val="11"/>
                <w:u w:val="single"/>
              </w:rPr>
            </w:pPr>
            <w:r w:rsidRPr="001000D5">
              <w:rPr>
                <w:sz w:val="11"/>
                <w:szCs w:val="11"/>
              </w:rPr>
              <w:t>69.8%</w:t>
            </w:r>
          </w:p>
        </w:tc>
        <w:tc>
          <w:tcPr>
            <w:tcW w:w="270" w:type="dxa"/>
          </w:tcPr>
          <w:p w:rsidRPr="001000D5" w:rsidR="00B808B3" w:rsidP="00581747" w:rsidRDefault="00B808B3" w14:paraId="510D8BBB" w14:textId="77777777">
            <w:pPr>
              <w:pStyle w:val="BlockSSNoPt"/>
              <w:jc w:val="right"/>
              <w:rPr>
                <w:sz w:val="11"/>
                <w:szCs w:val="11"/>
              </w:rPr>
            </w:pPr>
          </w:p>
        </w:tc>
        <w:tc>
          <w:tcPr>
            <w:tcW w:w="810" w:type="dxa"/>
          </w:tcPr>
          <w:p w:rsidRPr="001000D5" w:rsidR="00B808B3" w:rsidP="00581747" w:rsidRDefault="00B808B3" w14:paraId="0FB6570F" w14:textId="77777777">
            <w:pPr>
              <w:pStyle w:val="BlockSSNoPt"/>
              <w:jc w:val="right"/>
              <w:rPr>
                <w:sz w:val="11"/>
                <w:szCs w:val="11"/>
                <w:u w:val="single"/>
              </w:rPr>
            </w:pPr>
            <w:r w:rsidRPr="001000D5">
              <w:rPr>
                <w:sz w:val="11"/>
                <w:szCs w:val="11"/>
              </w:rPr>
              <w:t xml:space="preserve"> 31.1 </w:t>
            </w:r>
          </w:p>
        </w:tc>
        <w:tc>
          <w:tcPr>
            <w:tcW w:w="810" w:type="dxa"/>
          </w:tcPr>
          <w:p w:rsidRPr="001000D5" w:rsidR="00B808B3" w:rsidP="00581747" w:rsidRDefault="00B808B3" w14:paraId="613690EC" w14:textId="77777777">
            <w:pPr>
              <w:pStyle w:val="BlockSSNoPt"/>
              <w:jc w:val="right"/>
              <w:rPr>
                <w:sz w:val="11"/>
                <w:szCs w:val="11"/>
                <w:u w:val="single"/>
              </w:rPr>
            </w:pPr>
            <w:r w:rsidRPr="001000D5">
              <w:rPr>
                <w:sz w:val="11"/>
                <w:szCs w:val="11"/>
              </w:rPr>
              <w:t>71.1%</w:t>
            </w:r>
          </w:p>
        </w:tc>
        <w:tc>
          <w:tcPr>
            <w:tcW w:w="270" w:type="dxa"/>
          </w:tcPr>
          <w:p w:rsidRPr="001000D5" w:rsidR="00B808B3" w:rsidP="00581747" w:rsidRDefault="00B808B3" w14:paraId="0562899A" w14:textId="77777777">
            <w:pPr>
              <w:pStyle w:val="BlockSSNoPt"/>
              <w:jc w:val="right"/>
              <w:rPr>
                <w:sz w:val="11"/>
                <w:szCs w:val="11"/>
              </w:rPr>
            </w:pPr>
          </w:p>
        </w:tc>
        <w:tc>
          <w:tcPr>
            <w:tcW w:w="810" w:type="dxa"/>
          </w:tcPr>
          <w:p w:rsidRPr="001000D5" w:rsidR="00B808B3" w:rsidP="00581747" w:rsidRDefault="00B808B3" w14:paraId="30458095" w14:textId="77777777">
            <w:pPr>
              <w:pStyle w:val="BlockSSNoPt"/>
              <w:jc w:val="right"/>
              <w:rPr>
                <w:sz w:val="11"/>
                <w:szCs w:val="11"/>
              </w:rPr>
            </w:pPr>
            <w:r w:rsidRPr="001000D5">
              <w:rPr>
                <w:sz w:val="11"/>
                <w:szCs w:val="11"/>
              </w:rPr>
              <w:t>57.1</w:t>
            </w:r>
          </w:p>
        </w:tc>
        <w:tc>
          <w:tcPr>
            <w:tcW w:w="810" w:type="dxa"/>
          </w:tcPr>
          <w:p w:rsidRPr="001000D5" w:rsidR="00B808B3" w:rsidP="00581747" w:rsidRDefault="00B808B3" w14:paraId="7562B156" w14:textId="77777777">
            <w:pPr>
              <w:pStyle w:val="BlockSSNoPt"/>
              <w:jc w:val="right"/>
              <w:rPr>
                <w:sz w:val="11"/>
                <w:szCs w:val="11"/>
              </w:rPr>
            </w:pPr>
            <w:r w:rsidRPr="001000D5">
              <w:rPr>
                <w:sz w:val="11"/>
                <w:szCs w:val="11"/>
              </w:rPr>
              <w:t>71.4%</w:t>
            </w:r>
          </w:p>
        </w:tc>
        <w:tc>
          <w:tcPr>
            <w:tcW w:w="270" w:type="dxa"/>
          </w:tcPr>
          <w:p w:rsidRPr="001000D5" w:rsidR="00B808B3" w:rsidP="00581747" w:rsidRDefault="00B808B3" w14:paraId="663A2EF2" w14:textId="77777777">
            <w:pPr>
              <w:pStyle w:val="BlockSSNoPt"/>
              <w:jc w:val="right"/>
              <w:rPr>
                <w:sz w:val="11"/>
                <w:szCs w:val="11"/>
              </w:rPr>
            </w:pPr>
          </w:p>
        </w:tc>
        <w:tc>
          <w:tcPr>
            <w:tcW w:w="810" w:type="dxa"/>
          </w:tcPr>
          <w:p w:rsidRPr="001000D5" w:rsidR="00B808B3" w:rsidP="00581747" w:rsidRDefault="00B808B3" w14:paraId="6127D9BF" w14:textId="77777777">
            <w:pPr>
              <w:pStyle w:val="BlockSSNoPt"/>
              <w:jc w:val="right"/>
              <w:rPr>
                <w:sz w:val="11"/>
                <w:szCs w:val="11"/>
              </w:rPr>
            </w:pPr>
            <w:r w:rsidRPr="001000D5">
              <w:rPr>
                <w:sz w:val="11"/>
                <w:szCs w:val="11"/>
              </w:rPr>
              <w:t>64.2</w:t>
            </w:r>
          </w:p>
        </w:tc>
        <w:tc>
          <w:tcPr>
            <w:tcW w:w="810" w:type="dxa"/>
          </w:tcPr>
          <w:p w:rsidRPr="001000D5" w:rsidR="00B808B3" w:rsidP="00581747" w:rsidRDefault="00B808B3" w14:paraId="50D95A70" w14:textId="77777777">
            <w:pPr>
              <w:pStyle w:val="BlockSSNoPt"/>
              <w:jc w:val="right"/>
              <w:rPr>
                <w:sz w:val="11"/>
                <w:szCs w:val="11"/>
              </w:rPr>
            </w:pPr>
            <w:r>
              <w:rPr>
                <w:sz w:val="11"/>
                <w:szCs w:val="11"/>
              </w:rPr>
              <w:t>62.5</w:t>
            </w:r>
            <w:r w:rsidRPr="001000D5">
              <w:rPr>
                <w:sz w:val="11"/>
                <w:szCs w:val="11"/>
              </w:rPr>
              <w:t>%</w:t>
            </w:r>
          </w:p>
        </w:tc>
        <w:tc>
          <w:tcPr>
            <w:tcW w:w="270" w:type="dxa"/>
          </w:tcPr>
          <w:p w:rsidRPr="001000D5" w:rsidR="00B808B3" w:rsidP="00581747" w:rsidRDefault="00B808B3" w14:paraId="3D6F63AA" w14:textId="77777777">
            <w:pPr>
              <w:pStyle w:val="BlockSSNoPt"/>
              <w:jc w:val="right"/>
              <w:rPr>
                <w:sz w:val="11"/>
                <w:szCs w:val="11"/>
              </w:rPr>
            </w:pPr>
          </w:p>
        </w:tc>
        <w:tc>
          <w:tcPr>
            <w:tcW w:w="748" w:type="dxa"/>
          </w:tcPr>
          <w:p w:rsidRPr="001000D5" w:rsidR="00B808B3" w:rsidP="00581747" w:rsidRDefault="00B808B3" w14:paraId="754F3697" w14:textId="77777777">
            <w:pPr>
              <w:pStyle w:val="BlockSSNoPt"/>
              <w:jc w:val="right"/>
              <w:rPr>
                <w:sz w:val="11"/>
                <w:szCs w:val="11"/>
                <w:u w:val="single"/>
              </w:rPr>
            </w:pPr>
            <w:r w:rsidRPr="001000D5">
              <w:rPr>
                <w:sz w:val="11"/>
                <w:szCs w:val="11"/>
              </w:rPr>
              <w:t xml:space="preserve"> 188.2 </w:t>
            </w:r>
          </w:p>
        </w:tc>
        <w:tc>
          <w:tcPr>
            <w:tcW w:w="900" w:type="dxa"/>
          </w:tcPr>
          <w:p w:rsidRPr="001000D5" w:rsidR="00B808B3" w:rsidP="00581747" w:rsidRDefault="00B808B3" w14:paraId="7AEE23C8" w14:textId="77777777">
            <w:pPr>
              <w:pStyle w:val="BlockSSNoPt"/>
              <w:jc w:val="right"/>
              <w:rPr>
                <w:sz w:val="11"/>
                <w:szCs w:val="11"/>
              </w:rPr>
            </w:pPr>
            <w:r w:rsidRPr="001000D5">
              <w:rPr>
                <w:sz w:val="11"/>
                <w:szCs w:val="11"/>
              </w:rPr>
              <w:t>67.4%</w:t>
            </w:r>
          </w:p>
        </w:tc>
      </w:tr>
      <w:tr w:rsidRPr="00AE648D" w:rsidR="00B808B3" w:rsidTr="00581747" w14:paraId="70EAA714" w14:textId="77777777">
        <w:trPr>
          <w:trHeight w:val="216"/>
          <w:jc w:val="center"/>
        </w:trPr>
        <w:tc>
          <w:tcPr>
            <w:tcW w:w="900" w:type="dxa"/>
          </w:tcPr>
          <w:p w:rsidRPr="001000D5" w:rsidR="00B808B3" w:rsidP="00581747" w:rsidRDefault="00B808B3" w14:paraId="4A877265" w14:textId="77777777">
            <w:pPr>
              <w:pStyle w:val="BlockSSNoPt"/>
              <w:rPr>
                <w:sz w:val="11"/>
                <w:szCs w:val="11"/>
              </w:rPr>
            </w:pPr>
            <w:r w:rsidRPr="001000D5">
              <w:rPr>
                <w:sz w:val="11"/>
                <w:szCs w:val="11"/>
              </w:rPr>
              <w:t>80.1% - 90%</w:t>
            </w:r>
          </w:p>
        </w:tc>
        <w:tc>
          <w:tcPr>
            <w:tcW w:w="815" w:type="dxa"/>
            <w:gridSpan w:val="3"/>
          </w:tcPr>
          <w:p w:rsidRPr="001000D5" w:rsidR="00B808B3" w:rsidP="00581747" w:rsidRDefault="00B808B3" w14:paraId="493C6ED9" w14:textId="77777777">
            <w:pPr>
              <w:pStyle w:val="BlockSSNoPt"/>
              <w:jc w:val="right"/>
              <w:rPr>
                <w:sz w:val="11"/>
                <w:szCs w:val="11"/>
                <w:u w:val="single"/>
              </w:rPr>
            </w:pPr>
            <w:r w:rsidRPr="001000D5">
              <w:rPr>
                <w:sz w:val="11"/>
                <w:szCs w:val="11"/>
              </w:rPr>
              <w:t xml:space="preserve"> 20.2 </w:t>
            </w:r>
          </w:p>
        </w:tc>
        <w:tc>
          <w:tcPr>
            <w:tcW w:w="810" w:type="dxa"/>
            <w:gridSpan w:val="2"/>
          </w:tcPr>
          <w:p w:rsidRPr="001000D5" w:rsidR="00B808B3" w:rsidP="00581747" w:rsidRDefault="00B808B3" w14:paraId="2E7552B9" w14:textId="77777777">
            <w:pPr>
              <w:pStyle w:val="BlockSSNoPt"/>
              <w:jc w:val="right"/>
              <w:rPr>
                <w:sz w:val="11"/>
                <w:szCs w:val="11"/>
                <w:u w:val="single"/>
              </w:rPr>
            </w:pPr>
            <w:r w:rsidRPr="001000D5">
              <w:rPr>
                <w:sz w:val="11"/>
                <w:szCs w:val="11"/>
              </w:rPr>
              <w:t>81.0%</w:t>
            </w:r>
          </w:p>
        </w:tc>
        <w:tc>
          <w:tcPr>
            <w:tcW w:w="270" w:type="dxa"/>
          </w:tcPr>
          <w:p w:rsidRPr="001000D5" w:rsidR="00B808B3" w:rsidP="00581747" w:rsidRDefault="00B808B3" w14:paraId="65F35F84" w14:textId="77777777">
            <w:pPr>
              <w:pStyle w:val="BlockSSNoPt"/>
              <w:jc w:val="right"/>
              <w:rPr>
                <w:sz w:val="11"/>
                <w:szCs w:val="11"/>
              </w:rPr>
            </w:pPr>
          </w:p>
        </w:tc>
        <w:tc>
          <w:tcPr>
            <w:tcW w:w="720" w:type="dxa"/>
          </w:tcPr>
          <w:p w:rsidRPr="001000D5" w:rsidR="00B808B3" w:rsidP="00581747" w:rsidRDefault="00B808B3" w14:paraId="44A442C3" w14:textId="77777777">
            <w:pPr>
              <w:pStyle w:val="BlockSSNoPt"/>
              <w:jc w:val="right"/>
              <w:rPr>
                <w:sz w:val="11"/>
                <w:szCs w:val="11"/>
                <w:u w:val="single"/>
              </w:rPr>
            </w:pPr>
            <w:r w:rsidRPr="001000D5">
              <w:rPr>
                <w:sz w:val="11"/>
                <w:szCs w:val="11"/>
              </w:rPr>
              <w:t xml:space="preserve"> 15.1 </w:t>
            </w:r>
          </w:p>
        </w:tc>
        <w:tc>
          <w:tcPr>
            <w:tcW w:w="810" w:type="dxa"/>
          </w:tcPr>
          <w:p w:rsidRPr="001000D5" w:rsidR="00B808B3" w:rsidP="00581747" w:rsidRDefault="00B808B3" w14:paraId="6CA21DAF" w14:textId="77777777">
            <w:pPr>
              <w:pStyle w:val="BlockSSNoPt"/>
              <w:jc w:val="right"/>
              <w:rPr>
                <w:sz w:val="11"/>
                <w:szCs w:val="11"/>
                <w:u w:val="single"/>
              </w:rPr>
            </w:pPr>
            <w:r w:rsidRPr="001000D5">
              <w:rPr>
                <w:sz w:val="11"/>
                <w:szCs w:val="11"/>
              </w:rPr>
              <w:t>83.5%</w:t>
            </w:r>
          </w:p>
        </w:tc>
        <w:tc>
          <w:tcPr>
            <w:tcW w:w="270" w:type="dxa"/>
          </w:tcPr>
          <w:p w:rsidRPr="001000D5" w:rsidR="00B808B3" w:rsidP="00581747" w:rsidRDefault="00B808B3" w14:paraId="2259C387" w14:textId="77777777">
            <w:pPr>
              <w:pStyle w:val="BlockSSNoPt"/>
              <w:jc w:val="right"/>
              <w:rPr>
                <w:sz w:val="11"/>
                <w:szCs w:val="11"/>
              </w:rPr>
            </w:pPr>
          </w:p>
        </w:tc>
        <w:tc>
          <w:tcPr>
            <w:tcW w:w="810" w:type="dxa"/>
          </w:tcPr>
          <w:p w:rsidRPr="001000D5" w:rsidR="00B808B3" w:rsidP="00581747" w:rsidRDefault="00B808B3" w14:paraId="68AEDCBF" w14:textId="77777777">
            <w:pPr>
              <w:pStyle w:val="BlockSSNoPt"/>
              <w:jc w:val="right"/>
              <w:rPr>
                <w:sz w:val="11"/>
                <w:szCs w:val="11"/>
                <w:u w:val="single"/>
              </w:rPr>
            </w:pPr>
            <w:r w:rsidRPr="001000D5">
              <w:rPr>
                <w:sz w:val="11"/>
                <w:szCs w:val="11"/>
              </w:rPr>
              <w:t xml:space="preserve"> 19.7 </w:t>
            </w:r>
          </w:p>
        </w:tc>
        <w:tc>
          <w:tcPr>
            <w:tcW w:w="810" w:type="dxa"/>
          </w:tcPr>
          <w:p w:rsidRPr="001000D5" w:rsidR="00B808B3" w:rsidP="00581747" w:rsidRDefault="00B808B3" w14:paraId="175768E6" w14:textId="77777777">
            <w:pPr>
              <w:pStyle w:val="BlockSSNoPt"/>
              <w:jc w:val="right"/>
              <w:rPr>
                <w:sz w:val="11"/>
                <w:szCs w:val="11"/>
                <w:u w:val="single"/>
              </w:rPr>
            </w:pPr>
            <w:r w:rsidRPr="001000D5">
              <w:rPr>
                <w:sz w:val="11"/>
                <w:szCs w:val="11"/>
              </w:rPr>
              <w:t>81.1%</w:t>
            </w:r>
          </w:p>
        </w:tc>
        <w:tc>
          <w:tcPr>
            <w:tcW w:w="270" w:type="dxa"/>
          </w:tcPr>
          <w:p w:rsidRPr="001000D5" w:rsidR="00B808B3" w:rsidP="00581747" w:rsidRDefault="00B808B3" w14:paraId="0F600D69" w14:textId="77777777">
            <w:pPr>
              <w:pStyle w:val="BlockSSNoPt"/>
              <w:jc w:val="right"/>
              <w:rPr>
                <w:sz w:val="11"/>
                <w:szCs w:val="11"/>
              </w:rPr>
            </w:pPr>
          </w:p>
        </w:tc>
        <w:tc>
          <w:tcPr>
            <w:tcW w:w="810" w:type="dxa"/>
          </w:tcPr>
          <w:p w:rsidRPr="001000D5" w:rsidR="00B808B3" w:rsidP="00581747" w:rsidRDefault="00B808B3" w14:paraId="72EF1E0D" w14:textId="77777777">
            <w:pPr>
              <w:pStyle w:val="BlockSSNoPt"/>
              <w:jc w:val="right"/>
              <w:rPr>
                <w:sz w:val="11"/>
                <w:szCs w:val="11"/>
              </w:rPr>
            </w:pPr>
            <w:r w:rsidRPr="001000D5">
              <w:rPr>
                <w:sz w:val="11"/>
                <w:szCs w:val="11"/>
              </w:rPr>
              <w:t>50.5</w:t>
            </w:r>
          </w:p>
        </w:tc>
        <w:tc>
          <w:tcPr>
            <w:tcW w:w="810" w:type="dxa"/>
          </w:tcPr>
          <w:p w:rsidRPr="001000D5" w:rsidR="00B808B3" w:rsidP="00581747" w:rsidRDefault="00B808B3" w14:paraId="5A60DFAB" w14:textId="77777777">
            <w:pPr>
              <w:pStyle w:val="BlockSSNoPt"/>
              <w:jc w:val="right"/>
              <w:rPr>
                <w:sz w:val="11"/>
                <w:szCs w:val="11"/>
              </w:rPr>
            </w:pPr>
            <w:r w:rsidRPr="001000D5">
              <w:rPr>
                <w:sz w:val="11"/>
                <w:szCs w:val="11"/>
              </w:rPr>
              <w:t>84.6%</w:t>
            </w:r>
          </w:p>
        </w:tc>
        <w:tc>
          <w:tcPr>
            <w:tcW w:w="270" w:type="dxa"/>
          </w:tcPr>
          <w:p w:rsidRPr="001000D5" w:rsidR="00B808B3" w:rsidP="00581747" w:rsidRDefault="00B808B3" w14:paraId="51718234" w14:textId="77777777">
            <w:pPr>
              <w:pStyle w:val="BlockSSNoPt"/>
              <w:jc w:val="right"/>
              <w:rPr>
                <w:sz w:val="11"/>
                <w:szCs w:val="11"/>
              </w:rPr>
            </w:pPr>
          </w:p>
        </w:tc>
        <w:tc>
          <w:tcPr>
            <w:tcW w:w="810" w:type="dxa"/>
          </w:tcPr>
          <w:p w:rsidRPr="001000D5" w:rsidR="00B808B3" w:rsidP="00581747" w:rsidRDefault="00B808B3" w14:paraId="0A9CF1FD" w14:textId="77777777">
            <w:pPr>
              <w:pStyle w:val="BlockSSNoPt"/>
              <w:jc w:val="right"/>
              <w:rPr>
                <w:sz w:val="11"/>
                <w:szCs w:val="11"/>
              </w:rPr>
            </w:pPr>
            <w:r w:rsidRPr="001000D5">
              <w:rPr>
                <w:sz w:val="11"/>
                <w:szCs w:val="11"/>
              </w:rPr>
              <w:t>69.2</w:t>
            </w:r>
          </w:p>
        </w:tc>
        <w:tc>
          <w:tcPr>
            <w:tcW w:w="810" w:type="dxa"/>
          </w:tcPr>
          <w:p w:rsidRPr="001000D5" w:rsidR="00B808B3" w:rsidP="00581747" w:rsidRDefault="00B808B3" w14:paraId="41FC3C5E" w14:textId="77777777">
            <w:pPr>
              <w:pStyle w:val="BlockSSNoPt"/>
              <w:jc w:val="right"/>
              <w:rPr>
                <w:sz w:val="11"/>
                <w:szCs w:val="11"/>
              </w:rPr>
            </w:pPr>
            <w:r>
              <w:rPr>
                <w:sz w:val="11"/>
                <w:szCs w:val="11"/>
              </w:rPr>
              <w:t>78.5</w:t>
            </w:r>
            <w:r w:rsidRPr="001000D5">
              <w:rPr>
                <w:sz w:val="11"/>
                <w:szCs w:val="11"/>
              </w:rPr>
              <w:t>%</w:t>
            </w:r>
          </w:p>
        </w:tc>
        <w:tc>
          <w:tcPr>
            <w:tcW w:w="270" w:type="dxa"/>
          </w:tcPr>
          <w:p w:rsidRPr="001000D5" w:rsidR="00B808B3" w:rsidP="00581747" w:rsidRDefault="00B808B3" w14:paraId="04A4CA9A" w14:textId="77777777">
            <w:pPr>
              <w:pStyle w:val="BlockSSNoPt"/>
              <w:jc w:val="right"/>
              <w:rPr>
                <w:sz w:val="11"/>
                <w:szCs w:val="11"/>
              </w:rPr>
            </w:pPr>
          </w:p>
        </w:tc>
        <w:tc>
          <w:tcPr>
            <w:tcW w:w="748" w:type="dxa"/>
          </w:tcPr>
          <w:p w:rsidRPr="001000D5" w:rsidR="00B808B3" w:rsidP="00581747" w:rsidRDefault="00B808B3" w14:paraId="40FD315D" w14:textId="77777777">
            <w:pPr>
              <w:pStyle w:val="BlockSSNoPt"/>
              <w:jc w:val="right"/>
              <w:rPr>
                <w:sz w:val="11"/>
                <w:szCs w:val="11"/>
                <w:u w:val="single"/>
              </w:rPr>
            </w:pPr>
            <w:r w:rsidRPr="001000D5">
              <w:rPr>
                <w:sz w:val="11"/>
                <w:szCs w:val="11"/>
              </w:rPr>
              <w:t xml:space="preserve"> 174.6 </w:t>
            </w:r>
          </w:p>
        </w:tc>
        <w:tc>
          <w:tcPr>
            <w:tcW w:w="900" w:type="dxa"/>
          </w:tcPr>
          <w:p w:rsidRPr="001000D5" w:rsidR="00B808B3" w:rsidP="00581747" w:rsidRDefault="00B808B3" w14:paraId="4C5B9832" w14:textId="77777777">
            <w:pPr>
              <w:pStyle w:val="BlockSSNoPt"/>
              <w:jc w:val="right"/>
              <w:rPr>
                <w:sz w:val="11"/>
                <w:szCs w:val="11"/>
              </w:rPr>
            </w:pPr>
            <w:r w:rsidRPr="001000D5">
              <w:rPr>
                <w:sz w:val="11"/>
                <w:szCs w:val="11"/>
              </w:rPr>
              <w:t>81.4%</w:t>
            </w:r>
          </w:p>
        </w:tc>
      </w:tr>
      <w:tr w:rsidRPr="00AE648D" w:rsidR="00B808B3" w:rsidTr="00581747" w14:paraId="6957554A" w14:textId="77777777">
        <w:trPr>
          <w:trHeight w:val="216"/>
          <w:jc w:val="center"/>
        </w:trPr>
        <w:tc>
          <w:tcPr>
            <w:tcW w:w="900" w:type="dxa"/>
          </w:tcPr>
          <w:p w:rsidRPr="001000D5" w:rsidR="00B808B3" w:rsidP="00581747" w:rsidRDefault="00B808B3" w14:paraId="7518A033" w14:textId="77777777">
            <w:pPr>
              <w:pStyle w:val="BlockSSNoPt"/>
              <w:rPr>
                <w:sz w:val="11"/>
                <w:szCs w:val="11"/>
              </w:rPr>
            </w:pPr>
            <w:r w:rsidRPr="001000D5">
              <w:rPr>
                <w:sz w:val="11"/>
                <w:szCs w:val="11"/>
              </w:rPr>
              <w:t>90.1% - 100%</w:t>
            </w:r>
          </w:p>
        </w:tc>
        <w:tc>
          <w:tcPr>
            <w:tcW w:w="815" w:type="dxa"/>
            <w:gridSpan w:val="3"/>
          </w:tcPr>
          <w:p w:rsidRPr="001000D5" w:rsidR="00B808B3" w:rsidP="00581747" w:rsidRDefault="00B808B3" w14:paraId="4CC6C122" w14:textId="77777777">
            <w:pPr>
              <w:pStyle w:val="BlockSSNoPt"/>
              <w:jc w:val="right"/>
              <w:rPr>
                <w:sz w:val="11"/>
                <w:szCs w:val="11"/>
                <w:u w:val="single"/>
              </w:rPr>
            </w:pPr>
            <w:r w:rsidRPr="001000D5">
              <w:rPr>
                <w:sz w:val="11"/>
                <w:szCs w:val="11"/>
              </w:rPr>
              <w:t xml:space="preserve"> 11.8 </w:t>
            </w:r>
          </w:p>
        </w:tc>
        <w:tc>
          <w:tcPr>
            <w:tcW w:w="810" w:type="dxa"/>
            <w:gridSpan w:val="2"/>
          </w:tcPr>
          <w:p w:rsidRPr="001000D5" w:rsidR="00B808B3" w:rsidP="00581747" w:rsidRDefault="00B808B3" w14:paraId="7FEC11E2" w14:textId="77777777">
            <w:pPr>
              <w:pStyle w:val="BlockSSNoPt"/>
              <w:jc w:val="right"/>
              <w:rPr>
                <w:sz w:val="11"/>
                <w:szCs w:val="11"/>
                <w:u w:val="single"/>
              </w:rPr>
            </w:pPr>
            <w:r w:rsidRPr="001000D5">
              <w:rPr>
                <w:sz w:val="11"/>
                <w:szCs w:val="11"/>
              </w:rPr>
              <w:t>90.6%</w:t>
            </w:r>
          </w:p>
        </w:tc>
        <w:tc>
          <w:tcPr>
            <w:tcW w:w="270" w:type="dxa"/>
          </w:tcPr>
          <w:p w:rsidRPr="001000D5" w:rsidR="00B808B3" w:rsidP="00581747" w:rsidRDefault="00B808B3" w14:paraId="1E7717D2" w14:textId="77777777">
            <w:pPr>
              <w:pStyle w:val="BlockSSNoPt"/>
              <w:jc w:val="right"/>
              <w:rPr>
                <w:sz w:val="11"/>
                <w:szCs w:val="11"/>
              </w:rPr>
            </w:pPr>
          </w:p>
        </w:tc>
        <w:tc>
          <w:tcPr>
            <w:tcW w:w="720" w:type="dxa"/>
          </w:tcPr>
          <w:p w:rsidRPr="001000D5" w:rsidR="00B808B3" w:rsidP="00581747" w:rsidRDefault="00B808B3" w14:paraId="59D98B8F" w14:textId="77777777">
            <w:pPr>
              <w:pStyle w:val="BlockSSNoPt"/>
              <w:jc w:val="right"/>
              <w:rPr>
                <w:sz w:val="11"/>
                <w:szCs w:val="11"/>
                <w:u w:val="single"/>
              </w:rPr>
            </w:pPr>
            <w:r w:rsidRPr="001000D5">
              <w:rPr>
                <w:sz w:val="11"/>
                <w:szCs w:val="11"/>
              </w:rPr>
              <w:t xml:space="preserve"> 10.8 </w:t>
            </w:r>
          </w:p>
        </w:tc>
        <w:tc>
          <w:tcPr>
            <w:tcW w:w="810" w:type="dxa"/>
          </w:tcPr>
          <w:p w:rsidRPr="001000D5" w:rsidR="00B808B3" w:rsidP="00581747" w:rsidRDefault="00B808B3" w14:paraId="09CBD69A" w14:textId="77777777">
            <w:pPr>
              <w:pStyle w:val="BlockSSNoPt"/>
              <w:jc w:val="right"/>
              <w:rPr>
                <w:sz w:val="11"/>
                <w:szCs w:val="11"/>
                <w:u w:val="single"/>
              </w:rPr>
            </w:pPr>
            <w:r w:rsidRPr="001000D5">
              <w:rPr>
                <w:sz w:val="11"/>
                <w:szCs w:val="11"/>
              </w:rPr>
              <w:t>93.1%</w:t>
            </w:r>
          </w:p>
        </w:tc>
        <w:tc>
          <w:tcPr>
            <w:tcW w:w="270" w:type="dxa"/>
          </w:tcPr>
          <w:p w:rsidRPr="001000D5" w:rsidR="00B808B3" w:rsidP="00581747" w:rsidRDefault="00B808B3" w14:paraId="6BF489C4" w14:textId="77777777">
            <w:pPr>
              <w:pStyle w:val="BlockSSNoPt"/>
              <w:jc w:val="right"/>
              <w:rPr>
                <w:sz w:val="11"/>
                <w:szCs w:val="11"/>
              </w:rPr>
            </w:pPr>
          </w:p>
        </w:tc>
        <w:tc>
          <w:tcPr>
            <w:tcW w:w="810" w:type="dxa"/>
          </w:tcPr>
          <w:p w:rsidRPr="001000D5" w:rsidR="00B808B3" w:rsidP="00581747" w:rsidRDefault="00B808B3" w14:paraId="1F560A68" w14:textId="77777777">
            <w:pPr>
              <w:pStyle w:val="BlockSSNoPt"/>
              <w:jc w:val="right"/>
              <w:rPr>
                <w:sz w:val="11"/>
                <w:szCs w:val="11"/>
                <w:u w:val="single"/>
              </w:rPr>
            </w:pPr>
            <w:r w:rsidRPr="001000D5">
              <w:rPr>
                <w:sz w:val="11"/>
                <w:szCs w:val="11"/>
              </w:rPr>
              <w:t xml:space="preserve"> 19.9 </w:t>
            </w:r>
          </w:p>
        </w:tc>
        <w:tc>
          <w:tcPr>
            <w:tcW w:w="810" w:type="dxa"/>
          </w:tcPr>
          <w:p w:rsidRPr="001000D5" w:rsidR="00B808B3" w:rsidP="00581747" w:rsidRDefault="00B808B3" w14:paraId="42DA0854" w14:textId="77777777">
            <w:pPr>
              <w:pStyle w:val="BlockSSNoPt"/>
              <w:jc w:val="right"/>
              <w:rPr>
                <w:sz w:val="11"/>
                <w:szCs w:val="11"/>
                <w:u w:val="single"/>
              </w:rPr>
            </w:pPr>
            <w:r w:rsidRPr="001000D5">
              <w:rPr>
                <w:sz w:val="11"/>
                <w:szCs w:val="11"/>
              </w:rPr>
              <w:t>91.2%</w:t>
            </w:r>
          </w:p>
        </w:tc>
        <w:tc>
          <w:tcPr>
            <w:tcW w:w="270" w:type="dxa"/>
          </w:tcPr>
          <w:p w:rsidRPr="001000D5" w:rsidR="00B808B3" w:rsidP="00581747" w:rsidRDefault="00B808B3" w14:paraId="417E6278" w14:textId="77777777">
            <w:pPr>
              <w:pStyle w:val="BlockSSNoPt"/>
              <w:jc w:val="right"/>
              <w:rPr>
                <w:sz w:val="11"/>
                <w:szCs w:val="11"/>
              </w:rPr>
            </w:pPr>
          </w:p>
        </w:tc>
        <w:tc>
          <w:tcPr>
            <w:tcW w:w="810" w:type="dxa"/>
          </w:tcPr>
          <w:p w:rsidRPr="001000D5" w:rsidR="00B808B3" w:rsidP="00581747" w:rsidRDefault="00B808B3" w14:paraId="28947B46" w14:textId="77777777">
            <w:pPr>
              <w:pStyle w:val="BlockSSNoPt"/>
              <w:jc w:val="right"/>
              <w:rPr>
                <w:sz w:val="11"/>
                <w:szCs w:val="11"/>
              </w:rPr>
            </w:pPr>
            <w:r w:rsidRPr="001000D5">
              <w:rPr>
                <w:sz w:val="11"/>
                <w:szCs w:val="11"/>
              </w:rPr>
              <w:t>32.4</w:t>
            </w:r>
          </w:p>
        </w:tc>
        <w:tc>
          <w:tcPr>
            <w:tcW w:w="810" w:type="dxa"/>
          </w:tcPr>
          <w:p w:rsidRPr="001000D5" w:rsidR="00B808B3" w:rsidP="00581747" w:rsidRDefault="00B808B3" w14:paraId="6349F290" w14:textId="77777777">
            <w:pPr>
              <w:pStyle w:val="BlockSSNoPt"/>
              <w:jc w:val="right"/>
              <w:rPr>
                <w:sz w:val="11"/>
                <w:szCs w:val="11"/>
              </w:rPr>
            </w:pPr>
            <w:r w:rsidRPr="001000D5">
              <w:rPr>
                <w:sz w:val="11"/>
                <w:szCs w:val="11"/>
              </w:rPr>
              <w:t>93.0%</w:t>
            </w:r>
          </w:p>
        </w:tc>
        <w:tc>
          <w:tcPr>
            <w:tcW w:w="270" w:type="dxa"/>
          </w:tcPr>
          <w:p w:rsidRPr="001000D5" w:rsidR="00B808B3" w:rsidP="00581747" w:rsidRDefault="00B808B3" w14:paraId="26EB58C1" w14:textId="77777777">
            <w:pPr>
              <w:pStyle w:val="BlockSSNoPt"/>
              <w:jc w:val="right"/>
              <w:rPr>
                <w:sz w:val="11"/>
                <w:szCs w:val="11"/>
              </w:rPr>
            </w:pPr>
          </w:p>
        </w:tc>
        <w:tc>
          <w:tcPr>
            <w:tcW w:w="810" w:type="dxa"/>
          </w:tcPr>
          <w:p w:rsidRPr="001000D5" w:rsidR="00B808B3" w:rsidP="00581747" w:rsidRDefault="00B808B3" w14:paraId="2DB8A0CF" w14:textId="77777777">
            <w:pPr>
              <w:pStyle w:val="BlockSSNoPt"/>
              <w:jc w:val="right"/>
              <w:rPr>
                <w:sz w:val="11"/>
                <w:szCs w:val="11"/>
              </w:rPr>
            </w:pPr>
            <w:r w:rsidRPr="001000D5">
              <w:rPr>
                <w:sz w:val="11"/>
                <w:szCs w:val="11"/>
              </w:rPr>
              <w:t>50.7</w:t>
            </w:r>
          </w:p>
        </w:tc>
        <w:tc>
          <w:tcPr>
            <w:tcW w:w="810" w:type="dxa"/>
          </w:tcPr>
          <w:p w:rsidRPr="001000D5" w:rsidR="00B808B3" w:rsidP="00581747" w:rsidRDefault="00B808B3" w14:paraId="1EFDDD9F" w14:textId="77777777">
            <w:pPr>
              <w:pStyle w:val="BlockSSNoPt"/>
              <w:jc w:val="right"/>
              <w:rPr>
                <w:sz w:val="11"/>
                <w:szCs w:val="11"/>
              </w:rPr>
            </w:pPr>
            <w:r>
              <w:rPr>
                <w:sz w:val="11"/>
                <w:szCs w:val="11"/>
              </w:rPr>
              <w:t>90.2</w:t>
            </w:r>
            <w:r w:rsidRPr="001000D5">
              <w:rPr>
                <w:sz w:val="11"/>
                <w:szCs w:val="11"/>
              </w:rPr>
              <w:t>%</w:t>
            </w:r>
          </w:p>
        </w:tc>
        <w:tc>
          <w:tcPr>
            <w:tcW w:w="270" w:type="dxa"/>
          </w:tcPr>
          <w:p w:rsidRPr="001000D5" w:rsidR="00B808B3" w:rsidP="00581747" w:rsidRDefault="00B808B3" w14:paraId="0C2BEDFD" w14:textId="77777777">
            <w:pPr>
              <w:pStyle w:val="BlockSSNoPt"/>
              <w:jc w:val="right"/>
              <w:rPr>
                <w:sz w:val="11"/>
                <w:szCs w:val="11"/>
              </w:rPr>
            </w:pPr>
          </w:p>
        </w:tc>
        <w:tc>
          <w:tcPr>
            <w:tcW w:w="748" w:type="dxa"/>
          </w:tcPr>
          <w:p w:rsidRPr="001000D5" w:rsidR="00B808B3" w:rsidP="00581747" w:rsidRDefault="00B808B3" w14:paraId="0C55B27E" w14:textId="77777777">
            <w:pPr>
              <w:pStyle w:val="BlockSSNoPt"/>
              <w:jc w:val="right"/>
              <w:rPr>
                <w:sz w:val="11"/>
                <w:szCs w:val="11"/>
                <w:u w:val="single"/>
              </w:rPr>
            </w:pPr>
            <w:r w:rsidRPr="001000D5">
              <w:rPr>
                <w:sz w:val="11"/>
                <w:szCs w:val="11"/>
              </w:rPr>
              <w:t xml:space="preserve"> 125.6 </w:t>
            </w:r>
          </w:p>
        </w:tc>
        <w:tc>
          <w:tcPr>
            <w:tcW w:w="900" w:type="dxa"/>
          </w:tcPr>
          <w:p w:rsidRPr="001000D5" w:rsidR="00B808B3" w:rsidP="00581747" w:rsidRDefault="00B808B3" w14:paraId="4EAD4C5C" w14:textId="77777777">
            <w:pPr>
              <w:pStyle w:val="BlockSSNoPt"/>
              <w:jc w:val="right"/>
              <w:rPr>
                <w:sz w:val="11"/>
                <w:szCs w:val="11"/>
              </w:rPr>
            </w:pPr>
            <w:r w:rsidRPr="001000D5">
              <w:rPr>
                <w:sz w:val="11"/>
                <w:szCs w:val="11"/>
              </w:rPr>
              <w:t>91.5%</w:t>
            </w:r>
          </w:p>
        </w:tc>
      </w:tr>
      <w:tr w:rsidRPr="00AE648D" w:rsidR="00B808B3" w:rsidTr="00581747" w14:paraId="42182E87" w14:textId="77777777">
        <w:trPr>
          <w:trHeight w:val="216"/>
          <w:jc w:val="center"/>
        </w:trPr>
        <w:tc>
          <w:tcPr>
            <w:tcW w:w="900" w:type="dxa"/>
          </w:tcPr>
          <w:p w:rsidRPr="001000D5" w:rsidR="00B808B3" w:rsidP="00581747" w:rsidRDefault="00B808B3" w14:paraId="566FD8FD" w14:textId="77777777">
            <w:pPr>
              <w:pStyle w:val="BlockSSNoPt"/>
              <w:rPr>
                <w:sz w:val="11"/>
                <w:szCs w:val="11"/>
              </w:rPr>
            </w:pPr>
            <w:r w:rsidRPr="001000D5">
              <w:rPr>
                <w:sz w:val="11"/>
                <w:szCs w:val="11"/>
              </w:rPr>
              <w:t>100.1% - 110%</w:t>
            </w:r>
          </w:p>
        </w:tc>
        <w:tc>
          <w:tcPr>
            <w:tcW w:w="815" w:type="dxa"/>
            <w:gridSpan w:val="3"/>
          </w:tcPr>
          <w:p w:rsidRPr="001000D5" w:rsidR="00B808B3" w:rsidP="00581747" w:rsidRDefault="00B808B3" w14:paraId="1BE44B56" w14:textId="77777777">
            <w:pPr>
              <w:pStyle w:val="BlockSSNoPt"/>
              <w:jc w:val="right"/>
              <w:rPr>
                <w:sz w:val="11"/>
                <w:szCs w:val="11"/>
                <w:u w:val="single"/>
              </w:rPr>
            </w:pPr>
            <w:r w:rsidRPr="001000D5">
              <w:rPr>
                <w:sz w:val="11"/>
                <w:szCs w:val="11"/>
              </w:rPr>
              <w:t xml:space="preserve"> 7.1 </w:t>
            </w:r>
          </w:p>
        </w:tc>
        <w:tc>
          <w:tcPr>
            <w:tcW w:w="810" w:type="dxa"/>
            <w:gridSpan w:val="2"/>
          </w:tcPr>
          <w:p w:rsidRPr="001000D5" w:rsidR="00B808B3" w:rsidP="00581747" w:rsidRDefault="00B808B3" w14:paraId="202AEB86" w14:textId="77777777">
            <w:pPr>
              <w:pStyle w:val="BlockSSNoPt"/>
              <w:jc w:val="right"/>
              <w:rPr>
                <w:sz w:val="11"/>
                <w:szCs w:val="11"/>
                <w:u w:val="single"/>
              </w:rPr>
            </w:pPr>
            <w:r w:rsidRPr="001000D5">
              <w:rPr>
                <w:sz w:val="11"/>
                <w:szCs w:val="11"/>
              </w:rPr>
              <w:t>96.4%</w:t>
            </w:r>
          </w:p>
        </w:tc>
        <w:tc>
          <w:tcPr>
            <w:tcW w:w="270" w:type="dxa"/>
          </w:tcPr>
          <w:p w:rsidRPr="001000D5" w:rsidR="00B808B3" w:rsidP="00581747" w:rsidRDefault="00B808B3" w14:paraId="299A3FE2" w14:textId="77777777">
            <w:pPr>
              <w:pStyle w:val="BlockSSNoPt"/>
              <w:jc w:val="right"/>
              <w:rPr>
                <w:sz w:val="11"/>
                <w:szCs w:val="11"/>
              </w:rPr>
            </w:pPr>
          </w:p>
        </w:tc>
        <w:tc>
          <w:tcPr>
            <w:tcW w:w="720" w:type="dxa"/>
          </w:tcPr>
          <w:p w:rsidRPr="001000D5" w:rsidR="00B808B3" w:rsidP="00581747" w:rsidRDefault="00B808B3" w14:paraId="1D919087" w14:textId="77777777">
            <w:pPr>
              <w:pStyle w:val="BlockSSNoPt"/>
              <w:jc w:val="right"/>
              <w:rPr>
                <w:sz w:val="11"/>
                <w:szCs w:val="11"/>
                <w:u w:val="single"/>
              </w:rPr>
            </w:pPr>
            <w:r w:rsidRPr="001000D5">
              <w:rPr>
                <w:sz w:val="11"/>
                <w:szCs w:val="11"/>
              </w:rPr>
              <w:t xml:space="preserve"> 5.5 </w:t>
            </w:r>
          </w:p>
        </w:tc>
        <w:tc>
          <w:tcPr>
            <w:tcW w:w="810" w:type="dxa"/>
          </w:tcPr>
          <w:p w:rsidRPr="001000D5" w:rsidR="00B808B3" w:rsidP="00581747" w:rsidRDefault="00B808B3" w14:paraId="74625332" w14:textId="77777777">
            <w:pPr>
              <w:pStyle w:val="BlockSSNoPt"/>
              <w:jc w:val="right"/>
              <w:rPr>
                <w:sz w:val="11"/>
                <w:szCs w:val="11"/>
                <w:u w:val="single"/>
              </w:rPr>
            </w:pPr>
            <w:r w:rsidRPr="001000D5">
              <w:rPr>
                <w:sz w:val="11"/>
                <w:szCs w:val="11"/>
              </w:rPr>
              <w:t>98.1%</w:t>
            </w:r>
          </w:p>
        </w:tc>
        <w:tc>
          <w:tcPr>
            <w:tcW w:w="270" w:type="dxa"/>
          </w:tcPr>
          <w:p w:rsidRPr="001000D5" w:rsidR="00B808B3" w:rsidP="00581747" w:rsidRDefault="00B808B3" w14:paraId="7B1EA24B" w14:textId="77777777">
            <w:pPr>
              <w:pStyle w:val="BlockSSNoPt"/>
              <w:jc w:val="right"/>
              <w:rPr>
                <w:sz w:val="11"/>
                <w:szCs w:val="11"/>
              </w:rPr>
            </w:pPr>
          </w:p>
        </w:tc>
        <w:tc>
          <w:tcPr>
            <w:tcW w:w="810" w:type="dxa"/>
          </w:tcPr>
          <w:p w:rsidRPr="001000D5" w:rsidR="00B808B3" w:rsidP="00581747" w:rsidRDefault="00B808B3" w14:paraId="6144FE45" w14:textId="77777777">
            <w:pPr>
              <w:pStyle w:val="BlockSSNoPt"/>
              <w:jc w:val="right"/>
              <w:rPr>
                <w:sz w:val="11"/>
                <w:szCs w:val="11"/>
                <w:u w:val="single"/>
              </w:rPr>
            </w:pPr>
            <w:r w:rsidRPr="001000D5">
              <w:rPr>
                <w:sz w:val="11"/>
                <w:szCs w:val="11"/>
              </w:rPr>
              <w:t xml:space="preserve"> 10.1 </w:t>
            </w:r>
          </w:p>
        </w:tc>
        <w:tc>
          <w:tcPr>
            <w:tcW w:w="810" w:type="dxa"/>
          </w:tcPr>
          <w:p w:rsidRPr="001000D5" w:rsidR="00B808B3" w:rsidP="00581747" w:rsidRDefault="00B808B3" w14:paraId="2EDB93FB" w14:textId="77777777">
            <w:pPr>
              <w:pStyle w:val="BlockSSNoPt"/>
              <w:jc w:val="right"/>
              <w:rPr>
                <w:sz w:val="11"/>
                <w:szCs w:val="11"/>
                <w:u w:val="single"/>
              </w:rPr>
            </w:pPr>
            <w:r w:rsidRPr="001000D5">
              <w:rPr>
                <w:sz w:val="11"/>
                <w:szCs w:val="11"/>
              </w:rPr>
              <w:t>96.4%</w:t>
            </w:r>
          </w:p>
        </w:tc>
        <w:tc>
          <w:tcPr>
            <w:tcW w:w="270" w:type="dxa"/>
          </w:tcPr>
          <w:p w:rsidRPr="001000D5" w:rsidR="00B808B3" w:rsidP="00581747" w:rsidRDefault="00B808B3" w14:paraId="38C8C1C7" w14:textId="77777777">
            <w:pPr>
              <w:pStyle w:val="BlockSSNoPt"/>
              <w:jc w:val="right"/>
              <w:rPr>
                <w:sz w:val="11"/>
                <w:szCs w:val="11"/>
              </w:rPr>
            </w:pPr>
          </w:p>
        </w:tc>
        <w:tc>
          <w:tcPr>
            <w:tcW w:w="810" w:type="dxa"/>
          </w:tcPr>
          <w:p w:rsidRPr="001000D5" w:rsidR="00B808B3" w:rsidP="00581747" w:rsidRDefault="00B808B3" w14:paraId="08BEAE9C" w14:textId="77777777">
            <w:pPr>
              <w:pStyle w:val="BlockSSNoPt"/>
              <w:jc w:val="right"/>
              <w:rPr>
                <w:sz w:val="11"/>
                <w:szCs w:val="11"/>
              </w:rPr>
            </w:pPr>
            <w:r w:rsidRPr="001000D5">
              <w:rPr>
                <w:sz w:val="11"/>
                <w:szCs w:val="11"/>
              </w:rPr>
              <w:t>17.3</w:t>
            </w:r>
          </w:p>
        </w:tc>
        <w:tc>
          <w:tcPr>
            <w:tcW w:w="810" w:type="dxa"/>
          </w:tcPr>
          <w:p w:rsidRPr="001000D5" w:rsidR="00B808B3" w:rsidP="00581747" w:rsidRDefault="00B808B3" w14:paraId="163D5CCF" w14:textId="77777777">
            <w:pPr>
              <w:pStyle w:val="BlockSSNoPt"/>
              <w:jc w:val="right"/>
              <w:rPr>
                <w:sz w:val="11"/>
                <w:szCs w:val="11"/>
              </w:rPr>
            </w:pPr>
            <w:r w:rsidRPr="001000D5">
              <w:rPr>
                <w:sz w:val="11"/>
                <w:szCs w:val="11"/>
              </w:rPr>
              <w:t>97.5%</w:t>
            </w:r>
          </w:p>
        </w:tc>
        <w:tc>
          <w:tcPr>
            <w:tcW w:w="270" w:type="dxa"/>
          </w:tcPr>
          <w:p w:rsidRPr="001000D5" w:rsidR="00B808B3" w:rsidP="00581747" w:rsidRDefault="00B808B3" w14:paraId="4B1E2546" w14:textId="77777777">
            <w:pPr>
              <w:pStyle w:val="BlockSSNoPt"/>
              <w:jc w:val="right"/>
              <w:rPr>
                <w:sz w:val="11"/>
                <w:szCs w:val="11"/>
              </w:rPr>
            </w:pPr>
          </w:p>
        </w:tc>
        <w:tc>
          <w:tcPr>
            <w:tcW w:w="810" w:type="dxa"/>
          </w:tcPr>
          <w:p w:rsidRPr="001000D5" w:rsidR="00B808B3" w:rsidP="00581747" w:rsidRDefault="00B808B3" w14:paraId="5E88D17C" w14:textId="77777777">
            <w:pPr>
              <w:pStyle w:val="BlockSSNoPt"/>
              <w:jc w:val="right"/>
              <w:rPr>
                <w:sz w:val="11"/>
                <w:szCs w:val="11"/>
              </w:rPr>
            </w:pPr>
            <w:r w:rsidRPr="001000D5">
              <w:rPr>
                <w:sz w:val="11"/>
                <w:szCs w:val="11"/>
              </w:rPr>
              <w:t>27.7</w:t>
            </w:r>
          </w:p>
        </w:tc>
        <w:tc>
          <w:tcPr>
            <w:tcW w:w="810" w:type="dxa"/>
          </w:tcPr>
          <w:p w:rsidRPr="001000D5" w:rsidR="00B808B3" w:rsidP="00581747" w:rsidRDefault="00B808B3" w14:paraId="41D960D5" w14:textId="77777777">
            <w:pPr>
              <w:pStyle w:val="BlockSSNoPt"/>
              <w:jc w:val="right"/>
              <w:rPr>
                <w:sz w:val="11"/>
                <w:szCs w:val="11"/>
              </w:rPr>
            </w:pPr>
            <w:r>
              <w:rPr>
                <w:sz w:val="11"/>
                <w:szCs w:val="11"/>
              </w:rPr>
              <w:t>96.6</w:t>
            </w:r>
            <w:r w:rsidRPr="001000D5">
              <w:rPr>
                <w:sz w:val="11"/>
                <w:szCs w:val="11"/>
              </w:rPr>
              <w:t>%</w:t>
            </w:r>
          </w:p>
        </w:tc>
        <w:tc>
          <w:tcPr>
            <w:tcW w:w="270" w:type="dxa"/>
          </w:tcPr>
          <w:p w:rsidRPr="001000D5" w:rsidR="00B808B3" w:rsidP="00581747" w:rsidRDefault="00B808B3" w14:paraId="4B649C9A" w14:textId="77777777">
            <w:pPr>
              <w:pStyle w:val="BlockSSNoPt"/>
              <w:jc w:val="right"/>
              <w:rPr>
                <w:sz w:val="11"/>
                <w:szCs w:val="11"/>
              </w:rPr>
            </w:pPr>
          </w:p>
        </w:tc>
        <w:tc>
          <w:tcPr>
            <w:tcW w:w="748" w:type="dxa"/>
          </w:tcPr>
          <w:p w:rsidRPr="001000D5" w:rsidR="00B808B3" w:rsidP="00581747" w:rsidRDefault="00B808B3" w14:paraId="6DD895E3" w14:textId="77777777">
            <w:pPr>
              <w:pStyle w:val="BlockSSNoPt"/>
              <w:jc w:val="right"/>
              <w:rPr>
                <w:sz w:val="11"/>
                <w:szCs w:val="11"/>
                <w:u w:val="single"/>
              </w:rPr>
            </w:pPr>
            <w:r w:rsidRPr="001000D5">
              <w:rPr>
                <w:sz w:val="11"/>
                <w:szCs w:val="11"/>
              </w:rPr>
              <w:t>67.7</w:t>
            </w:r>
          </w:p>
        </w:tc>
        <w:tc>
          <w:tcPr>
            <w:tcW w:w="900" w:type="dxa"/>
          </w:tcPr>
          <w:p w:rsidRPr="001000D5" w:rsidR="00B808B3" w:rsidP="00581747" w:rsidRDefault="00B808B3" w14:paraId="28FB0C6B" w14:textId="77777777">
            <w:pPr>
              <w:pStyle w:val="BlockSSNoPt"/>
              <w:jc w:val="right"/>
              <w:rPr>
                <w:sz w:val="11"/>
                <w:szCs w:val="11"/>
              </w:rPr>
            </w:pPr>
            <w:r w:rsidRPr="001000D5">
              <w:rPr>
                <w:sz w:val="11"/>
                <w:szCs w:val="11"/>
              </w:rPr>
              <w:t>97.0%</w:t>
            </w:r>
          </w:p>
        </w:tc>
      </w:tr>
      <w:tr w:rsidRPr="00AE648D" w:rsidR="00B808B3" w:rsidTr="00581747" w14:paraId="45276CA3" w14:textId="77777777">
        <w:trPr>
          <w:trHeight w:val="188"/>
          <w:jc w:val="center"/>
        </w:trPr>
        <w:tc>
          <w:tcPr>
            <w:tcW w:w="900" w:type="dxa"/>
          </w:tcPr>
          <w:p w:rsidRPr="001000D5" w:rsidR="00B808B3" w:rsidP="00581747" w:rsidRDefault="00B808B3" w14:paraId="34BDB9B9" w14:textId="77777777">
            <w:pPr>
              <w:pStyle w:val="BlockSSNoPt"/>
              <w:rPr>
                <w:sz w:val="11"/>
                <w:szCs w:val="11"/>
              </w:rPr>
            </w:pPr>
            <w:r w:rsidRPr="001000D5">
              <w:rPr>
                <w:sz w:val="11"/>
                <w:szCs w:val="11"/>
              </w:rPr>
              <w:t>110.1% - 120%</w:t>
            </w:r>
          </w:p>
        </w:tc>
        <w:tc>
          <w:tcPr>
            <w:tcW w:w="815" w:type="dxa"/>
            <w:gridSpan w:val="3"/>
          </w:tcPr>
          <w:p w:rsidRPr="001000D5" w:rsidR="00B808B3" w:rsidP="00581747" w:rsidRDefault="00B808B3" w14:paraId="6D8ACF63" w14:textId="77777777">
            <w:pPr>
              <w:pStyle w:val="BlockSSNoPt"/>
              <w:jc w:val="right"/>
              <w:rPr>
                <w:sz w:val="11"/>
                <w:szCs w:val="11"/>
              </w:rPr>
            </w:pPr>
            <w:r w:rsidRPr="001000D5">
              <w:rPr>
                <w:sz w:val="11"/>
                <w:szCs w:val="11"/>
              </w:rPr>
              <w:t xml:space="preserve"> 3.5 </w:t>
            </w:r>
          </w:p>
        </w:tc>
        <w:tc>
          <w:tcPr>
            <w:tcW w:w="810" w:type="dxa"/>
            <w:gridSpan w:val="2"/>
          </w:tcPr>
          <w:p w:rsidRPr="001000D5" w:rsidR="00B808B3" w:rsidP="00581747" w:rsidRDefault="00B808B3" w14:paraId="0142F95D" w14:textId="77777777">
            <w:pPr>
              <w:pStyle w:val="BlockSSNoPt"/>
              <w:jc w:val="right"/>
              <w:rPr>
                <w:sz w:val="11"/>
                <w:szCs w:val="11"/>
              </w:rPr>
            </w:pPr>
            <w:r w:rsidRPr="001000D5">
              <w:rPr>
                <w:sz w:val="11"/>
                <w:szCs w:val="11"/>
              </w:rPr>
              <w:t>99.2%</w:t>
            </w:r>
          </w:p>
        </w:tc>
        <w:tc>
          <w:tcPr>
            <w:tcW w:w="270" w:type="dxa"/>
          </w:tcPr>
          <w:p w:rsidRPr="001000D5" w:rsidR="00B808B3" w:rsidP="00581747" w:rsidRDefault="00B808B3" w14:paraId="01650396" w14:textId="77777777">
            <w:pPr>
              <w:pStyle w:val="BlockSSNoPt"/>
              <w:jc w:val="right"/>
              <w:rPr>
                <w:sz w:val="11"/>
                <w:szCs w:val="11"/>
              </w:rPr>
            </w:pPr>
          </w:p>
        </w:tc>
        <w:tc>
          <w:tcPr>
            <w:tcW w:w="720" w:type="dxa"/>
          </w:tcPr>
          <w:p w:rsidRPr="001000D5" w:rsidR="00B808B3" w:rsidP="00581747" w:rsidRDefault="00B808B3" w14:paraId="1B4737B6" w14:textId="77777777">
            <w:pPr>
              <w:pStyle w:val="BlockSSNoPt"/>
              <w:jc w:val="right"/>
              <w:rPr>
                <w:sz w:val="11"/>
                <w:szCs w:val="11"/>
              </w:rPr>
            </w:pPr>
            <w:r w:rsidRPr="001000D5">
              <w:rPr>
                <w:sz w:val="11"/>
                <w:szCs w:val="11"/>
              </w:rPr>
              <w:t xml:space="preserve"> 1.7 </w:t>
            </w:r>
          </w:p>
        </w:tc>
        <w:tc>
          <w:tcPr>
            <w:tcW w:w="810" w:type="dxa"/>
          </w:tcPr>
          <w:p w:rsidRPr="001000D5" w:rsidR="00B808B3" w:rsidP="00581747" w:rsidRDefault="00B808B3" w14:paraId="1630F229" w14:textId="77777777">
            <w:pPr>
              <w:pStyle w:val="BlockSSNoPt"/>
              <w:jc w:val="right"/>
              <w:rPr>
                <w:sz w:val="11"/>
                <w:szCs w:val="11"/>
              </w:rPr>
            </w:pPr>
            <w:r w:rsidRPr="001000D5">
              <w:rPr>
                <w:sz w:val="11"/>
                <w:szCs w:val="11"/>
              </w:rPr>
              <w:t>99.6%</w:t>
            </w:r>
          </w:p>
        </w:tc>
        <w:tc>
          <w:tcPr>
            <w:tcW w:w="270" w:type="dxa"/>
          </w:tcPr>
          <w:p w:rsidRPr="001000D5" w:rsidR="00B808B3" w:rsidP="00581747" w:rsidRDefault="00B808B3" w14:paraId="6EC6BA17" w14:textId="77777777">
            <w:pPr>
              <w:pStyle w:val="BlockSSNoPt"/>
              <w:jc w:val="right"/>
              <w:rPr>
                <w:sz w:val="11"/>
                <w:szCs w:val="11"/>
              </w:rPr>
            </w:pPr>
          </w:p>
        </w:tc>
        <w:tc>
          <w:tcPr>
            <w:tcW w:w="810" w:type="dxa"/>
          </w:tcPr>
          <w:p w:rsidRPr="001000D5" w:rsidR="00B808B3" w:rsidP="00581747" w:rsidRDefault="00B808B3" w14:paraId="58DDE679" w14:textId="77777777">
            <w:pPr>
              <w:pStyle w:val="BlockSSNoPt"/>
              <w:jc w:val="right"/>
              <w:rPr>
                <w:sz w:val="11"/>
                <w:szCs w:val="11"/>
              </w:rPr>
            </w:pPr>
            <w:r w:rsidRPr="001000D5">
              <w:rPr>
                <w:sz w:val="11"/>
                <w:szCs w:val="11"/>
              </w:rPr>
              <w:t xml:space="preserve"> 4.1 </w:t>
            </w:r>
          </w:p>
        </w:tc>
        <w:tc>
          <w:tcPr>
            <w:tcW w:w="810" w:type="dxa"/>
          </w:tcPr>
          <w:p w:rsidRPr="001000D5" w:rsidR="00B808B3" w:rsidP="00581747" w:rsidRDefault="00B808B3" w14:paraId="53DF9795" w14:textId="77777777">
            <w:pPr>
              <w:pStyle w:val="BlockSSNoPt"/>
              <w:jc w:val="right"/>
              <w:rPr>
                <w:sz w:val="11"/>
                <w:szCs w:val="11"/>
              </w:rPr>
            </w:pPr>
            <w:r w:rsidRPr="001000D5">
              <w:rPr>
                <w:sz w:val="11"/>
                <w:szCs w:val="11"/>
              </w:rPr>
              <w:t>98.4%</w:t>
            </w:r>
          </w:p>
        </w:tc>
        <w:tc>
          <w:tcPr>
            <w:tcW w:w="270" w:type="dxa"/>
          </w:tcPr>
          <w:p w:rsidRPr="001000D5" w:rsidR="00B808B3" w:rsidP="00581747" w:rsidRDefault="00B808B3" w14:paraId="43C710FC" w14:textId="77777777">
            <w:pPr>
              <w:pStyle w:val="BlockSSNoPt"/>
              <w:jc w:val="right"/>
              <w:rPr>
                <w:sz w:val="11"/>
                <w:szCs w:val="11"/>
              </w:rPr>
            </w:pPr>
          </w:p>
        </w:tc>
        <w:tc>
          <w:tcPr>
            <w:tcW w:w="810" w:type="dxa"/>
          </w:tcPr>
          <w:p w:rsidRPr="001000D5" w:rsidR="00B808B3" w:rsidP="00581747" w:rsidRDefault="00B808B3" w14:paraId="46E375ED" w14:textId="77777777">
            <w:pPr>
              <w:pStyle w:val="BlockSSNoPt"/>
              <w:jc w:val="right"/>
              <w:rPr>
                <w:sz w:val="11"/>
                <w:szCs w:val="11"/>
              </w:rPr>
            </w:pPr>
            <w:r w:rsidRPr="001000D5">
              <w:rPr>
                <w:sz w:val="11"/>
                <w:szCs w:val="11"/>
              </w:rPr>
              <w:t>6.3</w:t>
            </w:r>
          </w:p>
        </w:tc>
        <w:tc>
          <w:tcPr>
            <w:tcW w:w="810" w:type="dxa"/>
          </w:tcPr>
          <w:p w:rsidRPr="001000D5" w:rsidR="00B808B3" w:rsidP="00581747" w:rsidRDefault="00B808B3" w14:paraId="1F2FF1E5" w14:textId="77777777">
            <w:pPr>
              <w:pStyle w:val="BlockSSNoPt"/>
              <w:jc w:val="right"/>
              <w:rPr>
                <w:sz w:val="11"/>
                <w:szCs w:val="11"/>
              </w:rPr>
            </w:pPr>
            <w:r w:rsidRPr="001000D5">
              <w:rPr>
                <w:sz w:val="11"/>
                <w:szCs w:val="11"/>
              </w:rPr>
              <w:t>99.1%</w:t>
            </w:r>
          </w:p>
        </w:tc>
        <w:tc>
          <w:tcPr>
            <w:tcW w:w="270" w:type="dxa"/>
          </w:tcPr>
          <w:p w:rsidRPr="001000D5" w:rsidR="00B808B3" w:rsidP="00581747" w:rsidRDefault="00B808B3" w14:paraId="0D5FAE25" w14:textId="77777777">
            <w:pPr>
              <w:pStyle w:val="BlockSSNoPt"/>
              <w:jc w:val="right"/>
              <w:rPr>
                <w:sz w:val="11"/>
                <w:szCs w:val="11"/>
              </w:rPr>
            </w:pPr>
          </w:p>
        </w:tc>
        <w:tc>
          <w:tcPr>
            <w:tcW w:w="810" w:type="dxa"/>
          </w:tcPr>
          <w:p w:rsidRPr="001000D5" w:rsidR="00B808B3" w:rsidP="00581747" w:rsidRDefault="00B808B3" w14:paraId="2AA86DA7" w14:textId="77777777">
            <w:pPr>
              <w:pStyle w:val="BlockSSNoPt"/>
              <w:jc w:val="right"/>
              <w:rPr>
                <w:sz w:val="11"/>
                <w:szCs w:val="11"/>
              </w:rPr>
            </w:pPr>
            <w:r w:rsidRPr="001000D5">
              <w:rPr>
                <w:sz w:val="11"/>
                <w:szCs w:val="11"/>
              </w:rPr>
              <w:t>12.0</w:t>
            </w:r>
          </w:p>
        </w:tc>
        <w:tc>
          <w:tcPr>
            <w:tcW w:w="810" w:type="dxa"/>
          </w:tcPr>
          <w:p w:rsidRPr="001000D5" w:rsidR="00B808B3" w:rsidP="00581747" w:rsidRDefault="00B808B3" w14:paraId="1A835997" w14:textId="77777777">
            <w:pPr>
              <w:pStyle w:val="BlockSSNoPt"/>
              <w:jc w:val="right"/>
              <w:rPr>
                <w:sz w:val="11"/>
                <w:szCs w:val="11"/>
              </w:rPr>
            </w:pPr>
            <w:r>
              <w:rPr>
                <w:sz w:val="11"/>
                <w:szCs w:val="11"/>
              </w:rPr>
              <w:t>99.4</w:t>
            </w:r>
            <w:r w:rsidRPr="001000D5">
              <w:rPr>
                <w:sz w:val="11"/>
                <w:szCs w:val="11"/>
              </w:rPr>
              <w:t>%</w:t>
            </w:r>
          </w:p>
        </w:tc>
        <w:tc>
          <w:tcPr>
            <w:tcW w:w="270" w:type="dxa"/>
          </w:tcPr>
          <w:p w:rsidRPr="001000D5" w:rsidR="00B808B3" w:rsidP="00581747" w:rsidRDefault="00B808B3" w14:paraId="3C10B8FE" w14:textId="77777777">
            <w:pPr>
              <w:pStyle w:val="BlockSSNoPt"/>
              <w:jc w:val="right"/>
              <w:rPr>
                <w:sz w:val="11"/>
                <w:szCs w:val="11"/>
              </w:rPr>
            </w:pPr>
          </w:p>
        </w:tc>
        <w:tc>
          <w:tcPr>
            <w:tcW w:w="748" w:type="dxa"/>
          </w:tcPr>
          <w:p w:rsidRPr="001000D5" w:rsidR="00B808B3" w:rsidP="00581747" w:rsidRDefault="00B808B3" w14:paraId="6895B885" w14:textId="77777777">
            <w:pPr>
              <w:pStyle w:val="BlockSSNoPt"/>
              <w:jc w:val="right"/>
              <w:rPr>
                <w:sz w:val="11"/>
                <w:szCs w:val="11"/>
              </w:rPr>
            </w:pPr>
            <w:r w:rsidRPr="001000D5">
              <w:rPr>
                <w:sz w:val="11"/>
                <w:szCs w:val="11"/>
              </w:rPr>
              <w:t xml:space="preserve"> 27.5 </w:t>
            </w:r>
          </w:p>
        </w:tc>
        <w:tc>
          <w:tcPr>
            <w:tcW w:w="900" w:type="dxa"/>
          </w:tcPr>
          <w:p w:rsidRPr="001000D5" w:rsidR="00B808B3" w:rsidP="00581747" w:rsidRDefault="00B808B3" w14:paraId="52D4B4C3" w14:textId="77777777">
            <w:pPr>
              <w:pStyle w:val="BlockSSNoPt"/>
              <w:jc w:val="right"/>
              <w:rPr>
                <w:sz w:val="11"/>
                <w:szCs w:val="11"/>
              </w:rPr>
            </w:pPr>
            <w:r w:rsidRPr="001000D5">
              <w:rPr>
                <w:sz w:val="11"/>
                <w:szCs w:val="11"/>
              </w:rPr>
              <w:t>99.2%</w:t>
            </w:r>
          </w:p>
        </w:tc>
      </w:tr>
      <w:tr w:rsidRPr="00AE648D" w:rsidR="00B808B3" w:rsidTr="00581747" w14:paraId="30F76CE2" w14:textId="77777777">
        <w:trPr>
          <w:trHeight w:val="188"/>
          <w:jc w:val="center"/>
        </w:trPr>
        <w:tc>
          <w:tcPr>
            <w:tcW w:w="900" w:type="dxa"/>
          </w:tcPr>
          <w:p w:rsidRPr="001000D5" w:rsidR="00B808B3" w:rsidP="00581747" w:rsidRDefault="00B808B3" w14:paraId="147F9437" w14:textId="77777777">
            <w:pPr>
              <w:pStyle w:val="BlockSSNoPt"/>
              <w:rPr>
                <w:sz w:val="11"/>
                <w:szCs w:val="11"/>
              </w:rPr>
            </w:pPr>
            <w:r w:rsidRPr="001000D5">
              <w:rPr>
                <w:sz w:val="11"/>
                <w:szCs w:val="11"/>
              </w:rPr>
              <w:t>Above 120%</w:t>
            </w:r>
          </w:p>
        </w:tc>
        <w:tc>
          <w:tcPr>
            <w:tcW w:w="815" w:type="dxa"/>
            <w:gridSpan w:val="3"/>
          </w:tcPr>
          <w:p w:rsidRPr="001000D5" w:rsidR="00B808B3" w:rsidP="00581747" w:rsidRDefault="00B808B3" w14:paraId="7D65C424" w14:textId="77777777">
            <w:pPr>
              <w:pStyle w:val="BlockSSNoPt"/>
              <w:jc w:val="right"/>
              <w:rPr>
                <w:sz w:val="11"/>
                <w:szCs w:val="11"/>
              </w:rPr>
            </w:pPr>
            <w:r w:rsidRPr="001000D5">
              <w:rPr>
                <w:sz w:val="11"/>
                <w:szCs w:val="11"/>
              </w:rPr>
              <w:t xml:space="preserve">0.9   </w:t>
            </w:r>
          </w:p>
        </w:tc>
        <w:tc>
          <w:tcPr>
            <w:tcW w:w="810" w:type="dxa"/>
            <w:gridSpan w:val="2"/>
          </w:tcPr>
          <w:p w:rsidRPr="001000D5" w:rsidR="00B808B3" w:rsidP="00581747" w:rsidRDefault="00B808B3" w14:paraId="442281D4" w14:textId="77777777">
            <w:pPr>
              <w:pStyle w:val="BlockSSNoPt"/>
              <w:jc w:val="right"/>
              <w:rPr>
                <w:sz w:val="11"/>
                <w:szCs w:val="11"/>
              </w:rPr>
            </w:pPr>
            <w:r w:rsidRPr="001000D5">
              <w:rPr>
                <w:sz w:val="11"/>
                <w:szCs w:val="11"/>
              </w:rPr>
              <w:t xml:space="preserve">100.0%   </w:t>
            </w:r>
          </w:p>
        </w:tc>
        <w:tc>
          <w:tcPr>
            <w:tcW w:w="270" w:type="dxa"/>
          </w:tcPr>
          <w:p w:rsidRPr="001000D5" w:rsidR="00B808B3" w:rsidP="00581747" w:rsidRDefault="00B808B3" w14:paraId="7ADB7974" w14:textId="77777777">
            <w:pPr>
              <w:pStyle w:val="BlockSSNoPt"/>
              <w:jc w:val="right"/>
              <w:rPr>
                <w:sz w:val="11"/>
                <w:szCs w:val="11"/>
              </w:rPr>
            </w:pPr>
          </w:p>
        </w:tc>
        <w:tc>
          <w:tcPr>
            <w:tcW w:w="720" w:type="dxa"/>
          </w:tcPr>
          <w:p w:rsidRPr="001000D5" w:rsidR="00B808B3" w:rsidP="00581747" w:rsidRDefault="00B808B3" w14:paraId="50CF565E" w14:textId="77777777">
            <w:pPr>
              <w:pStyle w:val="BlockSSNoPt"/>
              <w:jc w:val="right"/>
              <w:rPr>
                <w:sz w:val="11"/>
                <w:szCs w:val="11"/>
              </w:rPr>
            </w:pPr>
            <w:r w:rsidRPr="001000D5">
              <w:rPr>
                <w:sz w:val="11"/>
                <w:szCs w:val="11"/>
              </w:rPr>
              <w:t xml:space="preserve"> 0.4 </w:t>
            </w:r>
          </w:p>
        </w:tc>
        <w:tc>
          <w:tcPr>
            <w:tcW w:w="810" w:type="dxa"/>
          </w:tcPr>
          <w:p w:rsidRPr="001000D5" w:rsidR="00B808B3" w:rsidP="00581747" w:rsidRDefault="00B808B3" w14:paraId="3D313E79" w14:textId="77777777">
            <w:pPr>
              <w:pStyle w:val="BlockSSNoPt"/>
              <w:jc w:val="right"/>
              <w:rPr>
                <w:sz w:val="11"/>
                <w:szCs w:val="11"/>
              </w:rPr>
            </w:pPr>
            <w:r w:rsidRPr="001000D5">
              <w:rPr>
                <w:sz w:val="11"/>
                <w:szCs w:val="11"/>
              </w:rPr>
              <w:t>100.0%</w:t>
            </w:r>
          </w:p>
        </w:tc>
        <w:tc>
          <w:tcPr>
            <w:tcW w:w="270" w:type="dxa"/>
          </w:tcPr>
          <w:p w:rsidRPr="001000D5" w:rsidR="00B808B3" w:rsidP="00581747" w:rsidRDefault="00B808B3" w14:paraId="25367822" w14:textId="77777777">
            <w:pPr>
              <w:pStyle w:val="BlockSSNoPt"/>
              <w:jc w:val="right"/>
              <w:rPr>
                <w:sz w:val="11"/>
                <w:szCs w:val="11"/>
              </w:rPr>
            </w:pPr>
          </w:p>
        </w:tc>
        <w:tc>
          <w:tcPr>
            <w:tcW w:w="810" w:type="dxa"/>
          </w:tcPr>
          <w:p w:rsidRPr="001000D5" w:rsidR="00B808B3" w:rsidP="00581747" w:rsidRDefault="00B808B3" w14:paraId="35AB7177" w14:textId="77777777">
            <w:pPr>
              <w:pStyle w:val="BlockSSNoPt"/>
              <w:jc w:val="right"/>
              <w:rPr>
                <w:sz w:val="11"/>
                <w:szCs w:val="11"/>
              </w:rPr>
            </w:pPr>
            <w:r w:rsidRPr="001000D5">
              <w:rPr>
                <w:sz w:val="11"/>
                <w:szCs w:val="11"/>
              </w:rPr>
              <w:t xml:space="preserve"> 3.1 </w:t>
            </w:r>
          </w:p>
        </w:tc>
        <w:tc>
          <w:tcPr>
            <w:tcW w:w="810" w:type="dxa"/>
          </w:tcPr>
          <w:p w:rsidRPr="001000D5" w:rsidR="00B808B3" w:rsidP="00581747" w:rsidRDefault="00B808B3" w14:paraId="0D2CB627" w14:textId="77777777">
            <w:pPr>
              <w:pStyle w:val="BlockSSNoPt"/>
              <w:jc w:val="right"/>
              <w:rPr>
                <w:sz w:val="11"/>
                <w:szCs w:val="11"/>
              </w:rPr>
            </w:pPr>
            <w:r w:rsidRPr="001000D5">
              <w:rPr>
                <w:sz w:val="11"/>
                <w:szCs w:val="11"/>
              </w:rPr>
              <w:t>100.0%</w:t>
            </w:r>
          </w:p>
        </w:tc>
        <w:tc>
          <w:tcPr>
            <w:tcW w:w="270" w:type="dxa"/>
          </w:tcPr>
          <w:p w:rsidRPr="001000D5" w:rsidR="00B808B3" w:rsidP="00581747" w:rsidRDefault="00B808B3" w14:paraId="0754BA6E" w14:textId="77777777">
            <w:pPr>
              <w:pStyle w:val="BlockSSNoPt"/>
              <w:jc w:val="right"/>
              <w:rPr>
                <w:sz w:val="11"/>
                <w:szCs w:val="11"/>
              </w:rPr>
            </w:pPr>
          </w:p>
        </w:tc>
        <w:tc>
          <w:tcPr>
            <w:tcW w:w="810" w:type="dxa"/>
          </w:tcPr>
          <w:p w:rsidRPr="001000D5" w:rsidR="00B808B3" w:rsidP="00581747" w:rsidRDefault="00B808B3" w14:paraId="5880D3A5" w14:textId="77777777">
            <w:pPr>
              <w:pStyle w:val="BlockSSNoPt"/>
              <w:jc w:val="right"/>
              <w:rPr>
                <w:sz w:val="11"/>
                <w:szCs w:val="11"/>
              </w:rPr>
            </w:pPr>
            <w:r w:rsidRPr="001000D5">
              <w:rPr>
                <w:sz w:val="11"/>
                <w:szCs w:val="11"/>
              </w:rPr>
              <w:t>3.6</w:t>
            </w:r>
          </w:p>
        </w:tc>
        <w:tc>
          <w:tcPr>
            <w:tcW w:w="810" w:type="dxa"/>
          </w:tcPr>
          <w:p w:rsidRPr="001000D5" w:rsidR="00B808B3" w:rsidP="00581747" w:rsidRDefault="00B808B3" w14:paraId="614437EE" w14:textId="77777777">
            <w:pPr>
              <w:pStyle w:val="BlockSSNoPt"/>
              <w:jc w:val="right"/>
              <w:rPr>
                <w:sz w:val="11"/>
                <w:szCs w:val="11"/>
              </w:rPr>
            </w:pPr>
            <w:r w:rsidRPr="001000D5">
              <w:rPr>
                <w:sz w:val="11"/>
                <w:szCs w:val="11"/>
              </w:rPr>
              <w:t>100%</w:t>
            </w:r>
          </w:p>
        </w:tc>
        <w:tc>
          <w:tcPr>
            <w:tcW w:w="270" w:type="dxa"/>
          </w:tcPr>
          <w:p w:rsidRPr="001000D5" w:rsidR="00B808B3" w:rsidP="00581747" w:rsidRDefault="00B808B3" w14:paraId="1122A13F" w14:textId="77777777">
            <w:pPr>
              <w:pStyle w:val="BlockSSNoPt"/>
              <w:jc w:val="right"/>
              <w:rPr>
                <w:sz w:val="11"/>
                <w:szCs w:val="11"/>
              </w:rPr>
            </w:pPr>
          </w:p>
        </w:tc>
        <w:tc>
          <w:tcPr>
            <w:tcW w:w="810" w:type="dxa"/>
          </w:tcPr>
          <w:p w:rsidRPr="001000D5" w:rsidR="00B808B3" w:rsidP="00581747" w:rsidRDefault="00B808B3" w14:paraId="7890A40F" w14:textId="77777777">
            <w:pPr>
              <w:pStyle w:val="BlockSSNoPt"/>
              <w:jc w:val="right"/>
              <w:rPr>
                <w:sz w:val="11"/>
                <w:szCs w:val="11"/>
              </w:rPr>
            </w:pPr>
            <w:r w:rsidRPr="001000D5">
              <w:rPr>
                <w:sz w:val="11"/>
                <w:szCs w:val="11"/>
              </w:rPr>
              <w:t>2.6</w:t>
            </w:r>
          </w:p>
        </w:tc>
        <w:tc>
          <w:tcPr>
            <w:tcW w:w="810" w:type="dxa"/>
          </w:tcPr>
          <w:p w:rsidRPr="001000D5" w:rsidR="00B808B3" w:rsidP="00581747" w:rsidRDefault="00B808B3" w14:paraId="5FF2B9CD" w14:textId="77777777">
            <w:pPr>
              <w:pStyle w:val="BlockSSNoPt"/>
              <w:jc w:val="right"/>
              <w:rPr>
                <w:sz w:val="11"/>
                <w:szCs w:val="11"/>
              </w:rPr>
            </w:pPr>
            <w:r>
              <w:rPr>
                <w:sz w:val="11"/>
                <w:szCs w:val="11"/>
              </w:rPr>
              <w:t>100</w:t>
            </w:r>
            <w:r w:rsidRPr="001000D5">
              <w:rPr>
                <w:sz w:val="11"/>
                <w:szCs w:val="11"/>
              </w:rPr>
              <w:t>%</w:t>
            </w:r>
          </w:p>
        </w:tc>
        <w:tc>
          <w:tcPr>
            <w:tcW w:w="270" w:type="dxa"/>
          </w:tcPr>
          <w:p w:rsidRPr="001000D5" w:rsidR="00B808B3" w:rsidP="00581747" w:rsidRDefault="00B808B3" w14:paraId="7DCECC1B" w14:textId="77777777">
            <w:pPr>
              <w:pStyle w:val="BlockSSNoPt"/>
              <w:jc w:val="right"/>
              <w:rPr>
                <w:sz w:val="11"/>
                <w:szCs w:val="11"/>
              </w:rPr>
            </w:pPr>
          </w:p>
        </w:tc>
        <w:tc>
          <w:tcPr>
            <w:tcW w:w="748" w:type="dxa"/>
          </w:tcPr>
          <w:p w:rsidRPr="001000D5" w:rsidR="00B808B3" w:rsidP="00581747" w:rsidRDefault="00B808B3" w14:paraId="01791176" w14:textId="77777777">
            <w:pPr>
              <w:pStyle w:val="BlockSSNoPt"/>
              <w:jc w:val="right"/>
              <w:rPr>
                <w:sz w:val="11"/>
                <w:szCs w:val="11"/>
              </w:rPr>
            </w:pPr>
            <w:r w:rsidRPr="001000D5">
              <w:rPr>
                <w:sz w:val="11"/>
                <w:szCs w:val="11"/>
              </w:rPr>
              <w:t xml:space="preserve"> 10.6 </w:t>
            </w:r>
          </w:p>
        </w:tc>
        <w:tc>
          <w:tcPr>
            <w:tcW w:w="900" w:type="dxa"/>
          </w:tcPr>
          <w:p w:rsidRPr="001000D5" w:rsidR="00B808B3" w:rsidP="00581747" w:rsidRDefault="00B808B3" w14:paraId="1C9F93D7" w14:textId="77777777">
            <w:pPr>
              <w:pStyle w:val="BlockSSNoPt"/>
              <w:jc w:val="right"/>
              <w:rPr>
                <w:sz w:val="11"/>
                <w:szCs w:val="11"/>
              </w:rPr>
            </w:pPr>
            <w:r w:rsidRPr="001000D5">
              <w:rPr>
                <w:sz w:val="11"/>
                <w:szCs w:val="11"/>
              </w:rPr>
              <w:t>100</w:t>
            </w:r>
            <w:r>
              <w:rPr>
                <w:sz w:val="11"/>
                <w:szCs w:val="11"/>
              </w:rPr>
              <w:t>.0</w:t>
            </w:r>
            <w:r w:rsidRPr="001000D5">
              <w:rPr>
                <w:sz w:val="11"/>
                <w:szCs w:val="11"/>
              </w:rPr>
              <w:t>%</w:t>
            </w:r>
          </w:p>
        </w:tc>
      </w:tr>
      <w:tr w:rsidRPr="00AE648D" w:rsidR="00B808B3" w:rsidTr="00581747" w14:paraId="4B87DC08" w14:textId="77777777">
        <w:trPr>
          <w:trHeight w:val="188"/>
          <w:jc w:val="center"/>
        </w:trPr>
        <w:tc>
          <w:tcPr>
            <w:tcW w:w="900" w:type="dxa"/>
          </w:tcPr>
          <w:p w:rsidRPr="001000D5" w:rsidR="00B808B3" w:rsidP="00581747" w:rsidRDefault="00B808B3" w14:paraId="1F18EDE9" w14:textId="77777777">
            <w:pPr>
              <w:pStyle w:val="BlockSSNoPt"/>
              <w:rPr>
                <w:sz w:val="11"/>
                <w:szCs w:val="11"/>
              </w:rPr>
            </w:pPr>
          </w:p>
        </w:tc>
        <w:tc>
          <w:tcPr>
            <w:tcW w:w="815" w:type="dxa"/>
            <w:gridSpan w:val="3"/>
          </w:tcPr>
          <w:p w:rsidRPr="001000D5" w:rsidR="00B808B3" w:rsidP="00581747" w:rsidRDefault="00B808B3" w14:paraId="1A6BD0A3" w14:textId="77777777">
            <w:pPr>
              <w:pStyle w:val="BlockSSNoPt"/>
              <w:jc w:val="right"/>
              <w:rPr>
                <w:sz w:val="11"/>
                <w:szCs w:val="11"/>
              </w:rPr>
            </w:pPr>
          </w:p>
        </w:tc>
        <w:tc>
          <w:tcPr>
            <w:tcW w:w="810" w:type="dxa"/>
            <w:gridSpan w:val="2"/>
          </w:tcPr>
          <w:p w:rsidRPr="001000D5" w:rsidR="00B808B3" w:rsidP="00581747" w:rsidRDefault="00B808B3" w14:paraId="352FB5E6" w14:textId="77777777">
            <w:pPr>
              <w:pStyle w:val="BlockSSNoPt"/>
              <w:jc w:val="right"/>
              <w:rPr>
                <w:sz w:val="11"/>
                <w:szCs w:val="11"/>
              </w:rPr>
            </w:pPr>
          </w:p>
        </w:tc>
        <w:tc>
          <w:tcPr>
            <w:tcW w:w="270" w:type="dxa"/>
          </w:tcPr>
          <w:p w:rsidRPr="001000D5" w:rsidR="00B808B3" w:rsidP="00581747" w:rsidRDefault="00B808B3" w14:paraId="02620EFD" w14:textId="77777777">
            <w:pPr>
              <w:pStyle w:val="BlockSSNoPt"/>
              <w:jc w:val="right"/>
              <w:rPr>
                <w:sz w:val="11"/>
                <w:szCs w:val="11"/>
              </w:rPr>
            </w:pPr>
          </w:p>
        </w:tc>
        <w:tc>
          <w:tcPr>
            <w:tcW w:w="720" w:type="dxa"/>
          </w:tcPr>
          <w:p w:rsidRPr="001000D5" w:rsidR="00B808B3" w:rsidP="00581747" w:rsidRDefault="00B808B3" w14:paraId="06E5B440" w14:textId="77777777">
            <w:pPr>
              <w:pStyle w:val="BlockSSNoPt"/>
              <w:jc w:val="right"/>
              <w:rPr>
                <w:sz w:val="11"/>
                <w:szCs w:val="11"/>
              </w:rPr>
            </w:pPr>
          </w:p>
        </w:tc>
        <w:tc>
          <w:tcPr>
            <w:tcW w:w="810" w:type="dxa"/>
          </w:tcPr>
          <w:p w:rsidRPr="001000D5" w:rsidR="00B808B3" w:rsidP="00581747" w:rsidRDefault="00B808B3" w14:paraId="3540BD27" w14:textId="77777777">
            <w:pPr>
              <w:pStyle w:val="BlockSSNoPt"/>
              <w:jc w:val="right"/>
              <w:rPr>
                <w:sz w:val="11"/>
                <w:szCs w:val="11"/>
              </w:rPr>
            </w:pPr>
          </w:p>
        </w:tc>
        <w:tc>
          <w:tcPr>
            <w:tcW w:w="270" w:type="dxa"/>
          </w:tcPr>
          <w:p w:rsidRPr="001000D5" w:rsidR="00B808B3" w:rsidP="00581747" w:rsidRDefault="00B808B3" w14:paraId="0FA55558" w14:textId="77777777">
            <w:pPr>
              <w:pStyle w:val="BlockSSNoPt"/>
              <w:jc w:val="right"/>
              <w:rPr>
                <w:sz w:val="11"/>
                <w:szCs w:val="11"/>
              </w:rPr>
            </w:pPr>
          </w:p>
        </w:tc>
        <w:tc>
          <w:tcPr>
            <w:tcW w:w="810" w:type="dxa"/>
          </w:tcPr>
          <w:p w:rsidRPr="001000D5" w:rsidR="00B808B3" w:rsidP="00581747" w:rsidRDefault="00B808B3" w14:paraId="54C7CB30" w14:textId="77777777">
            <w:pPr>
              <w:pStyle w:val="BlockSSNoPt"/>
              <w:jc w:val="right"/>
              <w:rPr>
                <w:sz w:val="11"/>
                <w:szCs w:val="11"/>
              </w:rPr>
            </w:pPr>
          </w:p>
        </w:tc>
        <w:tc>
          <w:tcPr>
            <w:tcW w:w="810" w:type="dxa"/>
          </w:tcPr>
          <w:p w:rsidRPr="001000D5" w:rsidR="00B808B3" w:rsidP="00581747" w:rsidRDefault="00B808B3" w14:paraId="0FCACF73" w14:textId="77777777">
            <w:pPr>
              <w:pStyle w:val="BlockSSNoPt"/>
              <w:jc w:val="right"/>
              <w:rPr>
                <w:sz w:val="11"/>
                <w:szCs w:val="11"/>
              </w:rPr>
            </w:pPr>
          </w:p>
        </w:tc>
        <w:tc>
          <w:tcPr>
            <w:tcW w:w="270" w:type="dxa"/>
          </w:tcPr>
          <w:p w:rsidRPr="001000D5" w:rsidR="00B808B3" w:rsidP="00581747" w:rsidRDefault="00B808B3" w14:paraId="72852E8A" w14:textId="77777777">
            <w:pPr>
              <w:pStyle w:val="BlockSSNoPt"/>
              <w:jc w:val="right"/>
              <w:rPr>
                <w:sz w:val="11"/>
                <w:szCs w:val="11"/>
              </w:rPr>
            </w:pPr>
          </w:p>
        </w:tc>
        <w:tc>
          <w:tcPr>
            <w:tcW w:w="810" w:type="dxa"/>
          </w:tcPr>
          <w:p w:rsidRPr="001000D5" w:rsidR="00B808B3" w:rsidP="00581747" w:rsidRDefault="00B808B3" w14:paraId="7A575413" w14:textId="77777777">
            <w:pPr>
              <w:pStyle w:val="BlockSSNoPt"/>
              <w:jc w:val="right"/>
              <w:rPr>
                <w:sz w:val="11"/>
                <w:szCs w:val="11"/>
              </w:rPr>
            </w:pPr>
          </w:p>
        </w:tc>
        <w:tc>
          <w:tcPr>
            <w:tcW w:w="810" w:type="dxa"/>
          </w:tcPr>
          <w:p w:rsidRPr="001000D5" w:rsidR="00B808B3" w:rsidP="00581747" w:rsidRDefault="00B808B3" w14:paraId="03414522" w14:textId="77777777">
            <w:pPr>
              <w:pStyle w:val="BlockSSNoPt"/>
              <w:jc w:val="right"/>
              <w:rPr>
                <w:sz w:val="11"/>
                <w:szCs w:val="11"/>
              </w:rPr>
            </w:pPr>
          </w:p>
        </w:tc>
        <w:tc>
          <w:tcPr>
            <w:tcW w:w="270" w:type="dxa"/>
          </w:tcPr>
          <w:p w:rsidRPr="001000D5" w:rsidR="00B808B3" w:rsidP="00581747" w:rsidRDefault="00B808B3" w14:paraId="7A05CFF0" w14:textId="77777777">
            <w:pPr>
              <w:pStyle w:val="BlockSSNoPt"/>
              <w:jc w:val="right"/>
              <w:rPr>
                <w:sz w:val="11"/>
                <w:szCs w:val="11"/>
              </w:rPr>
            </w:pPr>
          </w:p>
        </w:tc>
        <w:tc>
          <w:tcPr>
            <w:tcW w:w="810" w:type="dxa"/>
          </w:tcPr>
          <w:p w:rsidRPr="001000D5" w:rsidR="00B808B3" w:rsidP="00581747" w:rsidRDefault="00B808B3" w14:paraId="4C0718EF" w14:textId="77777777">
            <w:pPr>
              <w:pStyle w:val="BlockSSNoPt"/>
              <w:jc w:val="right"/>
              <w:rPr>
                <w:sz w:val="11"/>
                <w:szCs w:val="11"/>
              </w:rPr>
            </w:pPr>
          </w:p>
        </w:tc>
        <w:tc>
          <w:tcPr>
            <w:tcW w:w="810" w:type="dxa"/>
          </w:tcPr>
          <w:p w:rsidRPr="001000D5" w:rsidR="00B808B3" w:rsidP="00581747" w:rsidRDefault="00B808B3" w14:paraId="47546536" w14:textId="77777777">
            <w:pPr>
              <w:pStyle w:val="BlockSSNoPt"/>
              <w:jc w:val="right"/>
              <w:rPr>
                <w:sz w:val="11"/>
                <w:szCs w:val="11"/>
              </w:rPr>
            </w:pPr>
          </w:p>
        </w:tc>
        <w:tc>
          <w:tcPr>
            <w:tcW w:w="270" w:type="dxa"/>
          </w:tcPr>
          <w:p w:rsidRPr="001000D5" w:rsidR="00B808B3" w:rsidP="00581747" w:rsidRDefault="00B808B3" w14:paraId="0BBBA109" w14:textId="77777777">
            <w:pPr>
              <w:pStyle w:val="BlockSSNoPt"/>
              <w:jc w:val="right"/>
              <w:rPr>
                <w:sz w:val="11"/>
                <w:szCs w:val="11"/>
              </w:rPr>
            </w:pPr>
          </w:p>
        </w:tc>
        <w:tc>
          <w:tcPr>
            <w:tcW w:w="748" w:type="dxa"/>
          </w:tcPr>
          <w:p w:rsidRPr="001000D5" w:rsidR="00B808B3" w:rsidP="00581747" w:rsidRDefault="00B808B3" w14:paraId="381D96A2" w14:textId="77777777">
            <w:pPr>
              <w:pStyle w:val="BlockSSNoPt"/>
              <w:jc w:val="right"/>
              <w:rPr>
                <w:sz w:val="11"/>
                <w:szCs w:val="11"/>
              </w:rPr>
            </w:pPr>
          </w:p>
        </w:tc>
        <w:tc>
          <w:tcPr>
            <w:tcW w:w="900" w:type="dxa"/>
          </w:tcPr>
          <w:p w:rsidRPr="001000D5" w:rsidR="00B808B3" w:rsidP="00581747" w:rsidRDefault="00B808B3" w14:paraId="62289FD0" w14:textId="77777777">
            <w:pPr>
              <w:pStyle w:val="BlockSSNoPt"/>
              <w:jc w:val="right"/>
              <w:rPr>
                <w:sz w:val="11"/>
                <w:szCs w:val="11"/>
              </w:rPr>
            </w:pPr>
          </w:p>
        </w:tc>
      </w:tr>
      <w:tr w:rsidRPr="00AE648D" w:rsidR="00B808B3" w:rsidTr="00581747" w14:paraId="26EA4159" w14:textId="77777777">
        <w:trPr>
          <w:trHeight w:val="188"/>
          <w:jc w:val="center"/>
        </w:trPr>
        <w:tc>
          <w:tcPr>
            <w:tcW w:w="900" w:type="dxa"/>
          </w:tcPr>
          <w:p w:rsidRPr="001000D5" w:rsidR="00B808B3" w:rsidP="00581747" w:rsidRDefault="00B808B3" w14:paraId="36110735" w14:textId="77777777">
            <w:pPr>
              <w:pStyle w:val="BlockSSNoPt"/>
              <w:rPr>
                <w:sz w:val="11"/>
                <w:szCs w:val="11"/>
              </w:rPr>
            </w:pPr>
            <w:r w:rsidRPr="001000D5">
              <w:rPr>
                <w:sz w:val="11"/>
                <w:szCs w:val="11"/>
              </w:rPr>
              <w:t>Totals</w:t>
            </w:r>
          </w:p>
        </w:tc>
        <w:tc>
          <w:tcPr>
            <w:tcW w:w="815" w:type="dxa"/>
            <w:gridSpan w:val="3"/>
          </w:tcPr>
          <w:p w:rsidRPr="001000D5" w:rsidR="00B808B3" w:rsidP="00581747" w:rsidRDefault="00B808B3" w14:paraId="464E5019" w14:textId="77777777">
            <w:pPr>
              <w:pStyle w:val="BlockSSNoPt"/>
              <w:jc w:val="right"/>
              <w:rPr>
                <w:sz w:val="11"/>
                <w:szCs w:val="11"/>
              </w:rPr>
            </w:pPr>
            <w:r w:rsidRPr="001000D5">
              <w:rPr>
                <w:sz w:val="11"/>
                <w:szCs w:val="11"/>
              </w:rPr>
              <w:t>122.6</w:t>
            </w:r>
          </w:p>
        </w:tc>
        <w:tc>
          <w:tcPr>
            <w:tcW w:w="810" w:type="dxa"/>
            <w:gridSpan w:val="2"/>
          </w:tcPr>
          <w:p w:rsidRPr="001000D5" w:rsidR="00B808B3" w:rsidP="00581747" w:rsidRDefault="00B808B3" w14:paraId="4563B2BD" w14:textId="77777777">
            <w:pPr>
              <w:pStyle w:val="BlockSSNoPt"/>
              <w:jc w:val="right"/>
              <w:rPr>
                <w:sz w:val="11"/>
                <w:szCs w:val="11"/>
              </w:rPr>
            </w:pPr>
          </w:p>
        </w:tc>
        <w:tc>
          <w:tcPr>
            <w:tcW w:w="270" w:type="dxa"/>
          </w:tcPr>
          <w:p w:rsidRPr="001000D5" w:rsidR="00B808B3" w:rsidP="00581747" w:rsidRDefault="00B808B3" w14:paraId="1CCCC678" w14:textId="77777777">
            <w:pPr>
              <w:pStyle w:val="BlockSSNoPt"/>
              <w:jc w:val="right"/>
              <w:rPr>
                <w:sz w:val="11"/>
                <w:szCs w:val="11"/>
              </w:rPr>
            </w:pPr>
          </w:p>
        </w:tc>
        <w:tc>
          <w:tcPr>
            <w:tcW w:w="720" w:type="dxa"/>
          </w:tcPr>
          <w:p w:rsidRPr="001000D5" w:rsidR="00B808B3" w:rsidP="00581747" w:rsidRDefault="00B808B3" w14:paraId="76E699D8" w14:textId="77777777">
            <w:pPr>
              <w:pStyle w:val="BlockSSNoPt"/>
              <w:jc w:val="right"/>
              <w:rPr>
                <w:sz w:val="11"/>
                <w:szCs w:val="11"/>
              </w:rPr>
            </w:pPr>
            <w:r w:rsidRPr="001000D5">
              <w:rPr>
                <w:sz w:val="11"/>
                <w:szCs w:val="11"/>
              </w:rPr>
              <w:t>111.3</w:t>
            </w:r>
          </w:p>
        </w:tc>
        <w:tc>
          <w:tcPr>
            <w:tcW w:w="810" w:type="dxa"/>
          </w:tcPr>
          <w:p w:rsidRPr="001000D5" w:rsidR="00B808B3" w:rsidP="00581747" w:rsidRDefault="00B808B3" w14:paraId="07A8F2C7" w14:textId="77777777">
            <w:pPr>
              <w:pStyle w:val="BlockSSNoPt"/>
              <w:jc w:val="right"/>
              <w:rPr>
                <w:sz w:val="11"/>
                <w:szCs w:val="11"/>
              </w:rPr>
            </w:pPr>
          </w:p>
        </w:tc>
        <w:tc>
          <w:tcPr>
            <w:tcW w:w="270" w:type="dxa"/>
          </w:tcPr>
          <w:p w:rsidRPr="001000D5" w:rsidR="00B808B3" w:rsidP="00581747" w:rsidRDefault="00B808B3" w14:paraId="777660C8" w14:textId="77777777">
            <w:pPr>
              <w:pStyle w:val="BlockSSNoPt"/>
              <w:jc w:val="right"/>
              <w:rPr>
                <w:sz w:val="11"/>
                <w:szCs w:val="11"/>
              </w:rPr>
            </w:pPr>
          </w:p>
        </w:tc>
        <w:tc>
          <w:tcPr>
            <w:tcW w:w="810" w:type="dxa"/>
          </w:tcPr>
          <w:p w:rsidRPr="001000D5" w:rsidR="00B808B3" w:rsidP="00581747" w:rsidRDefault="00B808B3" w14:paraId="136BC41B" w14:textId="77777777">
            <w:pPr>
              <w:pStyle w:val="BlockSSNoPt"/>
              <w:jc w:val="right"/>
              <w:rPr>
                <w:sz w:val="11"/>
                <w:szCs w:val="11"/>
              </w:rPr>
            </w:pPr>
            <w:r w:rsidRPr="001000D5">
              <w:rPr>
                <w:sz w:val="11"/>
                <w:szCs w:val="11"/>
              </w:rPr>
              <w:t>196.6</w:t>
            </w:r>
          </w:p>
        </w:tc>
        <w:tc>
          <w:tcPr>
            <w:tcW w:w="810" w:type="dxa"/>
          </w:tcPr>
          <w:p w:rsidRPr="001000D5" w:rsidR="00B808B3" w:rsidP="00581747" w:rsidRDefault="00B808B3" w14:paraId="284F0592" w14:textId="77777777">
            <w:pPr>
              <w:pStyle w:val="BlockSSNoPt"/>
              <w:jc w:val="right"/>
              <w:rPr>
                <w:sz w:val="11"/>
                <w:szCs w:val="11"/>
              </w:rPr>
            </w:pPr>
          </w:p>
        </w:tc>
        <w:tc>
          <w:tcPr>
            <w:tcW w:w="270" w:type="dxa"/>
          </w:tcPr>
          <w:p w:rsidRPr="001000D5" w:rsidR="00B808B3" w:rsidP="00581747" w:rsidRDefault="00B808B3" w14:paraId="7A9569A2" w14:textId="77777777">
            <w:pPr>
              <w:pStyle w:val="BlockSSNoPt"/>
              <w:jc w:val="right"/>
              <w:rPr>
                <w:sz w:val="11"/>
                <w:szCs w:val="11"/>
              </w:rPr>
            </w:pPr>
          </w:p>
        </w:tc>
        <w:tc>
          <w:tcPr>
            <w:tcW w:w="810" w:type="dxa"/>
          </w:tcPr>
          <w:p w:rsidRPr="001000D5" w:rsidR="00B808B3" w:rsidP="00581747" w:rsidRDefault="00B808B3" w14:paraId="51026383" w14:textId="77777777">
            <w:pPr>
              <w:pStyle w:val="BlockSSNoPt"/>
              <w:jc w:val="right"/>
              <w:rPr>
                <w:sz w:val="11"/>
                <w:szCs w:val="11"/>
              </w:rPr>
            </w:pPr>
            <w:r w:rsidRPr="001000D5">
              <w:rPr>
                <w:sz w:val="11"/>
                <w:szCs w:val="11"/>
              </w:rPr>
              <w:t>384.2</w:t>
            </w:r>
          </w:p>
        </w:tc>
        <w:tc>
          <w:tcPr>
            <w:tcW w:w="810" w:type="dxa"/>
          </w:tcPr>
          <w:p w:rsidRPr="001000D5" w:rsidR="00B808B3" w:rsidP="00581747" w:rsidRDefault="00B808B3" w14:paraId="63B07593" w14:textId="77777777">
            <w:pPr>
              <w:pStyle w:val="BlockSSNoPt"/>
              <w:jc w:val="right"/>
              <w:rPr>
                <w:sz w:val="11"/>
                <w:szCs w:val="11"/>
              </w:rPr>
            </w:pPr>
          </w:p>
        </w:tc>
        <w:tc>
          <w:tcPr>
            <w:tcW w:w="270" w:type="dxa"/>
          </w:tcPr>
          <w:p w:rsidRPr="001000D5" w:rsidR="00B808B3" w:rsidP="00581747" w:rsidRDefault="00B808B3" w14:paraId="039B7235" w14:textId="77777777">
            <w:pPr>
              <w:pStyle w:val="BlockSSNoPt"/>
              <w:jc w:val="right"/>
              <w:rPr>
                <w:sz w:val="11"/>
                <w:szCs w:val="11"/>
              </w:rPr>
            </w:pPr>
          </w:p>
        </w:tc>
        <w:tc>
          <w:tcPr>
            <w:tcW w:w="810" w:type="dxa"/>
          </w:tcPr>
          <w:p w:rsidRPr="001000D5" w:rsidR="00B808B3" w:rsidP="00581747" w:rsidRDefault="00B808B3" w14:paraId="7D78FAA5" w14:textId="77777777">
            <w:pPr>
              <w:pStyle w:val="BlockSSNoPt"/>
              <w:jc w:val="right"/>
              <w:rPr>
                <w:sz w:val="11"/>
                <w:szCs w:val="11"/>
              </w:rPr>
            </w:pPr>
            <w:r w:rsidRPr="001000D5">
              <w:rPr>
                <w:sz w:val="11"/>
                <w:szCs w:val="11"/>
              </w:rPr>
              <w:t>431.9</w:t>
            </w:r>
          </w:p>
        </w:tc>
        <w:tc>
          <w:tcPr>
            <w:tcW w:w="810" w:type="dxa"/>
          </w:tcPr>
          <w:p w:rsidRPr="001000D5" w:rsidR="00B808B3" w:rsidP="00581747" w:rsidRDefault="00B808B3" w14:paraId="25349044" w14:textId="77777777">
            <w:pPr>
              <w:pStyle w:val="BlockSSNoPt"/>
              <w:jc w:val="right"/>
              <w:rPr>
                <w:sz w:val="11"/>
                <w:szCs w:val="11"/>
              </w:rPr>
            </w:pPr>
          </w:p>
        </w:tc>
        <w:tc>
          <w:tcPr>
            <w:tcW w:w="270" w:type="dxa"/>
          </w:tcPr>
          <w:p w:rsidRPr="001000D5" w:rsidR="00B808B3" w:rsidP="00581747" w:rsidRDefault="00B808B3" w14:paraId="6C8F5226" w14:textId="77777777">
            <w:pPr>
              <w:pStyle w:val="BlockSSNoPt"/>
              <w:jc w:val="right"/>
              <w:rPr>
                <w:sz w:val="11"/>
                <w:szCs w:val="11"/>
              </w:rPr>
            </w:pPr>
          </w:p>
        </w:tc>
        <w:tc>
          <w:tcPr>
            <w:tcW w:w="748" w:type="dxa"/>
          </w:tcPr>
          <w:p w:rsidRPr="001000D5" w:rsidR="00B808B3" w:rsidP="00581747" w:rsidRDefault="00B808B3" w14:paraId="514F66A7" w14:textId="77777777">
            <w:pPr>
              <w:pStyle w:val="BlockSSNoPt"/>
              <w:jc w:val="right"/>
              <w:rPr>
                <w:sz w:val="11"/>
                <w:szCs w:val="11"/>
              </w:rPr>
            </w:pPr>
            <w:r w:rsidRPr="001000D5">
              <w:rPr>
                <w:sz w:val="11"/>
                <w:szCs w:val="11"/>
              </w:rPr>
              <w:t>1,246.5</w:t>
            </w:r>
          </w:p>
        </w:tc>
        <w:tc>
          <w:tcPr>
            <w:tcW w:w="900" w:type="dxa"/>
          </w:tcPr>
          <w:p w:rsidRPr="001000D5" w:rsidR="00B808B3" w:rsidP="00581747" w:rsidRDefault="00B808B3" w14:paraId="6E21EF67" w14:textId="77777777">
            <w:pPr>
              <w:pStyle w:val="BlockSSNoPt"/>
              <w:jc w:val="right"/>
              <w:rPr>
                <w:sz w:val="11"/>
                <w:szCs w:val="11"/>
              </w:rPr>
            </w:pPr>
          </w:p>
        </w:tc>
      </w:tr>
      <w:tr w:rsidRPr="003053E8" w:rsidR="00B808B3" w:rsidTr="00581747" w14:paraId="4E6478F4" w14:textId="77777777">
        <w:trPr>
          <w:trHeight w:val="188"/>
          <w:jc w:val="center"/>
        </w:trPr>
        <w:tc>
          <w:tcPr>
            <w:tcW w:w="900" w:type="dxa"/>
          </w:tcPr>
          <w:p w:rsidRPr="001000D5" w:rsidR="00B808B3" w:rsidP="00581747" w:rsidRDefault="00B808B3" w14:paraId="03D9C1C9" w14:textId="77777777">
            <w:pPr>
              <w:pStyle w:val="BlockSSNoPt"/>
              <w:rPr>
                <w:sz w:val="11"/>
                <w:szCs w:val="11"/>
              </w:rPr>
            </w:pPr>
          </w:p>
        </w:tc>
        <w:tc>
          <w:tcPr>
            <w:tcW w:w="815" w:type="dxa"/>
            <w:gridSpan w:val="3"/>
          </w:tcPr>
          <w:p w:rsidRPr="001000D5" w:rsidR="00B808B3" w:rsidP="00581747" w:rsidRDefault="00B808B3" w14:paraId="53EBF650" w14:textId="77777777">
            <w:pPr>
              <w:pStyle w:val="BlockSSNoPt"/>
              <w:jc w:val="right"/>
              <w:rPr>
                <w:sz w:val="11"/>
                <w:szCs w:val="11"/>
              </w:rPr>
            </w:pPr>
          </w:p>
        </w:tc>
        <w:tc>
          <w:tcPr>
            <w:tcW w:w="810" w:type="dxa"/>
            <w:gridSpan w:val="2"/>
          </w:tcPr>
          <w:p w:rsidRPr="001000D5" w:rsidR="00B808B3" w:rsidP="00581747" w:rsidRDefault="00B808B3" w14:paraId="1E55410B" w14:textId="77777777">
            <w:pPr>
              <w:pStyle w:val="BlockSSNoPt"/>
              <w:jc w:val="right"/>
              <w:rPr>
                <w:sz w:val="11"/>
                <w:szCs w:val="11"/>
              </w:rPr>
            </w:pPr>
          </w:p>
        </w:tc>
        <w:tc>
          <w:tcPr>
            <w:tcW w:w="270" w:type="dxa"/>
          </w:tcPr>
          <w:p w:rsidRPr="001000D5" w:rsidR="00B808B3" w:rsidP="00581747" w:rsidRDefault="00B808B3" w14:paraId="47ACFEA4" w14:textId="77777777">
            <w:pPr>
              <w:pStyle w:val="BlockSSNoPt"/>
              <w:jc w:val="right"/>
              <w:rPr>
                <w:sz w:val="11"/>
                <w:szCs w:val="11"/>
              </w:rPr>
            </w:pPr>
          </w:p>
        </w:tc>
        <w:tc>
          <w:tcPr>
            <w:tcW w:w="720" w:type="dxa"/>
          </w:tcPr>
          <w:p w:rsidRPr="001000D5" w:rsidR="00B808B3" w:rsidP="00581747" w:rsidRDefault="00B808B3" w14:paraId="52B1A388" w14:textId="77777777">
            <w:pPr>
              <w:pStyle w:val="BlockSSNoPt"/>
              <w:jc w:val="right"/>
              <w:rPr>
                <w:sz w:val="11"/>
                <w:szCs w:val="11"/>
              </w:rPr>
            </w:pPr>
          </w:p>
        </w:tc>
        <w:tc>
          <w:tcPr>
            <w:tcW w:w="810" w:type="dxa"/>
          </w:tcPr>
          <w:p w:rsidRPr="001000D5" w:rsidR="00B808B3" w:rsidP="00581747" w:rsidRDefault="00B808B3" w14:paraId="03DB7CF7" w14:textId="77777777">
            <w:pPr>
              <w:pStyle w:val="BlockSSNoPt"/>
              <w:jc w:val="right"/>
              <w:rPr>
                <w:sz w:val="11"/>
                <w:szCs w:val="11"/>
              </w:rPr>
            </w:pPr>
          </w:p>
        </w:tc>
        <w:tc>
          <w:tcPr>
            <w:tcW w:w="270" w:type="dxa"/>
          </w:tcPr>
          <w:p w:rsidRPr="001000D5" w:rsidR="00B808B3" w:rsidP="00581747" w:rsidRDefault="00B808B3" w14:paraId="1655BA11" w14:textId="77777777">
            <w:pPr>
              <w:pStyle w:val="BlockSSNoPt"/>
              <w:jc w:val="right"/>
              <w:rPr>
                <w:sz w:val="11"/>
                <w:szCs w:val="11"/>
              </w:rPr>
            </w:pPr>
          </w:p>
        </w:tc>
        <w:tc>
          <w:tcPr>
            <w:tcW w:w="810" w:type="dxa"/>
          </w:tcPr>
          <w:p w:rsidRPr="001000D5" w:rsidR="00B808B3" w:rsidP="00581747" w:rsidRDefault="00B808B3" w14:paraId="71CFE9B3" w14:textId="77777777">
            <w:pPr>
              <w:pStyle w:val="BlockSSNoPt"/>
              <w:jc w:val="right"/>
              <w:rPr>
                <w:sz w:val="11"/>
                <w:szCs w:val="11"/>
              </w:rPr>
            </w:pPr>
          </w:p>
        </w:tc>
        <w:tc>
          <w:tcPr>
            <w:tcW w:w="810" w:type="dxa"/>
          </w:tcPr>
          <w:p w:rsidRPr="001000D5" w:rsidR="00B808B3" w:rsidP="00581747" w:rsidRDefault="00B808B3" w14:paraId="50457BD3" w14:textId="77777777">
            <w:pPr>
              <w:pStyle w:val="BlockSSNoPt"/>
              <w:jc w:val="right"/>
              <w:rPr>
                <w:sz w:val="11"/>
                <w:szCs w:val="11"/>
              </w:rPr>
            </w:pPr>
          </w:p>
        </w:tc>
        <w:tc>
          <w:tcPr>
            <w:tcW w:w="270" w:type="dxa"/>
          </w:tcPr>
          <w:p w:rsidRPr="001000D5" w:rsidR="00B808B3" w:rsidP="00581747" w:rsidRDefault="00B808B3" w14:paraId="14AC3AFA" w14:textId="77777777">
            <w:pPr>
              <w:pStyle w:val="BlockSSNoPt"/>
              <w:jc w:val="right"/>
              <w:rPr>
                <w:sz w:val="11"/>
                <w:szCs w:val="11"/>
              </w:rPr>
            </w:pPr>
          </w:p>
        </w:tc>
        <w:tc>
          <w:tcPr>
            <w:tcW w:w="810" w:type="dxa"/>
          </w:tcPr>
          <w:p w:rsidRPr="001000D5" w:rsidR="00B808B3" w:rsidP="00581747" w:rsidRDefault="00B808B3" w14:paraId="2E5F3CD2" w14:textId="77777777">
            <w:pPr>
              <w:pStyle w:val="BlockSSNoPt"/>
              <w:jc w:val="right"/>
              <w:rPr>
                <w:sz w:val="11"/>
                <w:szCs w:val="11"/>
              </w:rPr>
            </w:pPr>
          </w:p>
        </w:tc>
        <w:tc>
          <w:tcPr>
            <w:tcW w:w="810" w:type="dxa"/>
          </w:tcPr>
          <w:p w:rsidRPr="001000D5" w:rsidR="00B808B3" w:rsidP="00581747" w:rsidRDefault="00B808B3" w14:paraId="16AD2061" w14:textId="77777777">
            <w:pPr>
              <w:pStyle w:val="BlockSSNoPt"/>
              <w:jc w:val="right"/>
              <w:rPr>
                <w:sz w:val="11"/>
                <w:szCs w:val="11"/>
              </w:rPr>
            </w:pPr>
          </w:p>
        </w:tc>
        <w:tc>
          <w:tcPr>
            <w:tcW w:w="270" w:type="dxa"/>
          </w:tcPr>
          <w:p w:rsidRPr="001000D5" w:rsidR="00B808B3" w:rsidP="00581747" w:rsidRDefault="00B808B3" w14:paraId="0ABFE5C9" w14:textId="77777777">
            <w:pPr>
              <w:pStyle w:val="BlockSSNoPt"/>
              <w:jc w:val="right"/>
              <w:rPr>
                <w:sz w:val="11"/>
                <w:szCs w:val="11"/>
              </w:rPr>
            </w:pPr>
          </w:p>
        </w:tc>
        <w:tc>
          <w:tcPr>
            <w:tcW w:w="810" w:type="dxa"/>
          </w:tcPr>
          <w:p w:rsidRPr="001000D5" w:rsidR="00B808B3" w:rsidP="00581747" w:rsidRDefault="00B808B3" w14:paraId="7EDEFA80" w14:textId="77777777">
            <w:pPr>
              <w:pStyle w:val="BlockSSNoPt"/>
              <w:jc w:val="right"/>
              <w:rPr>
                <w:sz w:val="11"/>
                <w:szCs w:val="11"/>
              </w:rPr>
            </w:pPr>
          </w:p>
        </w:tc>
        <w:tc>
          <w:tcPr>
            <w:tcW w:w="810" w:type="dxa"/>
          </w:tcPr>
          <w:p w:rsidRPr="001000D5" w:rsidR="00B808B3" w:rsidP="00581747" w:rsidRDefault="00B808B3" w14:paraId="4B3D0054" w14:textId="77777777">
            <w:pPr>
              <w:pStyle w:val="BlockSSNoPt"/>
              <w:jc w:val="right"/>
              <w:rPr>
                <w:sz w:val="11"/>
                <w:szCs w:val="11"/>
              </w:rPr>
            </w:pPr>
          </w:p>
        </w:tc>
        <w:tc>
          <w:tcPr>
            <w:tcW w:w="270" w:type="dxa"/>
          </w:tcPr>
          <w:p w:rsidRPr="001000D5" w:rsidR="00B808B3" w:rsidP="00581747" w:rsidRDefault="00B808B3" w14:paraId="7E426BDB" w14:textId="77777777">
            <w:pPr>
              <w:pStyle w:val="BlockSSNoPt"/>
              <w:jc w:val="right"/>
              <w:rPr>
                <w:sz w:val="11"/>
                <w:szCs w:val="11"/>
              </w:rPr>
            </w:pPr>
          </w:p>
        </w:tc>
        <w:tc>
          <w:tcPr>
            <w:tcW w:w="748" w:type="dxa"/>
          </w:tcPr>
          <w:p w:rsidRPr="001000D5" w:rsidR="00B808B3" w:rsidP="00581747" w:rsidRDefault="00B808B3" w14:paraId="5530AC7D" w14:textId="77777777">
            <w:pPr>
              <w:pStyle w:val="BlockSSNoPt"/>
              <w:jc w:val="right"/>
              <w:rPr>
                <w:sz w:val="11"/>
                <w:szCs w:val="11"/>
              </w:rPr>
            </w:pPr>
          </w:p>
        </w:tc>
        <w:tc>
          <w:tcPr>
            <w:tcW w:w="900" w:type="dxa"/>
          </w:tcPr>
          <w:p w:rsidRPr="001000D5" w:rsidR="00B808B3" w:rsidP="00581747" w:rsidRDefault="00B808B3" w14:paraId="47562208" w14:textId="77777777">
            <w:pPr>
              <w:pStyle w:val="BlockSSNoPt"/>
              <w:jc w:val="right"/>
              <w:rPr>
                <w:sz w:val="11"/>
                <w:szCs w:val="11"/>
              </w:rPr>
            </w:pPr>
          </w:p>
        </w:tc>
      </w:tr>
    </w:tbl>
    <w:p w:rsidRPr="009C421E" w:rsidR="00D052B4" w:rsidP="00D052B4" w:rsidRDefault="00D052B4" w14:paraId="240C6964" w14:textId="77777777">
      <w:pPr>
        <w:pStyle w:val="BlockSSNoPt"/>
        <w:rPr>
          <w:sz w:val="20"/>
          <w:szCs w:val="20"/>
        </w:rPr>
      </w:pPr>
    </w:p>
    <w:p w:rsidRPr="009C421E" w:rsidR="00D052B4" w:rsidP="00D052B4" w:rsidRDefault="00D052B4" w14:paraId="6B11DCEC" w14:textId="7CA072CB">
      <w:pPr>
        <w:pStyle w:val="1stLineIndentSS"/>
        <w:rPr>
          <w:sz w:val="20"/>
          <w:szCs w:val="20"/>
        </w:rPr>
      </w:pPr>
      <w:r w:rsidRPr="009C421E">
        <w:rPr>
          <w:sz w:val="20"/>
          <w:szCs w:val="20"/>
        </w:rPr>
        <w:t xml:space="preserve">This historical data provided herein assisted the Authority in making its determination that the use of the proceeds of the </w:t>
      </w:r>
      <w:r w:rsidR="00C7294C">
        <w:rPr>
          <w:sz w:val="20"/>
          <w:szCs w:val="20"/>
        </w:rPr>
        <w:t>2024 Series C</w:t>
      </w:r>
      <w:r w:rsidRPr="009C421E" w:rsidR="005B3036">
        <w:rPr>
          <w:sz w:val="20"/>
          <w:szCs w:val="20"/>
        </w:rPr>
        <w:t xml:space="preserve"> Bond</w:t>
      </w:r>
      <w:r w:rsidRPr="009C421E" w:rsidR="006C550F">
        <w:rPr>
          <w:sz w:val="20"/>
          <w:szCs w:val="20"/>
        </w:rPr>
        <w:t>s</w:t>
      </w:r>
      <w:r w:rsidRPr="009C421E">
        <w:rPr>
          <w:sz w:val="20"/>
          <w:szCs w:val="20"/>
        </w:rPr>
        <w:t xml:space="preserve"> is expected to meet the goals discussed herein for their designation as Social Bonds.</w:t>
      </w:r>
    </w:p>
    <w:p w:rsidR="00D052B4" w:rsidP="00D052B4" w:rsidRDefault="00D052B4" w14:paraId="27553495" w14:textId="35501CA4">
      <w:pPr>
        <w:pStyle w:val="1stLineIndentSS"/>
        <w:rPr>
          <w:sz w:val="20"/>
          <w:szCs w:val="20"/>
        </w:rPr>
      </w:pPr>
      <w:r w:rsidRPr="009C421E">
        <w:rPr>
          <w:sz w:val="20"/>
          <w:szCs w:val="20"/>
        </w:rPr>
        <w:t>Past uses of the Authority</w:t>
      </w:r>
      <w:r w:rsidRPr="009C421E" w:rsidR="00C34AEA">
        <w:rPr>
          <w:sz w:val="20"/>
          <w:szCs w:val="20"/>
        </w:rPr>
        <w:t>’</w:t>
      </w:r>
      <w:r w:rsidRPr="009C421E">
        <w:rPr>
          <w:sz w:val="20"/>
          <w:szCs w:val="20"/>
        </w:rPr>
        <w:t xml:space="preserve">s bond proceeds do not guarantee that the </w:t>
      </w:r>
      <w:r w:rsidR="00C7294C">
        <w:rPr>
          <w:sz w:val="20"/>
          <w:szCs w:val="20"/>
        </w:rPr>
        <w:t>2024 Series C</w:t>
      </w:r>
      <w:r w:rsidRPr="009C421E" w:rsidR="005B3036">
        <w:rPr>
          <w:sz w:val="20"/>
          <w:szCs w:val="20"/>
        </w:rPr>
        <w:t xml:space="preserve"> Bond</w:t>
      </w:r>
      <w:r w:rsidRPr="009C421E">
        <w:rPr>
          <w:sz w:val="20"/>
          <w:szCs w:val="20"/>
        </w:rPr>
        <w:t xml:space="preserve"> proceeds will be used in the same manner or with the same results.  The information set forth herein concerning the designation of the </w:t>
      </w:r>
      <w:r w:rsidR="00C7294C">
        <w:rPr>
          <w:sz w:val="20"/>
          <w:szCs w:val="20"/>
        </w:rPr>
        <w:t>2024 Series C</w:t>
      </w:r>
      <w:r w:rsidRPr="009C421E" w:rsidR="005B3036">
        <w:rPr>
          <w:sz w:val="20"/>
          <w:szCs w:val="20"/>
        </w:rPr>
        <w:t xml:space="preserve"> Bond</w:t>
      </w:r>
      <w:r w:rsidRPr="009C421E" w:rsidR="006C550F">
        <w:rPr>
          <w:sz w:val="20"/>
          <w:szCs w:val="20"/>
        </w:rPr>
        <w:t>s</w:t>
      </w:r>
      <w:r w:rsidRPr="009C421E">
        <w:rPr>
          <w:sz w:val="20"/>
          <w:szCs w:val="20"/>
        </w:rPr>
        <w:t xml:space="preserve"> as </w:t>
      </w:r>
      <w:r w:rsidRPr="009C421E" w:rsidR="00C34AEA">
        <w:rPr>
          <w:sz w:val="20"/>
          <w:szCs w:val="20"/>
        </w:rPr>
        <w:t>“</w:t>
      </w:r>
      <w:r w:rsidRPr="009C421E">
        <w:rPr>
          <w:sz w:val="20"/>
          <w:szCs w:val="20"/>
        </w:rPr>
        <w:t>Social Bonds</w:t>
      </w:r>
      <w:r w:rsidRPr="009C421E" w:rsidR="00C34AEA">
        <w:rPr>
          <w:sz w:val="20"/>
          <w:szCs w:val="20"/>
        </w:rPr>
        <w:t>”</w:t>
      </w:r>
      <w:r w:rsidRPr="009C421E">
        <w:rPr>
          <w:sz w:val="20"/>
          <w:szCs w:val="20"/>
        </w:rPr>
        <w:t xml:space="preserve"> has been furnished by</w:t>
      </w:r>
      <w:r w:rsidRPr="00E73A11">
        <w:rPr>
          <w:sz w:val="20"/>
          <w:szCs w:val="20"/>
        </w:rPr>
        <w:t xml:space="preserve"> the Authority and by other sources that are believed to be reliable</w:t>
      </w:r>
      <w:r w:rsidR="0025598B">
        <w:rPr>
          <w:sz w:val="20"/>
          <w:szCs w:val="20"/>
        </w:rPr>
        <w:t>,</w:t>
      </w:r>
      <w:r w:rsidRPr="00E73A11">
        <w:rPr>
          <w:sz w:val="20"/>
          <w:szCs w:val="20"/>
        </w:rPr>
        <w:t xml:space="preserve"> but such information is not guaranteed as to accuracy</w:t>
      </w:r>
      <w:r w:rsidR="0025598B">
        <w:rPr>
          <w:sz w:val="20"/>
          <w:szCs w:val="20"/>
        </w:rPr>
        <w:t>,</w:t>
      </w:r>
      <w:r w:rsidRPr="00E73A11">
        <w:rPr>
          <w:sz w:val="20"/>
          <w:szCs w:val="20"/>
        </w:rPr>
        <w:t xml:space="preserve"> or completeness and is not to be construed as a representation by the Authority.  The information and expressions of opinion related to the designation as Social Bonds herein are subject to change without notice, and neither the delivery of this Official Statement nor any sale made hereunder shall, under any circumstances, create an implication that there has been no change in the affairs of the Authority since the date hereof.</w:t>
      </w:r>
      <w:r>
        <w:rPr>
          <w:sz w:val="20"/>
          <w:szCs w:val="20"/>
        </w:rPr>
        <w:t xml:space="preserve"> </w:t>
      </w:r>
    </w:p>
    <w:p w:rsidR="00E94129" w:rsidP="00E94129" w:rsidRDefault="00E94129" w14:paraId="7324999D" w14:textId="2113D508">
      <w:pPr>
        <w:ind w:firstLine="720"/>
      </w:pPr>
      <w:r>
        <w:t xml:space="preserve">It should be noted that there is currently no clearly defined definition </w:t>
      </w:r>
      <w:r w:rsidR="00807D3A">
        <w:t xml:space="preserve">(legal, regulatory, or otherwise) </w:t>
      </w:r>
      <w:r>
        <w:t xml:space="preserve">of, nor market consensus as to what constitutes a </w:t>
      </w:r>
      <w:r w:rsidR="00C34AEA">
        <w:t>“</w:t>
      </w:r>
      <w:r>
        <w:t>social bond</w:t>
      </w:r>
      <w:r w:rsidR="00C34AEA">
        <w:t>”</w:t>
      </w:r>
      <w:r>
        <w:t xml:space="preserve"> or an equivalently labeled program or as to what precise attributes are required for a particular program to be defined as </w:t>
      </w:r>
      <w:r w:rsidR="00C34AEA">
        <w:t>“</w:t>
      </w:r>
      <w:r>
        <w:t>social</w:t>
      </w:r>
      <w:r w:rsidR="00C34AEA">
        <w:t>”</w:t>
      </w:r>
      <w:r>
        <w:t xml:space="preserve"> or such other equivalent label.  No assurance can be given that such a clear definition will develop over time, or that, if developed, will include the program to be financed with the </w:t>
      </w:r>
      <w:r w:rsidR="00C7294C">
        <w:t>2024 Series C</w:t>
      </w:r>
      <w:r w:rsidR="005B3036">
        <w:t xml:space="preserve"> Bond</w:t>
      </w:r>
      <w:r>
        <w:t xml:space="preserve"> proceeds.  Accordingly, no assurance is or can be given to investors that any uses of the </w:t>
      </w:r>
      <w:r w:rsidR="00C7294C">
        <w:t>2024 Series C</w:t>
      </w:r>
      <w:r w:rsidR="005B3036">
        <w:t xml:space="preserve"> Bond</w:t>
      </w:r>
      <w:r w:rsidR="006C550F">
        <w:t>s</w:t>
      </w:r>
      <w:r>
        <w:t xml:space="preserve"> will meet investor expectations regarding such </w:t>
      </w:r>
      <w:r w:rsidR="00C34AEA">
        <w:t>“</w:t>
      </w:r>
      <w:r>
        <w:t>soci</w:t>
      </w:r>
      <w:r w:rsidR="009F6722">
        <w:t>al</w:t>
      </w:r>
      <w:r w:rsidR="00C34AEA">
        <w:t>”</w:t>
      </w:r>
      <w:r w:rsidR="009F6722">
        <w:t xml:space="preserve"> or other equivalently-label</w:t>
      </w:r>
      <w:r>
        <w:t>ed performance objectives.</w:t>
      </w:r>
    </w:p>
    <w:p w:rsidR="00E94129" w:rsidP="00D052B4" w:rsidRDefault="00E94129" w14:paraId="28D72A18" w14:textId="77777777">
      <w:pPr>
        <w:pStyle w:val="1stLineIndentSS"/>
        <w:rPr>
          <w:sz w:val="20"/>
          <w:szCs w:val="20"/>
        </w:rPr>
      </w:pPr>
    </w:p>
    <w:p w:rsidR="006F0822" w:rsidP="006F0822" w:rsidRDefault="006F0822" w14:paraId="1C52C3B1" w14:textId="23C6A49E">
      <w:pPr>
        <w:pStyle w:val="1stLineIndentSS"/>
        <w:rPr>
          <w:sz w:val="20"/>
          <w:szCs w:val="20"/>
        </w:rPr>
      </w:pPr>
    </w:p>
    <w:p w:rsidR="00AA223A" w:rsidP="006F0822" w:rsidRDefault="006F0822" w14:paraId="2F02E287" w14:textId="4DFAB863">
      <w:pPr>
        <w:pStyle w:val="1stLineIndentSS"/>
        <w:ind w:firstLine="0"/>
        <w:jc w:val="center"/>
        <w:rPr>
          <w:b/>
          <w:bCs/>
        </w:rPr>
      </w:pPr>
      <w:r>
        <w:rPr>
          <w:sz w:val="20"/>
          <w:szCs w:val="20"/>
        </w:rPr>
        <w:t>[</w:t>
      </w:r>
      <w:r w:rsidRPr="006F0822">
        <w:rPr>
          <w:i/>
          <w:sz w:val="20"/>
          <w:szCs w:val="20"/>
        </w:rPr>
        <w:t>Remainder of Page Intentionally Left Blank</w:t>
      </w:r>
      <w:r>
        <w:rPr>
          <w:sz w:val="20"/>
          <w:szCs w:val="20"/>
        </w:rPr>
        <w:t>]</w:t>
      </w:r>
      <w:r w:rsidR="00AA223A">
        <w:br w:type="page"/>
      </w:r>
    </w:p>
    <w:p w:rsidRPr="00B34407" w:rsidR="00AF72E5" w:rsidP="00AA223A" w:rsidRDefault="00AF72E5" w14:paraId="7FB0286A" w14:textId="58D1D374">
      <w:pPr>
        <w:pStyle w:val="aHEADING"/>
      </w:pPr>
      <w:bookmarkStart w:name="ElPgBr19" w:id="141"/>
      <w:bookmarkStart w:name="_Toc534620331" w:id="142"/>
      <w:bookmarkStart w:name="_Toc534620441" w:id="143"/>
      <w:bookmarkStart w:name="_Toc534620559" w:id="144"/>
      <w:bookmarkStart w:name="_Toc534620880" w:id="145"/>
      <w:bookmarkStart w:name="_Toc534621111" w:id="146"/>
      <w:bookmarkStart w:name="_Toc172841919" w:id="147"/>
      <w:bookmarkEnd w:id="141"/>
      <w:r w:rsidRPr="00AA223A">
        <w:lastRenderedPageBreak/>
        <w:t>REDEMPTION</w:t>
      </w:r>
      <w:r w:rsidRPr="00B34407">
        <w:t xml:space="preserve"> OF </w:t>
      </w:r>
      <w:bookmarkStart w:name="_DV_M278" w:id="148"/>
      <w:bookmarkEnd w:id="132"/>
      <w:bookmarkEnd w:id="148"/>
      <w:r w:rsidR="00C7294C">
        <w:t xml:space="preserve">2024 </w:t>
      </w:r>
      <w:r w:rsidR="008A68DE">
        <w:t xml:space="preserve">SERIES </w:t>
      </w:r>
      <w:r w:rsidR="00C7294C">
        <w:t>C</w:t>
      </w:r>
      <w:r w:rsidR="000E11A5">
        <w:t xml:space="preserve"> BONDS</w:t>
      </w:r>
      <w:bookmarkEnd w:id="133"/>
      <w:bookmarkEnd w:id="134"/>
      <w:bookmarkEnd w:id="142"/>
      <w:bookmarkEnd w:id="143"/>
      <w:bookmarkEnd w:id="144"/>
      <w:bookmarkEnd w:id="145"/>
      <w:bookmarkEnd w:id="146"/>
      <w:bookmarkEnd w:id="147"/>
    </w:p>
    <w:p w:rsidRPr="00AA223A" w:rsidR="007812DC" w:rsidP="00AA223A" w:rsidRDefault="00850531" w14:paraId="240B61F2" w14:textId="77777777">
      <w:pPr>
        <w:pStyle w:val="aHEADINGSUB"/>
      </w:pPr>
      <w:bookmarkStart w:name="_DV_M279" w:id="149"/>
      <w:bookmarkStart w:name="_Toc534620332" w:id="150"/>
      <w:bookmarkStart w:name="_Toc534620442" w:id="151"/>
      <w:bookmarkStart w:name="_Toc534620560" w:id="152"/>
      <w:bookmarkStart w:name="_Toc534620881" w:id="153"/>
      <w:bookmarkStart w:name="_Toc534621112" w:id="154"/>
      <w:bookmarkStart w:name="_Toc172841920" w:id="155"/>
      <w:bookmarkEnd w:id="149"/>
      <w:r w:rsidRPr="00AA223A">
        <w:t>General Redemption Provisions</w:t>
      </w:r>
      <w:bookmarkEnd w:id="150"/>
      <w:bookmarkEnd w:id="151"/>
      <w:bookmarkEnd w:id="152"/>
      <w:bookmarkEnd w:id="153"/>
      <w:bookmarkEnd w:id="154"/>
      <w:bookmarkEnd w:id="155"/>
    </w:p>
    <w:p w:rsidR="007D3D24" w:rsidP="007D3D24" w:rsidRDefault="007D3D24" w14:paraId="4C4AC930" w14:textId="1109BE95">
      <w:pPr>
        <w:pStyle w:val="BodyTextFirstIndent"/>
        <w:rPr>
          <w:b/>
        </w:rPr>
      </w:pPr>
      <w:r>
        <w:rPr>
          <w:rStyle w:val="aHEADINGSUBChar"/>
          <w:iCs/>
        </w:rPr>
        <w:t xml:space="preserve">The </w:t>
      </w:r>
      <w:r w:rsidR="00C7294C">
        <w:rPr>
          <w:rStyle w:val="aHEADINGSUBChar"/>
          <w:iCs/>
        </w:rPr>
        <w:t>2024 Series C</w:t>
      </w:r>
      <w:r w:rsidR="005B3036">
        <w:rPr>
          <w:rStyle w:val="aHEADINGSUBChar"/>
          <w:iCs/>
        </w:rPr>
        <w:t xml:space="preserve"> Bond</w:t>
      </w:r>
      <w:r w:rsidR="006C550F">
        <w:rPr>
          <w:rStyle w:val="aHEADINGSUBChar"/>
          <w:iCs/>
        </w:rPr>
        <w:t>s</w:t>
      </w:r>
      <w:r>
        <w:rPr>
          <w:rStyle w:val="aHEADINGSUBChar"/>
          <w:iCs/>
        </w:rPr>
        <w:t xml:space="preserve"> </w:t>
      </w:r>
      <w:r>
        <w:rPr>
          <w:b/>
        </w:rPr>
        <w:t xml:space="preserve">are subject to special, mandatory and optional redemption prior to their respective stated maturities, all as more fully described below.  </w:t>
      </w:r>
    </w:p>
    <w:p w:rsidR="001A6BE3" w:rsidP="007D3D24" w:rsidRDefault="001A6BE3" w14:paraId="3DE11253" w14:textId="7496B0B6">
      <w:pPr>
        <w:pStyle w:val="BodyTextFirstIndent"/>
        <w:rPr>
          <w:rStyle w:val="aHEADINGSUBChar"/>
          <w:b w:val="0"/>
          <w:i/>
          <w:iCs/>
        </w:rPr>
      </w:pPr>
      <w:r w:rsidRPr="00C76D05">
        <w:rPr>
          <w:b/>
        </w:rPr>
        <w:t xml:space="preserve">The </w:t>
      </w:r>
      <w:r>
        <w:rPr>
          <w:b/>
        </w:rPr>
        <w:t xml:space="preserve">2024 </w:t>
      </w:r>
      <w:r w:rsidRPr="0068536F">
        <w:rPr>
          <w:b/>
        </w:rPr>
        <w:t xml:space="preserve">Series </w:t>
      </w:r>
      <w:r>
        <w:rPr>
          <w:b/>
        </w:rPr>
        <w:t>C-1</w:t>
      </w:r>
      <w:r w:rsidRPr="0068536F">
        <w:rPr>
          <w:b/>
        </w:rPr>
        <w:t xml:space="preserve"> Bonds in the aggregate amount of $</w:t>
      </w:r>
      <w:r>
        <w:rPr>
          <w:b/>
        </w:rPr>
        <w:t>5</w:t>
      </w:r>
      <w:r w:rsidRPr="0068536F">
        <w:rPr>
          <w:b/>
        </w:rPr>
        <w:t>,</w:t>
      </w:r>
      <w:r>
        <w:rPr>
          <w:b/>
        </w:rPr>
        <w:t>0</w:t>
      </w:r>
      <w:r w:rsidRPr="0068536F">
        <w:rPr>
          <w:b/>
        </w:rPr>
        <w:t xml:space="preserve">00,000 maturing on </w:t>
      </w:r>
      <w:r>
        <w:rPr>
          <w:b/>
        </w:rPr>
        <w:t>July</w:t>
      </w:r>
      <w:r w:rsidRPr="0068536F">
        <w:rPr>
          <w:b/>
        </w:rPr>
        <w:t xml:space="preserve"> 1, 20</w:t>
      </w:r>
      <w:r>
        <w:rPr>
          <w:b/>
        </w:rPr>
        <w:t>39</w:t>
      </w:r>
      <w:r w:rsidR="008B1553">
        <w:rPr>
          <w:rFonts w:ascii="Times New Roman Bold" w:hAnsi="Times New Roman Bold"/>
          <w:b/>
        </w:rPr>
        <w:t xml:space="preserve">, with a coupon of </w:t>
      </w:r>
      <w:r w:rsidR="00BB374C">
        <w:rPr>
          <w:rFonts w:ascii="Times New Roman Bold" w:hAnsi="Times New Roman Bold"/>
          <w:b/>
        </w:rPr>
        <w:t>5.000%</w:t>
      </w:r>
      <w:r w:rsidR="008B1553">
        <w:rPr>
          <w:rFonts w:ascii="Times New Roman Bold" w:hAnsi="Times New Roman Bold"/>
          <w:b/>
        </w:rPr>
        <w:t xml:space="preserve"> and a price of </w:t>
      </w:r>
      <w:r w:rsidR="00BB374C">
        <w:rPr>
          <w:rFonts w:ascii="Times New Roman Bold" w:hAnsi="Times New Roman Bold"/>
          <w:b/>
        </w:rPr>
        <w:t>108.907%,</w:t>
      </w:r>
      <w:r w:rsidRPr="0068536F">
        <w:rPr>
          <w:b/>
        </w:rPr>
        <w:t xml:space="preserve"> are herein referred to as the “</w:t>
      </w:r>
      <w:r w:rsidRPr="001A6BE3">
        <w:rPr>
          <w:b/>
          <w:i/>
        </w:rPr>
        <w:t>2039 C-1 Premium Term Bonds</w:t>
      </w:r>
      <w:r w:rsidRPr="0068536F">
        <w:rPr>
          <w:b/>
        </w:rPr>
        <w:t>.</w:t>
      </w:r>
      <w:r>
        <w:rPr>
          <w:b/>
        </w:rPr>
        <w:t xml:space="preserve">”  </w:t>
      </w:r>
      <w:r w:rsidRPr="00C76D05">
        <w:rPr>
          <w:b/>
        </w:rPr>
        <w:t xml:space="preserve">The </w:t>
      </w:r>
      <w:r>
        <w:rPr>
          <w:b/>
        </w:rPr>
        <w:t xml:space="preserve">2024 </w:t>
      </w:r>
      <w:r w:rsidRPr="0068536F">
        <w:rPr>
          <w:b/>
        </w:rPr>
        <w:t xml:space="preserve">Series </w:t>
      </w:r>
      <w:r>
        <w:rPr>
          <w:b/>
        </w:rPr>
        <w:t>C-1</w:t>
      </w:r>
      <w:r w:rsidRPr="0068536F">
        <w:rPr>
          <w:b/>
        </w:rPr>
        <w:t xml:space="preserve"> Bonds in the aggregate amount of $</w:t>
      </w:r>
      <w:r w:rsidR="00BB374C">
        <w:rPr>
          <w:b/>
        </w:rPr>
        <w:t>5</w:t>
      </w:r>
      <w:r w:rsidRPr="0068536F">
        <w:rPr>
          <w:b/>
        </w:rPr>
        <w:t>,</w:t>
      </w:r>
      <w:r>
        <w:rPr>
          <w:b/>
        </w:rPr>
        <w:t>0</w:t>
      </w:r>
      <w:r w:rsidRPr="0068536F">
        <w:rPr>
          <w:b/>
        </w:rPr>
        <w:t xml:space="preserve">00,000 maturing on </w:t>
      </w:r>
      <w:r>
        <w:rPr>
          <w:b/>
        </w:rPr>
        <w:t>July</w:t>
      </w:r>
      <w:r w:rsidRPr="0068536F">
        <w:rPr>
          <w:b/>
        </w:rPr>
        <w:t xml:space="preserve"> 1, 20</w:t>
      </w:r>
      <w:r>
        <w:rPr>
          <w:b/>
        </w:rPr>
        <w:t>44</w:t>
      </w:r>
      <w:r w:rsidR="008B1553">
        <w:rPr>
          <w:rFonts w:ascii="Times New Roman Bold" w:hAnsi="Times New Roman Bold"/>
          <w:b/>
        </w:rPr>
        <w:t xml:space="preserve">, with a coupon of </w:t>
      </w:r>
      <w:r w:rsidR="00BB374C">
        <w:rPr>
          <w:rFonts w:ascii="Times New Roman Bold" w:hAnsi="Times New Roman Bold"/>
          <w:b/>
        </w:rPr>
        <w:t>5.000%</w:t>
      </w:r>
      <w:r w:rsidR="008B1553">
        <w:rPr>
          <w:rFonts w:ascii="Times New Roman Bold" w:hAnsi="Times New Roman Bold"/>
          <w:b/>
        </w:rPr>
        <w:t xml:space="preserve"> and a price of </w:t>
      </w:r>
      <w:r w:rsidR="00BB374C">
        <w:rPr>
          <w:rFonts w:ascii="Times New Roman Bold" w:hAnsi="Times New Roman Bold"/>
          <w:b/>
        </w:rPr>
        <w:t>106.177</w:t>
      </w:r>
      <w:r w:rsidR="00C3178B">
        <w:rPr>
          <w:rFonts w:ascii="Times New Roman Bold" w:hAnsi="Times New Roman Bold"/>
          <w:b/>
        </w:rPr>
        <w:t>%</w:t>
      </w:r>
      <w:r w:rsidRPr="0068536F">
        <w:rPr>
          <w:b/>
        </w:rPr>
        <w:t xml:space="preserve"> are herein referred to as the “</w:t>
      </w:r>
      <w:r w:rsidRPr="001A6BE3">
        <w:rPr>
          <w:b/>
          <w:i/>
        </w:rPr>
        <w:t>2044 C-1 Premium Term Bonds</w:t>
      </w:r>
      <w:r w:rsidR="00A831A7">
        <w:rPr>
          <w:b/>
        </w:rPr>
        <w:t xml:space="preserve">” </w:t>
      </w:r>
      <w:r>
        <w:rPr>
          <w:b/>
        </w:rPr>
        <w:t xml:space="preserve">and </w:t>
      </w:r>
      <w:r w:rsidRPr="0068536F">
        <w:rPr>
          <w:b/>
        </w:rPr>
        <w:t xml:space="preserve">collectively, with the 2039 C-1 Premium </w:t>
      </w:r>
      <w:r w:rsidRPr="001456EB">
        <w:rPr>
          <w:b/>
        </w:rPr>
        <w:t>Term Bonds, the “</w:t>
      </w:r>
      <w:r w:rsidRPr="001456EB">
        <w:rPr>
          <w:b/>
          <w:i/>
        </w:rPr>
        <w:t>2024 Series C-1 Premium Term Bonds</w:t>
      </w:r>
      <w:r w:rsidRPr="001456EB" w:rsidR="00EF78F5">
        <w:rPr>
          <w:b/>
        </w:rPr>
        <w:t>.</w:t>
      </w:r>
      <w:r w:rsidRPr="001456EB">
        <w:rPr>
          <w:b/>
        </w:rPr>
        <w:t>”  The 20</w:t>
      </w:r>
      <w:r w:rsidRPr="001456EB" w:rsidR="00C3178B">
        <w:rPr>
          <w:b/>
        </w:rPr>
        <w:t>24</w:t>
      </w:r>
      <w:r w:rsidRPr="001456EB">
        <w:rPr>
          <w:b/>
        </w:rPr>
        <w:t xml:space="preserve"> C-1 Premium Term Bonds are not subject to redemption</w:t>
      </w:r>
      <w:r w:rsidRPr="00C76D05">
        <w:rPr>
          <w:b/>
        </w:rPr>
        <w:t xml:space="preserve"> </w:t>
      </w:r>
      <w:r>
        <w:rPr>
          <w:b/>
        </w:rPr>
        <w:t xml:space="preserve">prior to January 1, 2033 </w:t>
      </w:r>
      <w:r w:rsidRPr="00C76D05">
        <w:rPr>
          <w:b/>
        </w:rPr>
        <w:t>as described under this subheading “</w:t>
      </w:r>
      <w:r>
        <w:rPr>
          <w:b/>
        </w:rPr>
        <w:t xml:space="preserve">REDEMPTION OF 2024 SERIES C </w:t>
      </w:r>
      <w:r w:rsidRPr="00C76D05">
        <w:rPr>
          <w:b/>
        </w:rPr>
        <w:t xml:space="preserve">” except as described under </w:t>
      </w:r>
      <w:r w:rsidRPr="00EF78F5" w:rsidR="00EF78F5">
        <w:rPr>
          <w:b/>
        </w:rPr>
        <w:t>“—Redemption from Prepayments, Repayments and Excess Revenues—</w:t>
      </w:r>
      <w:r w:rsidRPr="00EF78F5" w:rsidR="00EF78F5">
        <w:rPr>
          <w:b/>
          <w:i/>
        </w:rPr>
        <w:t>Mandatory Redemption of 2024 Series C-1 Bonds from Tax Restricted Prepayments and Repayments</w:t>
      </w:r>
      <w:r w:rsidRPr="00EF78F5" w:rsidR="00EF78F5">
        <w:rPr>
          <w:b/>
        </w:rPr>
        <w:t>”</w:t>
      </w:r>
      <w:r w:rsidRPr="000774FA">
        <w:rPr>
          <w:b/>
        </w:rPr>
        <w:t xml:space="preserve"> </w:t>
      </w:r>
      <w:r w:rsidRPr="00C76D05">
        <w:rPr>
          <w:b/>
        </w:rPr>
        <w:t xml:space="preserve">from those principal payments and Prepayments required by federal tax law to be used to redeem the </w:t>
      </w:r>
      <w:r w:rsidR="00EF78F5">
        <w:rPr>
          <w:b/>
        </w:rPr>
        <w:t>2024 Seri</w:t>
      </w:r>
      <w:r>
        <w:rPr>
          <w:b/>
        </w:rPr>
        <w:t>es C-1</w:t>
      </w:r>
      <w:r w:rsidRPr="00C76D05">
        <w:rPr>
          <w:b/>
        </w:rPr>
        <w:t xml:space="preserve"> Bonds when no other </w:t>
      </w:r>
      <w:r>
        <w:rPr>
          <w:b/>
        </w:rPr>
        <w:t>2024 Series C-1</w:t>
      </w:r>
      <w:r w:rsidRPr="00C76D05">
        <w:rPr>
          <w:b/>
        </w:rPr>
        <w:t xml:space="preserve"> Bonds are outstanding.</w:t>
      </w:r>
    </w:p>
    <w:p w:rsidRPr="00B34407" w:rsidR="00AF72E5" w:rsidP="007D3D24" w:rsidRDefault="007D3D24" w14:paraId="56350E4E" w14:textId="73E83EF7">
      <w:pPr>
        <w:pStyle w:val="BodyTextFirstIndent"/>
      </w:pPr>
      <w:r>
        <w:rPr>
          <w:caps/>
        </w:rPr>
        <w:t xml:space="preserve">BECAUSE THE </w:t>
      </w:r>
      <w:r w:rsidR="00C7294C">
        <w:rPr>
          <w:caps/>
        </w:rPr>
        <w:t>2024 Series C</w:t>
      </w:r>
      <w:r w:rsidR="005B3036">
        <w:rPr>
          <w:caps/>
        </w:rPr>
        <w:t xml:space="preserve"> Bond</w:t>
      </w:r>
      <w:r w:rsidR="006C550F">
        <w:rPr>
          <w:caps/>
        </w:rPr>
        <w:t>s</w:t>
      </w:r>
      <w:r>
        <w:rPr>
          <w:caps/>
        </w:rPr>
        <w:t xml:space="preserve"> ARE SUBJECT TO REDEMPTION OR PURCHASE AS DESCRIBED IN THIS OFFICIAL STATEMENT, A SUBSTANTIAL PORTION OF THE </w:t>
      </w:r>
      <w:r w:rsidR="00C7294C">
        <w:rPr>
          <w:caps/>
        </w:rPr>
        <w:t>2024 Series C</w:t>
      </w:r>
      <w:r w:rsidR="005B3036">
        <w:rPr>
          <w:caps/>
        </w:rPr>
        <w:t xml:space="preserve"> Bond</w:t>
      </w:r>
      <w:r w:rsidR="006C550F">
        <w:rPr>
          <w:caps/>
        </w:rPr>
        <w:t>s</w:t>
      </w:r>
      <w:r>
        <w:rPr>
          <w:caps/>
        </w:rPr>
        <w:t xml:space="preserve"> MAY BE SO REDEEMED OR PURCHASED PRIOR TO THEIR STATED MATURITY DATES OR SCHEDULED MANDA</w:t>
      </w:r>
      <w:r>
        <w:t>TORY SINKING FUND REDEMPTION DATES.</w:t>
      </w:r>
    </w:p>
    <w:p w:rsidRPr="000A6970" w:rsidR="000A6970" w:rsidP="000A6970" w:rsidRDefault="00AF72E5" w14:paraId="416AB2CD" w14:textId="77777777">
      <w:pPr>
        <w:pStyle w:val="aHEADINGSUB2"/>
        <w:rPr>
          <w:vanish/>
          <w:color w:val="FF0000"/>
          <w:specVanish/>
        </w:rPr>
      </w:pPr>
      <w:bookmarkStart w:name="_DV_M282" w:id="156"/>
      <w:bookmarkStart w:name="_Toc172841921" w:id="157"/>
      <w:bookmarkStart w:name="_Toc212948776" w:id="158"/>
      <w:bookmarkEnd w:id="156"/>
      <w:r w:rsidRPr="000A6970">
        <w:t>Selection of Bonds to be Redeemed</w:t>
      </w:r>
      <w:bookmarkEnd w:id="157"/>
    </w:p>
    <w:p w:rsidRPr="000A6970" w:rsidR="00AF72E5" w:rsidP="000A6970" w:rsidRDefault="00AF72E5" w14:paraId="4C72AD36" w14:textId="33841167">
      <w:pPr>
        <w:pStyle w:val="BodyText"/>
      </w:pPr>
      <w:r w:rsidRPr="000A6970">
        <w:t>.</w:t>
      </w:r>
      <w:bookmarkStart w:name="_DV_M283" w:id="159"/>
      <w:bookmarkEnd w:id="158"/>
      <w:bookmarkEnd w:id="159"/>
      <w:r w:rsidRPr="000A6970">
        <w:t xml:space="preserve">  </w:t>
      </w:r>
      <w:r w:rsidRPr="000A6970" w:rsidR="009243F5">
        <w:t xml:space="preserve">Subject to the </w:t>
      </w:r>
      <w:r w:rsidRPr="000A6970" w:rsidR="00E675A0">
        <w:t>following</w:t>
      </w:r>
      <w:r w:rsidRPr="000A6970" w:rsidR="009243F5">
        <w:t xml:space="preserve"> provisions, in the event of any partial redemption of</w:t>
      </w:r>
      <w:r w:rsidRPr="000A6970" w:rsidR="004B342E">
        <w:t xml:space="preserve"> the</w:t>
      </w:r>
      <w:r w:rsidRPr="000A6970" w:rsidR="009243F5">
        <w:t xml:space="preserve"> </w:t>
      </w:r>
      <w:r w:rsidR="00C7294C">
        <w:t>2024 Series C</w:t>
      </w:r>
      <w:r w:rsidR="005B3036">
        <w:t xml:space="preserve"> Bond</w:t>
      </w:r>
      <w:r w:rsidR="006C550F">
        <w:t>s</w:t>
      </w:r>
      <w:r w:rsidRPr="000A6970" w:rsidR="009243F5">
        <w:t xml:space="preserve">, the Authority may direct the </w:t>
      </w:r>
      <w:r w:rsidRPr="000A6970" w:rsidR="002263E0">
        <w:t xml:space="preserve">stated </w:t>
      </w:r>
      <w:r w:rsidRPr="000A6970" w:rsidR="009243F5">
        <w:t>maturity o</w:t>
      </w:r>
      <w:r w:rsidRPr="000A6970" w:rsidR="002263E0">
        <w:t>r</w:t>
      </w:r>
      <w:r w:rsidRPr="000A6970" w:rsidR="009243F5">
        <w:t xml:space="preserve"> maturities and interest rate or interest rates, as the case may be, and the amount or amounts thereof to be so redeemed.  </w:t>
      </w:r>
      <w:r w:rsidRPr="000A6970">
        <w:t xml:space="preserve">In the event of redemption of less than all of the </w:t>
      </w:r>
      <w:r w:rsidR="00C7294C">
        <w:t>2024 Series C</w:t>
      </w:r>
      <w:r w:rsidR="005B3036">
        <w:t xml:space="preserve"> Bond</w:t>
      </w:r>
      <w:r w:rsidR="006C550F">
        <w:t>s</w:t>
      </w:r>
      <w:r w:rsidRPr="000A6970">
        <w:t xml:space="preserve"> of like </w:t>
      </w:r>
      <w:r w:rsidRPr="000A6970" w:rsidR="00755D68">
        <w:t>s</w:t>
      </w:r>
      <w:r w:rsidRPr="000A6970" w:rsidR="00C27F76">
        <w:t>eries</w:t>
      </w:r>
      <w:r w:rsidRPr="000A6970" w:rsidR="00F4385A">
        <w:t xml:space="preserve"> </w:t>
      </w:r>
      <w:r w:rsidRPr="000A6970" w:rsidR="00C27F76">
        <w:t>and</w:t>
      </w:r>
      <w:r w:rsidRPr="000A6970" w:rsidR="00850531">
        <w:t xml:space="preserve"> stated</w:t>
      </w:r>
      <w:r w:rsidRPr="000A6970" w:rsidR="00C27F76">
        <w:t xml:space="preserve"> </w:t>
      </w:r>
      <w:r w:rsidRPr="000A6970">
        <w:t xml:space="preserve">maturity, the Trustee will select by lot, using such method of selection as it deems proper in its sole discretion, the </w:t>
      </w:r>
      <w:r w:rsidR="00C7294C">
        <w:t>2024 Series C</w:t>
      </w:r>
      <w:r w:rsidR="005B3036">
        <w:t xml:space="preserve"> Bond</w:t>
      </w:r>
      <w:r w:rsidR="006C550F">
        <w:t>s</w:t>
      </w:r>
      <w:r w:rsidRPr="000A6970">
        <w:t xml:space="preserve"> or po</w:t>
      </w:r>
      <w:r w:rsidRPr="000A6970" w:rsidR="009C3F2F">
        <w:t xml:space="preserve">rtions thereof to be redeemed. </w:t>
      </w:r>
    </w:p>
    <w:p w:rsidRPr="00B34407" w:rsidR="00AF72E5" w:rsidP="00AF72E5" w:rsidRDefault="00AF72E5" w14:paraId="666BD984" w14:textId="68086D26">
      <w:pPr>
        <w:pStyle w:val="BodyTextFirstIndent"/>
      </w:pPr>
      <w:bookmarkStart w:name="_DV_M284" w:id="160"/>
      <w:bookmarkEnd w:id="160"/>
      <w:r w:rsidRPr="00B34407">
        <w:t xml:space="preserve">For so long as the </w:t>
      </w:r>
      <w:r w:rsidR="00C7294C">
        <w:t>2024 Series C</w:t>
      </w:r>
      <w:r w:rsidR="005B3036">
        <w:t xml:space="preserve"> Bond</w:t>
      </w:r>
      <w:r w:rsidR="006C550F">
        <w:t>s</w:t>
      </w:r>
      <w:r w:rsidRPr="00B34407">
        <w:t xml:space="preserve"> are registered in the name of DTC or its nominee, the Trustee will select for redemption only </w:t>
      </w:r>
      <w:r w:rsidR="00C7294C">
        <w:t>2024 Series C</w:t>
      </w:r>
      <w:r w:rsidR="005B3036">
        <w:t xml:space="preserve"> Bond</w:t>
      </w:r>
      <w:r w:rsidR="006C550F">
        <w:t>s</w:t>
      </w:r>
      <w:r w:rsidRPr="00B34407">
        <w:t xml:space="preserve"> or portions thereof registered in the name of DTC or its nominee, in accordance with the preceding paragraph, and DTC will select for redemption the Beneficial Owners</w:t>
      </w:r>
      <w:r w:rsidR="00C34AEA">
        <w:t>’</w:t>
      </w:r>
      <w:r w:rsidRPr="00B34407">
        <w:t xml:space="preserve"> interests in the </w:t>
      </w:r>
      <w:r w:rsidR="00C7294C">
        <w:t>2024 Series C</w:t>
      </w:r>
      <w:r w:rsidR="005B3036">
        <w:t xml:space="preserve"> Bond</w:t>
      </w:r>
      <w:r w:rsidR="006C550F">
        <w:t>s</w:t>
      </w:r>
      <w:r w:rsidRPr="00B34407">
        <w:t xml:space="preserve">.  </w:t>
      </w:r>
      <w:r w:rsidRPr="00B34407" w:rsidR="00F91759">
        <w:t>None of</w:t>
      </w:r>
      <w:r w:rsidRPr="00B34407">
        <w:t xml:space="preserve"> the Authority, the Trustee </w:t>
      </w:r>
      <w:r w:rsidRPr="00B34407" w:rsidR="00F91759">
        <w:t>or</w:t>
      </w:r>
      <w:r w:rsidRPr="00B34407">
        <w:t xml:space="preserve"> the Paying Agent will have any responsibility for selecting for redemption any Beneficial Owner</w:t>
      </w:r>
      <w:r w:rsidR="00C34AEA">
        <w:t>’</w:t>
      </w:r>
      <w:r w:rsidRPr="00B34407">
        <w:t xml:space="preserve">s interest in any </w:t>
      </w:r>
      <w:r w:rsidR="00C7294C">
        <w:t>2024 Series C</w:t>
      </w:r>
      <w:r w:rsidR="005B3036">
        <w:t xml:space="preserve"> Bond</w:t>
      </w:r>
      <w:r w:rsidR="006C550F">
        <w:t>s</w:t>
      </w:r>
      <w:r w:rsidRPr="00B34407">
        <w:t xml:space="preserve">.  See </w:t>
      </w:r>
      <w:r w:rsidR="00C34AEA">
        <w:t>“</w:t>
      </w:r>
      <w:r w:rsidRPr="00B34407">
        <w:t>BOOK-ENTRY-ONLY SYSTEM</w:t>
      </w:r>
      <w:r w:rsidR="00C34AEA">
        <w:t>”</w:t>
      </w:r>
      <w:r w:rsidRPr="00B34407" w:rsidR="00F4385A">
        <w:t xml:space="preserve"> herein.</w:t>
      </w:r>
    </w:p>
    <w:p w:rsidRPr="000A6970" w:rsidR="000A6970" w:rsidP="000A6970" w:rsidRDefault="00AF72E5" w14:paraId="690A7D67" w14:textId="77777777">
      <w:pPr>
        <w:pStyle w:val="aHEADINGSUB2"/>
        <w:rPr>
          <w:bCs/>
          <w:i w:val="0"/>
          <w:iCs w:val="0"/>
          <w:vanish/>
          <w:color w:val="FF0000"/>
          <w:sz w:val="19"/>
          <w:szCs w:val="19"/>
          <w:specVanish/>
        </w:rPr>
      </w:pPr>
      <w:bookmarkStart w:name="_DV_M285" w:id="161"/>
      <w:bookmarkStart w:name="_Toc172841922" w:id="162"/>
      <w:bookmarkStart w:name="_Toc212948777" w:id="163"/>
      <w:bookmarkEnd w:id="161"/>
      <w:r w:rsidRPr="000A6970">
        <w:t>Notice of Redemption</w:t>
      </w:r>
      <w:bookmarkEnd w:id="162"/>
    </w:p>
    <w:p w:rsidRPr="000A6970" w:rsidR="004B342E" w:rsidP="000A6970" w:rsidRDefault="00AF72E5" w14:paraId="3F10D784" w14:textId="5E935C44">
      <w:pPr>
        <w:pStyle w:val="BodyText"/>
      </w:pPr>
      <w:r w:rsidRPr="000A6970">
        <w:t>.</w:t>
      </w:r>
      <w:bookmarkStart w:name="_DV_M286" w:id="164"/>
      <w:bookmarkEnd w:id="163"/>
      <w:bookmarkEnd w:id="164"/>
      <w:r w:rsidRPr="000A6970">
        <w:t xml:space="preserve">  When the Trustee is required, or receives notice from the Authority of its election or direction, to redeem any </w:t>
      </w:r>
      <w:r w:rsidR="00C7294C">
        <w:t>2024 Series C</w:t>
      </w:r>
      <w:r w:rsidR="005B3036">
        <w:t xml:space="preserve"> Bond</w:t>
      </w:r>
      <w:r w:rsidR="006C550F">
        <w:t>s</w:t>
      </w:r>
      <w:r w:rsidRPr="000A6970">
        <w:t xml:space="preserve">, the Trustee will give notice, in the name of the Authority, of the redemption of such </w:t>
      </w:r>
      <w:r w:rsidR="00C7294C">
        <w:t>2024 Series C</w:t>
      </w:r>
      <w:r w:rsidR="005B3036">
        <w:t xml:space="preserve"> Bond</w:t>
      </w:r>
      <w:r w:rsidR="006C550F">
        <w:t>s</w:t>
      </w:r>
      <w:r w:rsidRPr="000A6970">
        <w:t xml:space="preserve">.  Such notice will specify, among other things, the series and maturities of the </w:t>
      </w:r>
      <w:r w:rsidR="00C7294C">
        <w:t>2024 Series C</w:t>
      </w:r>
      <w:r w:rsidR="005B3036">
        <w:t xml:space="preserve"> Bond</w:t>
      </w:r>
      <w:r w:rsidR="006C550F">
        <w:t>s</w:t>
      </w:r>
      <w:r w:rsidRPr="000A6970">
        <w:t xml:space="preserve"> to be redeemed, the redemption date, and the place or places where amounts due upon such redemption will be payable.  The Trustee will mail a copy of such notice via first class mail, postage prepaid, not less tha</w:t>
      </w:r>
      <w:r w:rsidRPr="000A6970" w:rsidR="00A71008">
        <w:t>n 30 days nor more than</w:t>
      </w:r>
      <w:r w:rsidRPr="000A6970" w:rsidR="00F73AE5">
        <w:t xml:space="preserve"> </w:t>
      </w:r>
      <w:r w:rsidRPr="000A6970" w:rsidR="00A71008">
        <w:t>60 days</w:t>
      </w:r>
      <w:r w:rsidRPr="000A6970" w:rsidR="00AC77F9">
        <w:t xml:space="preserve"> </w:t>
      </w:r>
      <w:r w:rsidRPr="000A6970">
        <w:t xml:space="preserve">before the redemption date to the registered owners of any </w:t>
      </w:r>
      <w:r w:rsidR="00C7294C">
        <w:t>2024 Series C</w:t>
      </w:r>
      <w:r w:rsidR="005B3036">
        <w:t xml:space="preserve"> Bond</w:t>
      </w:r>
      <w:r w:rsidR="006C550F">
        <w:t>s</w:t>
      </w:r>
      <w:r w:rsidRPr="000A6970">
        <w:t xml:space="preserve"> or portions thereof which are to be redeemed, at their last addresses appearing upon the registration books of the Authority kept by the Trustee. </w:t>
      </w:r>
    </w:p>
    <w:p w:rsidRPr="00B34407" w:rsidR="00AF72E5" w:rsidP="00AF72E5" w:rsidRDefault="00AF72E5" w14:paraId="408307C3" w14:textId="66E96871">
      <w:pPr>
        <w:pStyle w:val="BodyTextFirstIndent"/>
      </w:pPr>
      <w:bookmarkStart w:name="_DV_M287" w:id="165"/>
      <w:bookmarkEnd w:id="165"/>
      <w:r w:rsidRPr="00B34407">
        <w:t xml:space="preserve">For so long as the </w:t>
      </w:r>
      <w:r w:rsidR="00C7294C">
        <w:t>2024 Series C</w:t>
      </w:r>
      <w:r w:rsidR="005B3036">
        <w:t xml:space="preserve"> Bond</w:t>
      </w:r>
      <w:r w:rsidR="006C550F">
        <w:t>s</w:t>
      </w:r>
      <w:r w:rsidRPr="00B34407">
        <w:t xml:space="preserve"> are registered in the name of DTC or its nominee, the Trustee will mail notices of redemption of </w:t>
      </w:r>
      <w:r w:rsidR="00C7294C">
        <w:t>2024 Series C</w:t>
      </w:r>
      <w:r w:rsidR="005B3036">
        <w:t xml:space="preserve"> Bond</w:t>
      </w:r>
      <w:r w:rsidR="006C550F">
        <w:t>s</w:t>
      </w:r>
      <w:r w:rsidRPr="00B34407">
        <w:t xml:space="preserve"> only to DTC or its nominee, in accordance with the preceding paragraph.  </w:t>
      </w:r>
      <w:r w:rsidRPr="00B34407" w:rsidR="00F91759">
        <w:t>None of</w:t>
      </w:r>
      <w:r w:rsidRPr="00B34407">
        <w:t xml:space="preserve"> the Authority, the Trustee or the Paying Agent will have any responsibility for any Beneficial Owner</w:t>
      </w:r>
      <w:r w:rsidR="00C34AEA">
        <w:t>’</w:t>
      </w:r>
      <w:r w:rsidRPr="00B34407">
        <w:t xml:space="preserve">s receipt from DTC or its nominee, or from any DTC Participant or Indirect Participant, of any notice of redemption.  See </w:t>
      </w:r>
      <w:r w:rsidR="00C34AEA">
        <w:t>“</w:t>
      </w:r>
      <w:r w:rsidRPr="00B34407">
        <w:t>BOOK-ENTRY-ONLY SYSTEM</w:t>
      </w:r>
      <w:r w:rsidR="00C34AEA">
        <w:t>”</w:t>
      </w:r>
      <w:r w:rsidRPr="00B34407" w:rsidR="00F4385A">
        <w:t xml:space="preserve"> herein.</w:t>
      </w:r>
    </w:p>
    <w:p w:rsidRPr="00B34407" w:rsidR="001C20CA" w:rsidP="00BA446B" w:rsidRDefault="00AF72E5" w14:paraId="7DCD90A3" w14:textId="048020A8">
      <w:pPr>
        <w:pStyle w:val="BodyTextFirstIndent"/>
      </w:pPr>
      <w:bookmarkStart w:name="_DV_M288" w:id="166"/>
      <w:bookmarkEnd w:id="166"/>
      <w:r w:rsidRPr="00B34407">
        <w:t>In addition, the Trustee will send copies of the notice of any redemption to</w:t>
      </w:r>
      <w:r w:rsidRPr="00B34407" w:rsidR="00095BE1">
        <w:t xml:space="preserve"> the</w:t>
      </w:r>
      <w:r w:rsidRPr="00B34407" w:rsidR="00835B71">
        <w:t xml:space="preserve"> </w:t>
      </w:r>
      <w:r w:rsidR="00836109">
        <w:t>MSRB</w:t>
      </w:r>
      <w:r w:rsidR="00C34AEA">
        <w:t>’</w:t>
      </w:r>
      <w:r w:rsidR="00836109">
        <w:t xml:space="preserve">s </w:t>
      </w:r>
      <w:r w:rsidR="007C4030">
        <w:t>EMMA</w:t>
      </w:r>
      <w:r w:rsidRPr="00B34407" w:rsidR="00863D54">
        <w:t xml:space="preserve"> </w:t>
      </w:r>
      <w:r w:rsidR="003770FF">
        <w:t xml:space="preserve">system </w:t>
      </w:r>
      <w:r w:rsidRPr="00B34407">
        <w:t xml:space="preserve">to assure that adequate notice of such redemption is disseminated to Beneficial Owners of the </w:t>
      </w:r>
      <w:r w:rsidR="00C7294C">
        <w:t>2024 Series C</w:t>
      </w:r>
      <w:r w:rsidR="005B3036">
        <w:t xml:space="preserve"> Bond</w:t>
      </w:r>
      <w:r w:rsidR="006C550F">
        <w:t>s</w:t>
      </w:r>
      <w:r w:rsidRPr="00B34407" w:rsidR="00A71008">
        <w:t xml:space="preserve"> </w:t>
      </w:r>
      <w:r w:rsidRPr="00B34407">
        <w:t xml:space="preserve">on the date that the notice of redemption is sent to the owners of the </w:t>
      </w:r>
      <w:r w:rsidR="00C7294C">
        <w:t>2024 Series C</w:t>
      </w:r>
      <w:r w:rsidR="005B3036">
        <w:t xml:space="preserve"> Bond</w:t>
      </w:r>
      <w:r w:rsidR="006C550F">
        <w:t>s</w:t>
      </w:r>
      <w:r w:rsidRPr="00B34407">
        <w:t xml:space="preserve">.  Approximately 60 days after </w:t>
      </w:r>
      <w:r w:rsidRPr="00B34407">
        <w:lastRenderedPageBreak/>
        <w:t xml:space="preserve">each redemption date, the Trustee will send an additional copy of the notice of redemption by mail to any registered owner whose </w:t>
      </w:r>
      <w:r w:rsidR="00C7294C">
        <w:t>2024 Series C</w:t>
      </w:r>
      <w:r w:rsidR="005B3036">
        <w:t xml:space="preserve"> Bond</w:t>
      </w:r>
      <w:r w:rsidR="006C550F">
        <w:t>s</w:t>
      </w:r>
      <w:r w:rsidRPr="00B34407">
        <w:t xml:space="preserve">, other than </w:t>
      </w:r>
      <w:r w:rsidR="00C7294C">
        <w:t>2024 Series C</w:t>
      </w:r>
      <w:r w:rsidR="005B3036">
        <w:t xml:space="preserve"> Bond</w:t>
      </w:r>
      <w:r w:rsidR="006C550F">
        <w:t>s</w:t>
      </w:r>
      <w:r w:rsidRPr="00B34407">
        <w:t xml:space="preserve"> held by DTC, called for redemption have not been presented for payment.  The Trustee will also send copies of the redemption notice to DTC for receipt at least two days prior to the date notice is given to registered owners in accordance with the preceding paragraphs.  However, failure to give any additional notice, to receive any requested return receipts or to give subsequent notice of nonpresentation to a holder will not affect the validity of the redemption of any </w:t>
      </w:r>
      <w:r w:rsidR="00C7294C">
        <w:t>2024 Series C</w:t>
      </w:r>
      <w:r w:rsidR="005B3036">
        <w:t xml:space="preserve"> Bond</w:t>
      </w:r>
      <w:r w:rsidR="006C550F">
        <w:t>s</w:t>
      </w:r>
      <w:r w:rsidRPr="00B34407">
        <w:t xml:space="preserve"> or impose any liability on the Trustee with respect thereto.</w:t>
      </w:r>
      <w:bookmarkStart w:name="_DV_M289" w:id="167"/>
      <w:bookmarkStart w:name="_Toc212948778" w:id="168"/>
      <w:bookmarkEnd w:id="167"/>
    </w:p>
    <w:p w:rsidRPr="000A6970" w:rsidR="000A6970" w:rsidP="000A6970" w:rsidRDefault="00AF72E5" w14:paraId="2E340DCE" w14:textId="77777777">
      <w:pPr>
        <w:pStyle w:val="aHEADINGSUB2"/>
        <w:rPr>
          <w:bCs/>
          <w:i w:val="0"/>
          <w:iCs w:val="0"/>
          <w:vanish/>
          <w:color w:val="FF0000"/>
          <w:sz w:val="19"/>
          <w:szCs w:val="19"/>
          <w:specVanish/>
        </w:rPr>
      </w:pPr>
      <w:bookmarkStart w:name="ElPgBr20" w:id="169"/>
      <w:bookmarkStart w:name="_Toc172841923" w:id="170"/>
      <w:bookmarkEnd w:id="169"/>
      <w:r w:rsidRPr="000A6970">
        <w:t>Payment of Redeemed Bonds</w:t>
      </w:r>
      <w:bookmarkEnd w:id="170"/>
    </w:p>
    <w:p w:rsidRPr="000A6970" w:rsidR="001F5C92" w:rsidP="000A6970" w:rsidRDefault="00AF72E5" w14:paraId="5232C462" w14:textId="3569A202">
      <w:pPr>
        <w:pStyle w:val="BodyText"/>
      </w:pPr>
      <w:r w:rsidRPr="000A6970">
        <w:t>.</w:t>
      </w:r>
      <w:bookmarkStart w:name="_DV_M290" w:id="171"/>
      <w:bookmarkEnd w:id="168"/>
      <w:bookmarkEnd w:id="171"/>
      <w:r w:rsidRPr="000A6970">
        <w:t xml:space="preserve">  Notice of redemption having been given by mail as described above,</w:t>
      </w:r>
      <w:r w:rsidRPr="000A6970" w:rsidR="001F5C92">
        <w:t xml:space="preserve"> except as provided under </w:t>
      </w:r>
      <w:r w:rsidR="00C34AEA">
        <w:t>“</w:t>
      </w:r>
      <w:r w:rsidRPr="000A6970" w:rsidR="001F5C92">
        <w:t>Conditional Notice of Redemption</w:t>
      </w:r>
      <w:r w:rsidR="00C34AEA">
        <w:t>”</w:t>
      </w:r>
      <w:r w:rsidRPr="000A6970" w:rsidR="001F5C92">
        <w:t xml:space="preserve"> below,</w:t>
      </w:r>
      <w:r w:rsidRPr="000A6970">
        <w:t xml:space="preserve"> the </w:t>
      </w:r>
      <w:r w:rsidR="00C7294C">
        <w:t>2024 Series C</w:t>
      </w:r>
      <w:r w:rsidR="005B3036">
        <w:t xml:space="preserve"> Bond</w:t>
      </w:r>
      <w:r w:rsidR="006C550F">
        <w:t>s</w:t>
      </w:r>
      <w:r w:rsidRPr="000A6970">
        <w:t xml:space="preserve"> or portions thereof called for redemption will become due and payable on the redemption date designated in the notice of redemption at the applicable redemption price, plus accrued and unpaid interest thereon to the redemption date.  Such </w:t>
      </w:r>
      <w:r w:rsidR="00C7294C">
        <w:t>2024 Series C</w:t>
      </w:r>
      <w:r w:rsidR="005B3036">
        <w:t xml:space="preserve"> Bond</w:t>
      </w:r>
      <w:r w:rsidR="006C550F">
        <w:t>s</w:t>
      </w:r>
      <w:r w:rsidRPr="000A6970">
        <w:t xml:space="preserve"> or portions thereof will be paid upon presentation and surrender thereof at the office specified in such notice.  If less than the entire principal amount of a </w:t>
      </w:r>
      <w:r w:rsidR="00C7294C">
        <w:t>2024 Series C</w:t>
      </w:r>
      <w:r w:rsidR="005B3036">
        <w:t xml:space="preserve"> Bond</w:t>
      </w:r>
      <w:r w:rsidRPr="000A6970">
        <w:t xml:space="preserve"> is called for redemption, the owner thereof will receive upon the surrender of such </w:t>
      </w:r>
      <w:r w:rsidR="00C7294C">
        <w:t>2024 Series C</w:t>
      </w:r>
      <w:r w:rsidR="005B3036">
        <w:t xml:space="preserve"> Bond</w:t>
      </w:r>
      <w:r w:rsidRPr="000A6970">
        <w:t xml:space="preserve">, without charge, a registered </w:t>
      </w:r>
      <w:r w:rsidR="00C7294C">
        <w:t>2024 Series C</w:t>
      </w:r>
      <w:r w:rsidR="005B3036">
        <w:t xml:space="preserve"> Bond</w:t>
      </w:r>
      <w:r w:rsidRPr="000A6970">
        <w:t xml:space="preserve"> or </w:t>
      </w:r>
      <w:r w:rsidR="00C7294C">
        <w:t>2024 Series C</w:t>
      </w:r>
      <w:r w:rsidR="005B3036">
        <w:t xml:space="preserve"> Bond</w:t>
      </w:r>
      <w:r w:rsidR="006C550F">
        <w:t>s</w:t>
      </w:r>
      <w:r w:rsidRPr="000A6970">
        <w:t xml:space="preserve"> of like </w:t>
      </w:r>
      <w:r w:rsidRPr="000A6970" w:rsidR="00C42370">
        <w:t>s</w:t>
      </w:r>
      <w:r w:rsidRPr="000A6970" w:rsidR="00F4385A">
        <w:t xml:space="preserve">eries </w:t>
      </w:r>
      <w:r w:rsidRPr="000A6970">
        <w:t xml:space="preserve">and maturity in any authorized denomination representing the unredeemed balance thereof.  </w:t>
      </w:r>
    </w:p>
    <w:p w:rsidRPr="00B34407" w:rsidR="00F91759" w:rsidP="00F91759" w:rsidRDefault="00F91759" w14:paraId="00A4D785" w14:textId="62EC4830">
      <w:pPr>
        <w:pStyle w:val="BodyTextFirstIndent"/>
      </w:pPr>
      <w:r w:rsidRPr="00B34407">
        <w:t xml:space="preserve">For so long as the </w:t>
      </w:r>
      <w:r w:rsidR="00C7294C">
        <w:t>2024 Series C</w:t>
      </w:r>
      <w:r w:rsidR="005B3036">
        <w:t xml:space="preserve"> Bond</w:t>
      </w:r>
      <w:r w:rsidR="006C550F">
        <w:t>s</w:t>
      </w:r>
      <w:r w:rsidRPr="00B34407">
        <w:t xml:space="preserve"> are registered in the name of DTC or its nominee, redemption payments on the </w:t>
      </w:r>
      <w:r w:rsidR="00C7294C">
        <w:t>2024 Series C</w:t>
      </w:r>
      <w:r w:rsidR="005B3036">
        <w:t xml:space="preserve"> Bond</w:t>
      </w:r>
      <w:r w:rsidR="006C550F">
        <w:t>s</w:t>
      </w:r>
      <w:r w:rsidRPr="00B34407">
        <w:t xml:space="preserve"> will be paid by the Paying Agent only to DTC or its nominee, in accordance with the preceding paragraph.  </w:t>
      </w:r>
      <w:r w:rsidRPr="00B34407" w:rsidR="00B74BF3">
        <w:t>None</w:t>
      </w:r>
      <w:r w:rsidRPr="00B34407">
        <w:t xml:space="preserve"> </w:t>
      </w:r>
      <w:r w:rsidRPr="00B34407" w:rsidR="00444185">
        <w:t xml:space="preserve">of </w:t>
      </w:r>
      <w:r w:rsidRPr="00B34407">
        <w:t>the Authority, the Paying Agent or the Trustee will have any responsibility for any Beneficial Owner</w:t>
      </w:r>
      <w:r w:rsidR="00C34AEA">
        <w:t>’</w:t>
      </w:r>
      <w:r w:rsidRPr="00B34407">
        <w:t xml:space="preserve">s receipt from DTC or its nominee, or from any DTC Participant or Indirect Participant, of any redemption payment on any </w:t>
      </w:r>
      <w:r w:rsidR="00C7294C">
        <w:t>2024 Series C</w:t>
      </w:r>
      <w:r w:rsidR="005B3036">
        <w:t xml:space="preserve"> Bond</w:t>
      </w:r>
      <w:r w:rsidR="006C550F">
        <w:t>s</w:t>
      </w:r>
      <w:r w:rsidRPr="00B34407">
        <w:t xml:space="preserve">.  See </w:t>
      </w:r>
      <w:r w:rsidR="00C34AEA">
        <w:t>“</w:t>
      </w:r>
      <w:r w:rsidRPr="00B34407">
        <w:t>BOOK-ENTRY-ONLY SYSTEM</w:t>
      </w:r>
      <w:r w:rsidR="00C34AEA">
        <w:t>”</w:t>
      </w:r>
      <w:r w:rsidRPr="00B34407">
        <w:t xml:space="preserve"> herein.</w:t>
      </w:r>
    </w:p>
    <w:p w:rsidRPr="000A6970" w:rsidR="000A6970" w:rsidP="000A6970" w:rsidRDefault="001F5C92" w14:paraId="57529DD4" w14:textId="77777777">
      <w:pPr>
        <w:pStyle w:val="aHEADINGSUB2"/>
        <w:rPr>
          <w:bCs/>
          <w:i w:val="0"/>
          <w:iCs w:val="0"/>
          <w:vanish/>
          <w:color w:val="FF0000"/>
          <w:sz w:val="19"/>
          <w:szCs w:val="19"/>
          <w:specVanish/>
        </w:rPr>
      </w:pPr>
      <w:bookmarkStart w:name="_Toc172841924" w:id="172"/>
      <w:r w:rsidRPr="00B34407">
        <w:t>Conditional Notice of Redemption</w:t>
      </w:r>
      <w:bookmarkEnd w:id="172"/>
    </w:p>
    <w:p w:rsidRPr="00B34407" w:rsidR="00B303DF" w:rsidP="000A6970" w:rsidRDefault="001F5C92" w14:paraId="4EECBCB7" w14:textId="29064DFB">
      <w:pPr>
        <w:pStyle w:val="BodyText"/>
      </w:pPr>
      <w:r w:rsidRPr="00B34407">
        <w:rPr>
          <w:b/>
        </w:rPr>
        <w:t>.</w:t>
      </w:r>
      <w:r w:rsidRPr="00B34407">
        <w:t xml:space="preserve">  </w:t>
      </w:r>
      <w:r w:rsidRPr="00B34407" w:rsidR="00AF72E5">
        <w:t xml:space="preserve">If, on the redemption date, moneys for the redemption of the </w:t>
      </w:r>
      <w:r w:rsidR="00C7294C">
        <w:t>2024 Series C</w:t>
      </w:r>
      <w:r w:rsidR="005B3036">
        <w:t xml:space="preserve"> Bond</w:t>
      </w:r>
      <w:r w:rsidR="006C550F">
        <w:t>s</w:t>
      </w:r>
      <w:r w:rsidRPr="00B34407" w:rsidR="00AF72E5">
        <w:t xml:space="preserve"> or portions thereof to be redeemed, together with accrued and unpaid interest thereon to the redemption date, are held by the Paying Agent and are available therefor on the redemption date and if notice of redemption has been mailed to the owner as described above, then, from and after the redemption date, interest on the </w:t>
      </w:r>
      <w:r w:rsidR="00C7294C">
        <w:t>2024 Series C</w:t>
      </w:r>
      <w:r w:rsidR="005B3036">
        <w:t xml:space="preserve"> Bond</w:t>
      </w:r>
      <w:r w:rsidR="006C550F">
        <w:t>s</w:t>
      </w:r>
      <w:r w:rsidRPr="00B34407" w:rsidR="00AF72E5">
        <w:t xml:space="preserve"> or portions thereof so called for redemption will cease to accrue and be payable.  </w:t>
      </w:r>
    </w:p>
    <w:p w:rsidRPr="00B34407" w:rsidR="00731DBE" w:rsidP="00731DBE" w:rsidRDefault="00731DBE" w14:paraId="6B10A98C" w14:textId="7C68C67B">
      <w:pPr>
        <w:pStyle w:val="BodyTextFirstIndent"/>
        <w:outlineLvl w:val="2"/>
      </w:pPr>
      <w:r w:rsidRPr="00B34407">
        <w:t xml:space="preserve">A notice of redemption of </w:t>
      </w:r>
      <w:r w:rsidR="00C7294C">
        <w:t>2024 Series C</w:t>
      </w:r>
      <w:r w:rsidR="005B3036">
        <w:t xml:space="preserve"> Bond</w:t>
      </w:r>
      <w:r w:rsidR="006C550F">
        <w:t>s</w:t>
      </w:r>
      <w:r w:rsidRPr="00B34407">
        <w:t xml:space="preserve"> (other than notice of a mandatory sinking fund redemption or a mandatory redemption described under </w:t>
      </w:r>
      <w:r w:rsidR="00C34AEA">
        <w:t>“</w:t>
      </w:r>
      <w:r w:rsidRPr="00B34407">
        <w:t>Redemption from Prepayments, Repayments and Excess Revenue—</w:t>
      </w:r>
      <w:r w:rsidRPr="00B34407">
        <w:rPr>
          <w:i/>
        </w:rPr>
        <w:t xml:space="preserve">Mandatory Redemption of </w:t>
      </w:r>
      <w:r w:rsidR="00C7294C">
        <w:rPr>
          <w:i/>
        </w:rPr>
        <w:t>2024 Series C</w:t>
      </w:r>
      <w:r w:rsidRPr="00976BD5" w:rsidR="00B4438E">
        <w:rPr>
          <w:i/>
        </w:rPr>
        <w:t>-1</w:t>
      </w:r>
      <w:r w:rsidR="00B4438E">
        <w:rPr>
          <w:i/>
        </w:rPr>
        <w:t xml:space="preserve"> Bond</w:t>
      </w:r>
      <w:r w:rsidR="00982DDE">
        <w:rPr>
          <w:i/>
        </w:rPr>
        <w:t>s</w:t>
      </w:r>
      <w:r w:rsidRPr="00B34407" w:rsidR="00471D1D">
        <w:rPr>
          <w:i/>
        </w:rPr>
        <w:t xml:space="preserve"> from Tax </w:t>
      </w:r>
      <w:r w:rsidRPr="00B34407" w:rsidR="00471D1D">
        <w:rPr>
          <w:rStyle w:val="aHEADINGSUBChar"/>
          <w:b w:val="0"/>
          <w:i/>
          <w:iCs/>
        </w:rPr>
        <w:t>Restricted Prepayments and Repayments</w:t>
      </w:r>
      <w:r w:rsidR="00C34AEA">
        <w:t>”</w:t>
      </w:r>
      <w:r w:rsidRPr="00B34407" w:rsidR="002504FA">
        <w:t xml:space="preserve"> or </w:t>
      </w:r>
      <w:r w:rsidR="00C34AEA">
        <w:t>“</w:t>
      </w:r>
      <w:r w:rsidRPr="00B34407" w:rsidR="002504FA">
        <w:t>—</w:t>
      </w:r>
      <w:r w:rsidRPr="00B34407" w:rsidR="002504FA">
        <w:rPr>
          <w:i/>
        </w:rPr>
        <w:t xml:space="preserve">Mandatory Redemption of </w:t>
      </w:r>
      <w:r w:rsidR="00A1322C">
        <w:rPr>
          <w:i/>
        </w:rPr>
        <w:t>2024C-2</w:t>
      </w:r>
      <w:r w:rsidR="00A6413E">
        <w:rPr>
          <w:i/>
        </w:rPr>
        <w:t xml:space="preserve"> PAC</w:t>
      </w:r>
      <w:r w:rsidR="00F86774">
        <w:rPr>
          <w:i/>
        </w:rPr>
        <w:t xml:space="preserve"> Bonds</w:t>
      </w:r>
      <w:r w:rsidR="00C34AEA">
        <w:rPr>
          <w:i/>
        </w:rPr>
        <w:t>”</w:t>
      </w:r>
      <w:r w:rsidRPr="00B34407" w:rsidR="000E4856">
        <w:t xml:space="preserve">) </w:t>
      </w:r>
      <w:r w:rsidRPr="00B34407">
        <w:t xml:space="preserve">will not be effective if the moneys are not so available on the redemption dates, and such event will not constitute an event of default under the Indenture and such </w:t>
      </w:r>
      <w:r w:rsidR="00C7294C">
        <w:t>2024 Series C</w:t>
      </w:r>
      <w:r w:rsidR="005B3036">
        <w:t xml:space="preserve"> Bond</w:t>
      </w:r>
      <w:r w:rsidR="006C550F">
        <w:t>s</w:t>
      </w:r>
      <w:r w:rsidRPr="00B34407">
        <w:t xml:space="preserve"> or portions thereof will continue to bear interest until paid at the same rate as they would have borne had they not been called for redemption.</w:t>
      </w:r>
    </w:p>
    <w:p w:rsidRPr="00EE4FA0" w:rsidR="00AF72E5" w:rsidP="008B2422" w:rsidRDefault="00AF72E5" w14:paraId="794548D5" w14:textId="5BD98E42">
      <w:pPr>
        <w:pStyle w:val="aHEADINGSUB"/>
        <w:widowControl/>
        <w:outlineLvl w:val="1"/>
      </w:pPr>
      <w:bookmarkStart w:name="_DV_M291" w:id="173"/>
      <w:bookmarkStart w:name="_DV_M292" w:id="174"/>
      <w:bookmarkStart w:name="_Toc212948779" w:id="175"/>
      <w:bookmarkStart w:name="_Toc534620333" w:id="176"/>
      <w:bookmarkStart w:name="_Toc534620443" w:id="177"/>
      <w:bookmarkStart w:name="_Toc534620561" w:id="178"/>
      <w:bookmarkStart w:name="_Toc534620882" w:id="179"/>
      <w:bookmarkStart w:name="_Toc534621113" w:id="180"/>
      <w:bookmarkStart w:name="_Toc172841925" w:id="181"/>
      <w:bookmarkEnd w:id="173"/>
      <w:bookmarkEnd w:id="174"/>
      <w:r w:rsidRPr="00EE4FA0">
        <w:t>Special Redemption from Unexpended Proceeds</w:t>
      </w:r>
      <w:bookmarkEnd w:id="175"/>
      <w:bookmarkEnd w:id="176"/>
      <w:bookmarkEnd w:id="177"/>
      <w:bookmarkEnd w:id="178"/>
      <w:bookmarkEnd w:id="179"/>
      <w:bookmarkEnd w:id="180"/>
      <w:bookmarkEnd w:id="181"/>
    </w:p>
    <w:p w:rsidR="0030274C" w:rsidP="00AA223A" w:rsidRDefault="00F9663B" w14:paraId="255060C1" w14:textId="4DA9F473">
      <w:pPr>
        <w:pStyle w:val="BodyTextFirstIndent"/>
      </w:pPr>
      <w:bookmarkStart w:name="_DV_M293" w:id="182"/>
      <w:bookmarkStart w:name="_DV_M313" w:id="183"/>
      <w:bookmarkStart w:name="_Toc212948780" w:id="184"/>
      <w:bookmarkEnd w:id="182"/>
      <w:bookmarkEnd w:id="183"/>
      <w:r w:rsidRPr="00EE4FA0">
        <w:t xml:space="preserve">The </w:t>
      </w:r>
      <w:r w:rsidR="00C7294C">
        <w:t>2024 Series C</w:t>
      </w:r>
      <w:r>
        <w:t xml:space="preserve"> Bond</w:t>
      </w:r>
      <w:r w:rsidRPr="00EE4FA0">
        <w:t>s</w:t>
      </w:r>
      <w:r>
        <w:t xml:space="preserve"> </w:t>
      </w:r>
      <w:r w:rsidR="00E671A2">
        <w:t xml:space="preserve">(except the 2024 Series C-1 Premium Term Bonds) </w:t>
      </w:r>
      <w:r w:rsidRPr="00EE4FA0">
        <w:t>are subject to special redemption</w:t>
      </w:r>
      <w:r>
        <w:t xml:space="preserve"> </w:t>
      </w:r>
      <w:r w:rsidRPr="00EE4FA0">
        <w:t>in whole or in part</w:t>
      </w:r>
      <w:r>
        <w:t>, at any time</w:t>
      </w:r>
      <w:r w:rsidRPr="00EE4FA0">
        <w:t xml:space="preserve"> on or before</w:t>
      </w:r>
      <w:r w:rsidR="006916DA">
        <w:t xml:space="preserve"> </w:t>
      </w:r>
      <w:r w:rsidR="000C2E0E">
        <w:t>August 1, 2025</w:t>
      </w:r>
      <w:r w:rsidRPr="005D6231">
        <w:t xml:space="preserve"> (unless extended to the extent permitted under the Indenture, but in no event for the Series </w:t>
      </w:r>
      <w:r w:rsidR="00C7294C">
        <w:t>2024 Series C</w:t>
      </w:r>
      <w:r w:rsidR="006916DA">
        <w:t xml:space="preserve">-1 Bonds </w:t>
      </w:r>
      <w:r w:rsidRPr="005D6231">
        <w:t xml:space="preserve">later than </w:t>
      </w:r>
      <w:r w:rsidR="00C15C9A">
        <w:t>February 20</w:t>
      </w:r>
      <w:r w:rsidR="00693919">
        <w:t>, 2028</w:t>
      </w:r>
      <w:r w:rsidRPr="005D6231">
        <w:t>) from</w:t>
      </w:r>
      <w:r w:rsidRPr="00A555A0">
        <w:t xml:space="preserve"> </w:t>
      </w:r>
      <w:r w:rsidRPr="005A4BEC">
        <w:t xml:space="preserve">proceeds of the </w:t>
      </w:r>
      <w:r w:rsidR="00C7294C">
        <w:t>2024 Series C</w:t>
      </w:r>
      <w:r>
        <w:t xml:space="preserve"> Bond</w:t>
      </w:r>
      <w:r w:rsidRPr="005A4BEC">
        <w:t xml:space="preserve">s </w:t>
      </w:r>
      <w:r w:rsidRPr="00A555A0">
        <w:t>remaining</w:t>
      </w:r>
      <w:r w:rsidRPr="00EE4FA0">
        <w:t xml:space="preserve"> unexpended on deposit in the </w:t>
      </w:r>
      <w:r w:rsidR="00C7294C">
        <w:t>2024 Series C</w:t>
      </w:r>
      <w:r>
        <w:t xml:space="preserve"> Subaccount</w:t>
      </w:r>
      <w:r w:rsidRPr="00EE4FA0">
        <w:t xml:space="preserve"> and not committed to the purchase of </w:t>
      </w:r>
      <w:r w:rsidR="00C7294C">
        <w:t>2024 Series C</w:t>
      </w:r>
      <w:r>
        <w:t xml:space="preserve"> Mortgage Loans</w:t>
      </w:r>
      <w:r w:rsidRPr="00B34407">
        <w:t xml:space="preserve"> by directing the Trustee in writing to provide notice of redemption as required under the Indenture</w:t>
      </w:r>
      <w:r>
        <w:t xml:space="preserve">.  </w:t>
      </w:r>
      <w:r w:rsidRPr="00DE2B19">
        <w:t xml:space="preserve">The Authority shall instruct the Trustee to use </w:t>
      </w:r>
      <w:r w:rsidR="00C7294C">
        <w:t>2024 Series C</w:t>
      </w:r>
      <w:r>
        <w:t>-1 Bond</w:t>
      </w:r>
      <w:r w:rsidRPr="00DE2B19">
        <w:t xml:space="preserve"> proceeds to redeem the </w:t>
      </w:r>
      <w:r w:rsidR="00C7294C">
        <w:t>2024 Series C</w:t>
      </w:r>
      <w:r>
        <w:t>-1 Bond</w:t>
      </w:r>
      <w:r w:rsidRPr="00DE2B19">
        <w:t xml:space="preserve">s under this provision and shall instruct the Trustee to use </w:t>
      </w:r>
      <w:r w:rsidR="00C7294C">
        <w:t>2024 Series C</w:t>
      </w:r>
      <w:r>
        <w:t>-2 Bond</w:t>
      </w:r>
      <w:r w:rsidRPr="00DE2B19">
        <w:t xml:space="preserve"> proceeds to redeem the </w:t>
      </w:r>
      <w:r w:rsidR="00C7294C">
        <w:t>2024 Series C</w:t>
      </w:r>
      <w:r>
        <w:t>-2 Bond</w:t>
      </w:r>
      <w:r w:rsidRPr="00DE2B19">
        <w:t>s under this provision</w:t>
      </w:r>
      <w:r>
        <w:t xml:space="preserve">.  </w:t>
      </w:r>
      <w:r w:rsidRPr="00B34407">
        <w:t xml:space="preserve">Such redemptions </w:t>
      </w:r>
      <w:r w:rsidRPr="005D6231">
        <w:t xml:space="preserve">will be made at a Redemption Price equal to 100% of the principal amount thereof (or </w:t>
      </w:r>
      <w:r w:rsidR="00693919">
        <w:rPr>
          <w:bCs/>
        </w:rPr>
        <w:t>104.165</w:t>
      </w:r>
      <w:r w:rsidRPr="005D6231">
        <w:t xml:space="preserve">% (the original issue price) for the redemption of any </w:t>
      </w:r>
      <w:r w:rsidR="00A1322C">
        <w:t>2024C-2</w:t>
      </w:r>
      <w:r w:rsidRPr="005D6231" w:rsidR="00A6413E">
        <w:t xml:space="preserve"> PAC</w:t>
      </w:r>
      <w:r w:rsidRPr="005D6231">
        <w:t xml:space="preserve"> Bonds (as hereinafter defined) sold with original issue premium) plus accrued</w:t>
      </w:r>
      <w:r w:rsidRPr="00B34407">
        <w:t xml:space="preserve"> interest to the applicable redemption date.</w:t>
      </w:r>
      <w:r w:rsidRPr="00B34407" w:rsidR="00C27F76">
        <w:t> </w:t>
      </w:r>
      <w:r w:rsidR="005A4BEC">
        <w:t xml:space="preserve"> </w:t>
      </w:r>
    </w:p>
    <w:p w:rsidRPr="00B34407" w:rsidR="00C27F76" w:rsidP="004D2C4F" w:rsidRDefault="00C27F76" w14:paraId="7207FFA6" w14:textId="11EF09D6">
      <w:pPr>
        <w:pStyle w:val="BodyTextFirstIndent"/>
        <w:spacing w:after="120"/>
      </w:pPr>
      <w:r w:rsidRPr="00B34407">
        <w:t xml:space="preserve">Moneys deposited in the Redemption Account as described in this paragraph will be applied by the Trustee as directed in writing by the Authority.  See </w:t>
      </w:r>
      <w:r w:rsidR="00C34AEA">
        <w:t>“</w:t>
      </w:r>
      <w:r w:rsidRPr="00B34407">
        <w:t>RISK FACTORS—Non</w:t>
      </w:r>
      <w:r w:rsidRPr="00B34407">
        <w:noBreakHyphen/>
        <w:t>Origination,</w:t>
      </w:r>
      <w:r w:rsidR="00C34AEA">
        <w:t>”</w:t>
      </w:r>
      <w:r w:rsidRPr="00B34407">
        <w:t xml:space="preserve"> </w:t>
      </w:r>
      <w:r w:rsidR="00C34AEA">
        <w:t>“</w:t>
      </w:r>
      <w:r w:rsidRPr="00B34407">
        <w:t>FEDERAL TAX LAW REQUIREMENTS—Redemption</w:t>
      </w:r>
      <w:r w:rsidR="00C34AEA">
        <w:t>”</w:t>
      </w:r>
      <w:r w:rsidRPr="00B34407">
        <w:t xml:space="preserve"> and </w:t>
      </w:r>
      <w:r w:rsidR="00C34AEA">
        <w:t>“</w:t>
      </w:r>
      <w:r w:rsidRPr="00B34407">
        <w:t>APPENDIX D: SUMMARY OF CERTAIN PROVISIONS OF INDENTURE—Loan Account</w:t>
      </w:r>
      <w:r w:rsidR="00C34AEA">
        <w:t>”</w:t>
      </w:r>
      <w:r w:rsidRPr="00B34407" w:rsidR="000D6136">
        <w:t xml:space="preserve"> herein</w:t>
      </w:r>
      <w:r w:rsidRPr="00B34407" w:rsidR="00F4385A">
        <w:t>.</w:t>
      </w:r>
      <w:r w:rsidRPr="00B34407" w:rsidR="002504FA">
        <w:t xml:space="preserve">  </w:t>
      </w:r>
      <w:r w:rsidRPr="00B34407" w:rsidR="00155809">
        <w:t>If</w:t>
      </w:r>
      <w:r w:rsidRPr="00B34407" w:rsidR="002504FA">
        <w:t xml:space="preserve"> unexpended proceeds are used to redeem </w:t>
      </w:r>
      <w:r w:rsidR="00C7294C">
        <w:t>2024 Series C</w:t>
      </w:r>
      <w:r w:rsidR="00B4438E">
        <w:t xml:space="preserve"> Bond</w:t>
      </w:r>
      <w:r w:rsidRPr="00B34407" w:rsidR="002504FA">
        <w:t xml:space="preserve">s under this </w:t>
      </w:r>
      <w:r w:rsidRPr="00B34407" w:rsidR="002504FA">
        <w:lastRenderedPageBreak/>
        <w:t xml:space="preserve">paragraph, certain adjustments to the </w:t>
      </w:r>
      <w:r w:rsidR="00A1322C">
        <w:t>2024C-2</w:t>
      </w:r>
      <w:r w:rsidR="00A6413E">
        <w:t xml:space="preserve"> PAC</w:t>
      </w:r>
      <w:r w:rsidR="00F86774">
        <w:t xml:space="preserve"> Bonds</w:t>
      </w:r>
      <w:r w:rsidRPr="00B34407" w:rsidR="002504FA">
        <w:t xml:space="preserve"> Applicable Outstanding Amounts will be made as described below.  </w:t>
      </w:r>
    </w:p>
    <w:p w:rsidRPr="00B34407" w:rsidR="00454565" w:rsidP="005D5C77" w:rsidRDefault="00454565" w14:paraId="37E76F47" w14:textId="77777777">
      <w:pPr>
        <w:pStyle w:val="aHEADINGSUB"/>
        <w:spacing w:after="200"/>
      </w:pPr>
      <w:bookmarkStart w:name="ElPgBr21" w:id="185"/>
      <w:bookmarkStart w:name="_Toc534620334" w:id="186"/>
      <w:bookmarkStart w:name="_Toc534620444" w:id="187"/>
      <w:bookmarkStart w:name="_Toc534620562" w:id="188"/>
      <w:bookmarkStart w:name="_Toc534620883" w:id="189"/>
      <w:bookmarkStart w:name="_Toc534621114" w:id="190"/>
      <w:bookmarkStart w:name="_Toc172841926" w:id="191"/>
      <w:bookmarkEnd w:id="185"/>
      <w:r w:rsidRPr="00AA223A">
        <w:t>Redemption</w:t>
      </w:r>
      <w:r w:rsidRPr="00B34407">
        <w:t xml:space="preserve"> from Prepayments, Repayments and Excess Revenues</w:t>
      </w:r>
      <w:bookmarkEnd w:id="186"/>
      <w:bookmarkEnd w:id="187"/>
      <w:bookmarkEnd w:id="188"/>
      <w:bookmarkEnd w:id="189"/>
      <w:bookmarkEnd w:id="190"/>
      <w:bookmarkEnd w:id="191"/>
    </w:p>
    <w:p w:rsidRPr="000A6970" w:rsidR="000A6970" w:rsidP="000A6970" w:rsidRDefault="00C802E3" w14:paraId="4268644C" w14:textId="77777777">
      <w:pPr>
        <w:pStyle w:val="aHEADINGSUB2"/>
        <w:rPr>
          <w:bCs/>
          <w:i w:val="0"/>
          <w:iCs w:val="0"/>
          <w:vanish/>
          <w:color w:val="FF0000"/>
          <w:sz w:val="19"/>
          <w:szCs w:val="19"/>
          <w:specVanish/>
        </w:rPr>
      </w:pPr>
      <w:bookmarkStart w:name="_Toc172841927" w:id="192"/>
      <w:r w:rsidRPr="00B34407">
        <w:t>Directed Principal Receipts</w:t>
      </w:r>
      <w:bookmarkEnd w:id="192"/>
    </w:p>
    <w:p w:rsidRPr="00B34407" w:rsidR="00C802E3" w:rsidP="004D2C4F" w:rsidRDefault="00C802E3" w14:paraId="685108D6" w14:textId="13138BAF">
      <w:pPr>
        <w:pStyle w:val="BodyText"/>
        <w:spacing w:after="120"/>
      </w:pPr>
      <w:r w:rsidRPr="00B34407">
        <w:rPr>
          <w:b/>
          <w:i/>
        </w:rPr>
        <w:t>.</w:t>
      </w:r>
      <w:r w:rsidRPr="00B34407">
        <w:t xml:space="preserve"> </w:t>
      </w:r>
      <w:r w:rsidR="00136D88">
        <w:t xml:space="preserve"> </w:t>
      </w:r>
      <w:r w:rsidRPr="00B34407">
        <w:t xml:space="preserve">As used in this Official Statement the term </w:t>
      </w:r>
      <w:r w:rsidR="00C34AEA">
        <w:t>“</w:t>
      </w:r>
      <w:r w:rsidRPr="00B34407">
        <w:rPr>
          <w:i/>
        </w:rPr>
        <w:t>Directed Principal Receipts</w:t>
      </w:r>
      <w:r w:rsidR="00C34AEA">
        <w:t>”</w:t>
      </w:r>
      <w:r w:rsidRPr="00B34407">
        <w:t xml:space="preserve"> </w:t>
      </w:r>
      <w:r w:rsidRPr="00B34407" w:rsidR="004A2A9C">
        <w:t xml:space="preserve">means </w:t>
      </w:r>
      <w:r w:rsidRPr="00976BD5" w:rsidR="00FF7824">
        <w:t>all</w:t>
      </w:r>
      <w:r w:rsidR="00FF7824">
        <w:t xml:space="preserve"> </w:t>
      </w:r>
      <w:r w:rsidR="00136D2F">
        <w:t xml:space="preserve">of the </w:t>
      </w:r>
      <w:r w:rsidRPr="00B34407" w:rsidR="004A2A9C">
        <w:t xml:space="preserve">Prepayments and repayments of principal on the </w:t>
      </w:r>
      <w:r w:rsidR="00C7294C">
        <w:t>2024 Series C</w:t>
      </w:r>
      <w:r w:rsidR="00C635EB">
        <w:t xml:space="preserve"> Mortgage Loans</w:t>
      </w:r>
      <w:r w:rsidR="004A2A9C">
        <w:t xml:space="preserve"> </w:t>
      </w:r>
      <w:r w:rsidRPr="002E2B27" w:rsidR="004A2A9C">
        <w:t xml:space="preserve">net of any </w:t>
      </w:r>
      <w:r w:rsidRPr="00B34407" w:rsidR="004A2A9C">
        <w:t xml:space="preserve">such amounts used to pay Principal Installments on the </w:t>
      </w:r>
      <w:r w:rsidR="00C7294C">
        <w:t>2024 Series C</w:t>
      </w:r>
      <w:r w:rsidR="005B3036">
        <w:t xml:space="preserve"> Bond</w:t>
      </w:r>
      <w:r w:rsidR="006C550F">
        <w:t>s</w:t>
      </w:r>
      <w:r w:rsidRPr="002E2B27" w:rsidR="004A2A9C">
        <w:t xml:space="preserve"> at maturity or upon mandatory redemption</w:t>
      </w:r>
      <w:r w:rsidRPr="00B34407" w:rsidR="004A2A9C">
        <w:t>.</w:t>
      </w:r>
      <w:r w:rsidRPr="00B34407">
        <w:t xml:space="preserve">  </w:t>
      </w:r>
    </w:p>
    <w:p w:rsidRPr="000A6970" w:rsidR="000A6970" w:rsidP="000A6970" w:rsidRDefault="00454565" w14:paraId="4F83FCC0" w14:textId="64CFF92D">
      <w:pPr>
        <w:pStyle w:val="aHEADINGSUB2"/>
        <w:rPr>
          <w:bCs/>
          <w:i w:val="0"/>
          <w:iCs w:val="0"/>
          <w:vanish/>
          <w:color w:val="FF0000"/>
          <w:sz w:val="19"/>
          <w:szCs w:val="19"/>
          <w:specVanish/>
        </w:rPr>
      </w:pPr>
      <w:bookmarkStart w:name="_Toc172841928" w:id="193"/>
      <w:r w:rsidRPr="000A6970">
        <w:t xml:space="preserve">Mandatory Redemption of </w:t>
      </w:r>
      <w:r w:rsidR="00A1322C">
        <w:t>2024C-2</w:t>
      </w:r>
      <w:r w:rsidR="00A6413E">
        <w:t xml:space="preserve"> PAC</w:t>
      </w:r>
      <w:r w:rsidR="00F86774">
        <w:t xml:space="preserve"> Bonds</w:t>
      </w:r>
      <w:bookmarkEnd w:id="193"/>
    </w:p>
    <w:p w:rsidR="00DE2C1B" w:rsidP="004D2C4F" w:rsidRDefault="00454565" w14:paraId="3000FC41" w14:textId="5F94D8E9">
      <w:pPr>
        <w:pStyle w:val="BodyText"/>
        <w:spacing w:after="0"/>
      </w:pPr>
      <w:r w:rsidRPr="000A6970">
        <w:t xml:space="preserve">.  The </w:t>
      </w:r>
      <w:r w:rsidR="00A1322C">
        <w:t>2024C-2</w:t>
      </w:r>
      <w:r w:rsidR="00A6413E">
        <w:t xml:space="preserve"> PAC</w:t>
      </w:r>
      <w:r w:rsidRPr="000A6970">
        <w:t xml:space="preserve"> Bonds due</w:t>
      </w:r>
      <w:r w:rsidR="00BB30DA">
        <w:t xml:space="preserve"> </w:t>
      </w:r>
      <w:r w:rsidR="001A2855">
        <w:t>January 1, 2054</w:t>
      </w:r>
      <w:r w:rsidRPr="00B22276" w:rsidR="00B65740">
        <w:t xml:space="preserve"> </w:t>
      </w:r>
      <w:r w:rsidRPr="00B22276">
        <w:t>(the</w:t>
      </w:r>
      <w:r w:rsidRPr="000A6970">
        <w:t xml:space="preserve"> </w:t>
      </w:r>
      <w:r w:rsidR="00C34AEA">
        <w:t>“</w:t>
      </w:r>
      <w:r w:rsidR="00A1322C">
        <w:rPr>
          <w:i/>
        </w:rPr>
        <w:t>2024C-2</w:t>
      </w:r>
      <w:r w:rsidR="00A6413E">
        <w:rPr>
          <w:i/>
        </w:rPr>
        <w:t xml:space="preserve"> PAC</w:t>
      </w:r>
      <w:r w:rsidRPr="00987AF8" w:rsidR="00F86774">
        <w:rPr>
          <w:i/>
        </w:rPr>
        <w:t xml:space="preserve"> Bonds</w:t>
      </w:r>
      <w:r w:rsidR="00C34AEA">
        <w:t>”</w:t>
      </w:r>
      <w:r w:rsidRPr="000A6970">
        <w:t xml:space="preserve">) are subject to mandatory redemption from Directed Principal Receipts </w:t>
      </w:r>
      <w:r w:rsidR="00576FC9">
        <w:t xml:space="preserve">(less Tax Restricted Prepayments and Repayments as required) </w:t>
      </w:r>
      <w:r w:rsidRPr="000A6970">
        <w:t>as directed in writing by the Authority on on</w:t>
      </w:r>
      <w:r w:rsidR="00EA3988">
        <w:t>e or more days during each semi</w:t>
      </w:r>
      <w:r w:rsidRPr="000A6970">
        <w:t xml:space="preserve">annual period ending </w:t>
      </w:r>
      <w:r w:rsidRPr="000A6970" w:rsidR="002504FA">
        <w:t>January</w:t>
      </w:r>
      <w:r w:rsidRPr="000A6970" w:rsidR="00343FB4">
        <w:t xml:space="preserve"> 1</w:t>
      </w:r>
      <w:r w:rsidRPr="000A6970">
        <w:t xml:space="preserve"> or </w:t>
      </w:r>
      <w:r w:rsidRPr="000A6970" w:rsidR="002504FA">
        <w:t>July</w:t>
      </w:r>
      <w:r w:rsidRPr="000A6970" w:rsidR="00AA223A">
        <w:t> </w:t>
      </w:r>
      <w:r w:rsidRPr="000A6970">
        <w:t xml:space="preserve">1, commencing with the period </w:t>
      </w:r>
      <w:r w:rsidRPr="00E24AC7">
        <w:t>ending</w:t>
      </w:r>
      <w:r w:rsidRPr="00E24AC7" w:rsidR="002268B9">
        <w:t xml:space="preserve"> </w:t>
      </w:r>
      <w:r w:rsidR="00254742">
        <w:t>January 1, 2025</w:t>
      </w:r>
      <w:r w:rsidRPr="00E24AC7">
        <w:t>, at a</w:t>
      </w:r>
      <w:r w:rsidRPr="000A6970">
        <w:t xml:space="preserve"> redemption price equal to 100% of the principal amount thereof, plus accrued and unpaid interest thereon to the redemption date, provided that after giving effect to such redemption, the aggregate principal amount of </w:t>
      </w:r>
      <w:r w:rsidR="00A1322C">
        <w:t>2024C-2</w:t>
      </w:r>
      <w:r w:rsidR="00A6413E">
        <w:t xml:space="preserve"> PAC</w:t>
      </w:r>
      <w:r w:rsidR="00F86774">
        <w:t xml:space="preserve"> Bonds</w:t>
      </w:r>
      <w:r w:rsidRPr="000A6970">
        <w:t xml:space="preserve"> outstanding on such redemption date is not less than the related Applicable Outstanding Amount of such </w:t>
      </w:r>
      <w:r w:rsidR="00A1322C">
        <w:t>2024C-2</w:t>
      </w:r>
      <w:r w:rsidR="00A6413E">
        <w:t xml:space="preserve"> PAC</w:t>
      </w:r>
      <w:r w:rsidR="00F86774">
        <w:t xml:space="preserve"> Bonds</w:t>
      </w:r>
      <w:r w:rsidRPr="000A6970">
        <w:t xml:space="preserve"> as set forth below (the </w:t>
      </w:r>
      <w:r w:rsidR="00C34AEA">
        <w:t>“</w:t>
      </w:r>
      <w:r w:rsidR="00A1322C">
        <w:rPr>
          <w:i/>
        </w:rPr>
        <w:t>2024C-2</w:t>
      </w:r>
      <w:r w:rsidR="00A6413E">
        <w:rPr>
          <w:i/>
        </w:rPr>
        <w:t xml:space="preserve"> PAC</w:t>
      </w:r>
      <w:r w:rsidRPr="003D7F64" w:rsidR="00F86774">
        <w:rPr>
          <w:i/>
        </w:rPr>
        <w:t xml:space="preserve"> Bonds</w:t>
      </w:r>
      <w:r w:rsidRPr="003D7F64">
        <w:rPr>
          <w:i/>
        </w:rPr>
        <w:t xml:space="preserve"> Applicable Outstanding Amount</w:t>
      </w:r>
      <w:r w:rsidR="00C34AEA">
        <w:t>”</w:t>
      </w:r>
      <w:r w:rsidRPr="000A6970">
        <w:t xml:space="preserve">).  </w:t>
      </w:r>
      <w:r w:rsidRPr="000A6970" w:rsidR="00155809">
        <w:t>If</w:t>
      </w:r>
      <w:r w:rsidRPr="000A6970">
        <w:t xml:space="preserve"> the Directed Principal Receipts are insufficient in any semiannual period to call the </w:t>
      </w:r>
      <w:r w:rsidR="00A1322C">
        <w:t>2024C-2</w:t>
      </w:r>
      <w:r w:rsidR="00A6413E">
        <w:t xml:space="preserve"> PAC</w:t>
      </w:r>
      <w:r w:rsidR="00F86774">
        <w:t xml:space="preserve"> Bonds</w:t>
      </w:r>
      <w:r w:rsidRPr="000A6970">
        <w:t xml:space="preserve"> in the amount described above, the </w:t>
      </w:r>
      <w:r w:rsidR="00A1322C">
        <w:t>2024C-2</w:t>
      </w:r>
      <w:r w:rsidR="00A6413E">
        <w:t xml:space="preserve"> PAC</w:t>
      </w:r>
      <w:r w:rsidR="00F86774">
        <w:t xml:space="preserve"> Bonds</w:t>
      </w:r>
      <w:r w:rsidRPr="000A6970">
        <w:t xml:space="preserve"> would continue to be callable in future semiannual periods from Directed Principal Receipts received in such future semiannual period as described above.  </w:t>
      </w:r>
      <w:r w:rsidRPr="000A6970" w:rsidR="00155809">
        <w:t>If</w:t>
      </w:r>
      <w:r w:rsidRPr="000A6970">
        <w:t xml:space="preserve"> there are excess Directed Principal Receipts with respect to any semiannual periods, such excess may be applied for any purpose authorized under the Indenture, including without limitation, to the redemption of other </w:t>
      </w:r>
      <w:r w:rsidR="00C7294C">
        <w:t>2024 Series C</w:t>
      </w:r>
      <w:r w:rsidR="005B3036">
        <w:t xml:space="preserve"> Bond</w:t>
      </w:r>
      <w:r w:rsidR="006C550F">
        <w:t>s</w:t>
      </w:r>
      <w:r w:rsidR="00D85118">
        <w:t xml:space="preserve"> (except the 2024 Series C-1 Premium Term Bonds prior to January 1, 2033)</w:t>
      </w:r>
      <w:r w:rsidRPr="000A6970">
        <w:t xml:space="preserve"> as described under the heading </w:t>
      </w:r>
      <w:r w:rsidR="00C34AEA">
        <w:t>“</w:t>
      </w:r>
      <w:r w:rsidRPr="000A6970">
        <w:t xml:space="preserve">REDEMPTION OF </w:t>
      </w:r>
      <w:r w:rsidR="00C7294C">
        <w:t xml:space="preserve">2024 </w:t>
      </w:r>
      <w:r w:rsidR="001F113E">
        <w:t>SERIES</w:t>
      </w:r>
      <w:r w:rsidR="00C7294C">
        <w:t xml:space="preserve"> C</w:t>
      </w:r>
      <w:r w:rsidR="005B3036">
        <w:t xml:space="preserve"> </w:t>
      </w:r>
      <w:r w:rsidR="001F113E">
        <w:t>BONDS</w:t>
      </w:r>
      <w:r w:rsidRPr="000A6970">
        <w:t>—Redemption from Prepayments, Repayments and Excess Revenues</w:t>
      </w:r>
      <w:r w:rsidR="00C34AEA">
        <w:t>”</w:t>
      </w:r>
      <w:r w:rsidRPr="000A6970">
        <w:t xml:space="preserve"> or </w:t>
      </w:r>
      <w:r w:rsidR="00C34AEA">
        <w:t>“</w:t>
      </w:r>
      <w:r w:rsidRPr="000A6970">
        <w:t>—Special Optional Redemption</w:t>
      </w:r>
      <w:r w:rsidR="00C34AEA">
        <w:t>”</w:t>
      </w:r>
      <w:r w:rsidRPr="000A6970" w:rsidR="00EF0B4B">
        <w:t xml:space="preserve"> herein</w:t>
      </w:r>
      <w:r w:rsidRPr="000A6970">
        <w:t>.</w:t>
      </w:r>
      <w:r w:rsidR="006C594A">
        <w:t xml:space="preserve">  Such amounts may also be used as described in </w:t>
      </w:r>
      <w:r w:rsidR="00C34AEA">
        <w:t>“</w:t>
      </w:r>
      <w:r w:rsidR="006C594A">
        <w:t xml:space="preserve">REDEMPTION OF </w:t>
      </w:r>
      <w:r w:rsidR="00C7294C">
        <w:t xml:space="preserve">2024 </w:t>
      </w:r>
      <w:r w:rsidR="001F113E">
        <w:t>SERIES</w:t>
      </w:r>
      <w:r w:rsidR="00C7294C">
        <w:t xml:space="preserve"> C</w:t>
      </w:r>
      <w:r w:rsidR="009A17A3">
        <w:t xml:space="preserve"> BONDS</w:t>
      </w:r>
      <w:r w:rsidR="006C594A">
        <w:t xml:space="preserve">—Redemption </w:t>
      </w:r>
      <w:r w:rsidRPr="000A6970" w:rsidR="006C594A">
        <w:t>from Prepayments, Repayments and Excess Revenues</w:t>
      </w:r>
      <w:r w:rsidR="006C594A">
        <w:t>—</w:t>
      </w:r>
      <w:r w:rsidRPr="006C594A" w:rsidR="006C594A">
        <w:rPr>
          <w:i/>
        </w:rPr>
        <w:t>Cross Calling and Recycling</w:t>
      </w:r>
      <w:r w:rsidR="006C594A">
        <w:t>.</w:t>
      </w:r>
      <w:r w:rsidR="00C34AEA">
        <w:t>”</w:t>
      </w:r>
      <w:r w:rsidR="002E4271">
        <w:t xml:space="preserve">  </w:t>
      </w:r>
    </w:p>
    <w:p w:rsidRPr="008D09E1" w:rsidR="008D09E1" w:rsidP="008D09E1" w:rsidRDefault="008D09E1" w14:paraId="22CD4A3B" w14:textId="77777777">
      <w:pPr>
        <w:pStyle w:val="DeltaViewTableHeading"/>
      </w:pPr>
    </w:p>
    <w:tbl>
      <w:tblPr>
        <w:tblStyle w:val="TableGrid"/>
        <w:tblW w:w="4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40"/>
        <w:gridCol w:w="1620"/>
      </w:tblGrid>
      <w:tr w:rsidRPr="008A4453" w:rsidR="00274300" w:rsidTr="00284241" w14:paraId="0BD7660B" w14:textId="77777777">
        <w:trPr>
          <w:cantSplit/>
          <w:jc w:val="center"/>
        </w:trPr>
        <w:tc>
          <w:tcPr>
            <w:tcW w:w="4860" w:type="dxa"/>
            <w:gridSpan w:val="2"/>
            <w:vAlign w:val="bottom"/>
          </w:tcPr>
          <w:p w:rsidRPr="00B34407" w:rsidR="00274300" w:rsidP="00284241" w:rsidRDefault="00A1322C" w14:paraId="1932C141" w14:textId="76A88B89">
            <w:pPr>
              <w:widowControl/>
              <w:jc w:val="center"/>
              <w:rPr>
                <w:rStyle w:val="DeltaViewInsertion"/>
                <w:b/>
                <w:bCs/>
                <w:color w:val="auto"/>
                <w:u w:val="none"/>
              </w:rPr>
            </w:pPr>
            <w:bookmarkStart w:name="ElPgBr22" w:id="194"/>
            <w:bookmarkEnd w:id="194"/>
            <w:r>
              <w:rPr>
                <w:rStyle w:val="DeltaViewInsertion"/>
                <w:b/>
                <w:bCs/>
                <w:color w:val="auto"/>
                <w:u w:val="none"/>
              </w:rPr>
              <w:t>2024C-2</w:t>
            </w:r>
            <w:r w:rsidR="00274300">
              <w:rPr>
                <w:rStyle w:val="DeltaViewInsertion"/>
                <w:b/>
                <w:bCs/>
                <w:color w:val="auto"/>
                <w:u w:val="none"/>
              </w:rPr>
              <w:t xml:space="preserve"> PAC Bonds</w:t>
            </w:r>
          </w:p>
          <w:p w:rsidRPr="009B117B" w:rsidR="00274300" w:rsidP="00693919" w:rsidRDefault="00274300" w14:paraId="4B2CAC36" w14:textId="33F0047A">
            <w:pPr>
              <w:jc w:val="center"/>
            </w:pPr>
            <w:r w:rsidRPr="00B34407">
              <w:rPr>
                <w:b/>
                <w:bCs/>
              </w:rPr>
              <w:t>Applicable Outstanding Amounts</w:t>
            </w:r>
          </w:p>
        </w:tc>
      </w:tr>
      <w:tr w:rsidRPr="008A4453" w:rsidR="00274300" w:rsidTr="00284241" w14:paraId="4BD1C2D0" w14:textId="77777777">
        <w:trPr>
          <w:cantSplit/>
          <w:jc w:val="center"/>
        </w:trPr>
        <w:tc>
          <w:tcPr>
            <w:tcW w:w="3240" w:type="dxa"/>
            <w:vAlign w:val="bottom"/>
          </w:tcPr>
          <w:p w:rsidRPr="009B117B" w:rsidR="00274300" w:rsidP="00284241" w:rsidRDefault="00274300" w14:paraId="61725FFA" w14:textId="77777777">
            <w:pPr>
              <w:ind w:left="1574" w:hanging="1574"/>
              <w:jc w:val="center"/>
            </w:pPr>
          </w:p>
        </w:tc>
        <w:tc>
          <w:tcPr>
            <w:tcW w:w="1620" w:type="dxa"/>
            <w:vAlign w:val="bottom"/>
          </w:tcPr>
          <w:p w:rsidRPr="009B117B" w:rsidR="00274300" w:rsidP="00284241" w:rsidRDefault="00274300" w14:paraId="7BD8EB8F" w14:textId="77777777">
            <w:pPr>
              <w:jc w:val="center"/>
              <w:rPr>
                <w:bCs/>
                <w:u w:val="single"/>
              </w:rPr>
            </w:pPr>
          </w:p>
        </w:tc>
      </w:tr>
      <w:tr w:rsidRPr="008A4453" w:rsidR="00274300" w:rsidTr="00284241" w14:paraId="4BD4E345" w14:textId="77777777">
        <w:trPr>
          <w:cantSplit/>
          <w:jc w:val="center"/>
        </w:trPr>
        <w:tc>
          <w:tcPr>
            <w:tcW w:w="3240" w:type="dxa"/>
            <w:vAlign w:val="bottom"/>
          </w:tcPr>
          <w:p w:rsidRPr="009B117B" w:rsidR="00274300" w:rsidP="00284241" w:rsidRDefault="00274300" w14:paraId="492B74C3" w14:textId="77777777">
            <w:pPr>
              <w:ind w:left="1574" w:hanging="1574"/>
              <w:jc w:val="center"/>
            </w:pPr>
            <w:r>
              <w:rPr>
                <w:u w:val="single"/>
              </w:rPr>
              <w:t>Semia</w:t>
            </w:r>
            <w:r w:rsidRPr="009B117B">
              <w:rPr>
                <w:u w:val="single"/>
              </w:rPr>
              <w:t>nnual Period Ending</w:t>
            </w:r>
          </w:p>
        </w:tc>
        <w:tc>
          <w:tcPr>
            <w:tcW w:w="1620" w:type="dxa"/>
            <w:vAlign w:val="bottom"/>
          </w:tcPr>
          <w:p w:rsidRPr="009B117B" w:rsidR="00274300" w:rsidP="00C94583" w:rsidRDefault="00274300" w14:paraId="232B3675" w14:textId="77777777">
            <w:pPr>
              <w:jc w:val="right"/>
            </w:pPr>
            <w:r w:rsidRPr="009B117B">
              <w:rPr>
                <w:bCs/>
                <w:u w:val="single"/>
              </w:rPr>
              <w:t>Amount</w:t>
            </w:r>
          </w:p>
        </w:tc>
      </w:tr>
      <w:tr w:rsidRPr="008A4453" w:rsidR="00274300" w:rsidTr="00284241" w14:paraId="22796EA6" w14:textId="77777777">
        <w:trPr>
          <w:cantSplit/>
          <w:trHeight w:val="70"/>
          <w:jc w:val="center"/>
        </w:trPr>
        <w:tc>
          <w:tcPr>
            <w:tcW w:w="3240" w:type="dxa"/>
            <w:vAlign w:val="bottom"/>
          </w:tcPr>
          <w:p w:rsidRPr="009B117B" w:rsidR="00274300" w:rsidP="00284241" w:rsidRDefault="00274300" w14:paraId="411FB3D2" w14:textId="77777777">
            <w:pPr>
              <w:ind w:left="786"/>
            </w:pPr>
          </w:p>
        </w:tc>
        <w:tc>
          <w:tcPr>
            <w:tcW w:w="1620" w:type="dxa"/>
            <w:vAlign w:val="bottom"/>
          </w:tcPr>
          <w:p w:rsidRPr="009B117B" w:rsidR="00274300" w:rsidP="00284241" w:rsidRDefault="00274300" w14:paraId="78424C63" w14:textId="77777777">
            <w:pPr>
              <w:tabs>
                <w:tab w:val="decimal" w:pos="1153"/>
              </w:tabs>
              <w:jc w:val="left"/>
              <w:rPr>
                <w:bCs/>
              </w:rPr>
            </w:pPr>
          </w:p>
        </w:tc>
      </w:tr>
      <w:tr w:rsidRPr="008A4453" w:rsidR="004962F3" w:rsidTr="00284241" w14:paraId="1136C7E2" w14:textId="77777777">
        <w:trPr>
          <w:cantSplit/>
          <w:trHeight w:val="70"/>
          <w:jc w:val="center"/>
        </w:trPr>
        <w:tc>
          <w:tcPr>
            <w:tcW w:w="3240" w:type="dxa"/>
            <w:vAlign w:val="bottom"/>
          </w:tcPr>
          <w:p w:rsidRPr="009B117B" w:rsidR="004962F3" w:rsidP="004962F3" w:rsidRDefault="004962F3" w14:paraId="2F17180E" w14:textId="02A2094B">
            <w:pPr>
              <w:ind w:left="786"/>
            </w:pPr>
            <w:r>
              <w:t>8/20/2024</w:t>
            </w:r>
          </w:p>
        </w:tc>
        <w:tc>
          <w:tcPr>
            <w:tcW w:w="1620" w:type="dxa"/>
            <w:vAlign w:val="bottom"/>
          </w:tcPr>
          <w:p w:rsidRPr="00C94583" w:rsidR="004962F3" w:rsidP="004962F3" w:rsidRDefault="004962F3" w14:paraId="24028F0E" w14:textId="1036DBEE">
            <w:pPr>
              <w:tabs>
                <w:tab w:val="decimal" w:pos="1153"/>
              </w:tabs>
              <w:jc w:val="right"/>
              <w:rPr>
                <w:bCs/>
              </w:rPr>
            </w:pPr>
            <w:r w:rsidRPr="00C94583">
              <w:rPr>
                <w:color w:val="000000"/>
              </w:rPr>
              <w:t xml:space="preserve">    </w:t>
            </w:r>
            <w:r>
              <w:rPr>
                <w:color w:val="000000"/>
              </w:rPr>
              <w:t>$</w:t>
            </w:r>
            <w:r w:rsidRPr="00C94583">
              <w:rPr>
                <w:color w:val="000000"/>
              </w:rPr>
              <w:t xml:space="preserve">32,190,000 </w:t>
            </w:r>
          </w:p>
        </w:tc>
      </w:tr>
      <w:tr w:rsidRPr="008A4453" w:rsidR="004962F3" w:rsidTr="00702569" w14:paraId="696BFA03" w14:textId="77777777">
        <w:trPr>
          <w:cantSplit/>
          <w:jc w:val="center"/>
        </w:trPr>
        <w:tc>
          <w:tcPr>
            <w:tcW w:w="3240" w:type="dxa"/>
            <w:vAlign w:val="bottom"/>
          </w:tcPr>
          <w:p w:rsidRPr="00A90524" w:rsidR="004962F3" w:rsidP="004962F3" w:rsidRDefault="004962F3" w14:paraId="1BEC9830" w14:textId="77777777">
            <w:pPr>
              <w:ind w:left="786"/>
            </w:pPr>
            <w:r>
              <w:t xml:space="preserve">  </w:t>
            </w:r>
            <w:r w:rsidRPr="00A90524">
              <w:t>1/1/2025</w:t>
            </w:r>
          </w:p>
        </w:tc>
        <w:tc>
          <w:tcPr>
            <w:tcW w:w="1620" w:type="dxa"/>
            <w:tcBorders>
              <w:top w:val="nil"/>
              <w:left w:val="nil"/>
              <w:bottom w:val="nil"/>
              <w:right w:val="nil"/>
            </w:tcBorders>
            <w:shd w:val="clear" w:color="auto" w:fill="auto"/>
          </w:tcPr>
          <w:p w:rsidRPr="00C94583" w:rsidR="004962F3" w:rsidP="004962F3" w:rsidRDefault="004962F3" w14:paraId="5E973227" w14:textId="4B11F0AF">
            <w:pPr>
              <w:tabs>
                <w:tab w:val="decimal" w:pos="1155"/>
              </w:tabs>
              <w:jc w:val="right"/>
              <w:rPr>
                <w:color w:val="000000"/>
              </w:rPr>
            </w:pPr>
            <w:r w:rsidRPr="003E0125">
              <w:t xml:space="preserve"> 32,190,000 </w:t>
            </w:r>
          </w:p>
        </w:tc>
      </w:tr>
      <w:tr w:rsidRPr="008A4453" w:rsidR="004962F3" w:rsidTr="00702569" w14:paraId="48905BFA" w14:textId="77777777">
        <w:trPr>
          <w:cantSplit/>
          <w:jc w:val="center"/>
        </w:trPr>
        <w:tc>
          <w:tcPr>
            <w:tcW w:w="3240" w:type="dxa"/>
            <w:vAlign w:val="bottom"/>
          </w:tcPr>
          <w:p w:rsidRPr="00A90524" w:rsidR="004962F3" w:rsidP="004962F3" w:rsidRDefault="004962F3" w14:paraId="6E634690" w14:textId="77777777">
            <w:pPr>
              <w:ind w:left="786"/>
              <w:jc w:val="left"/>
            </w:pPr>
            <w:r>
              <w:t xml:space="preserve">  </w:t>
            </w:r>
            <w:r w:rsidRPr="00A90524">
              <w:t>7/1/2025</w:t>
            </w:r>
          </w:p>
        </w:tc>
        <w:tc>
          <w:tcPr>
            <w:tcW w:w="1620" w:type="dxa"/>
            <w:tcBorders>
              <w:top w:val="nil"/>
              <w:left w:val="nil"/>
              <w:bottom w:val="nil"/>
              <w:right w:val="nil"/>
            </w:tcBorders>
            <w:shd w:val="clear" w:color="auto" w:fill="auto"/>
          </w:tcPr>
          <w:p w:rsidRPr="00C94583" w:rsidR="004962F3" w:rsidP="004962F3" w:rsidRDefault="004962F3" w14:paraId="7196FDB7" w14:textId="05B93BEC">
            <w:pPr>
              <w:tabs>
                <w:tab w:val="decimal" w:pos="1155"/>
              </w:tabs>
              <w:jc w:val="right"/>
              <w:rPr>
                <w:color w:val="000000"/>
              </w:rPr>
            </w:pPr>
            <w:r w:rsidRPr="003E0125">
              <w:t xml:space="preserve"> 31,840,000 </w:t>
            </w:r>
          </w:p>
        </w:tc>
      </w:tr>
      <w:tr w:rsidRPr="008A4453" w:rsidR="004962F3" w:rsidTr="00702569" w14:paraId="5A7D5AF1" w14:textId="77777777">
        <w:trPr>
          <w:cantSplit/>
          <w:jc w:val="center"/>
        </w:trPr>
        <w:tc>
          <w:tcPr>
            <w:tcW w:w="3240" w:type="dxa"/>
            <w:vAlign w:val="bottom"/>
          </w:tcPr>
          <w:p w:rsidRPr="00A90524" w:rsidR="004962F3" w:rsidP="004962F3" w:rsidRDefault="004962F3" w14:paraId="65256175" w14:textId="77777777">
            <w:pPr>
              <w:ind w:left="786"/>
              <w:jc w:val="left"/>
            </w:pPr>
            <w:r>
              <w:t xml:space="preserve">  </w:t>
            </w:r>
            <w:r w:rsidRPr="00A90524">
              <w:t>1/1/2026</w:t>
            </w:r>
          </w:p>
        </w:tc>
        <w:tc>
          <w:tcPr>
            <w:tcW w:w="1620" w:type="dxa"/>
            <w:tcBorders>
              <w:top w:val="nil"/>
              <w:left w:val="nil"/>
              <w:bottom w:val="nil"/>
              <w:right w:val="nil"/>
            </w:tcBorders>
            <w:shd w:val="clear" w:color="auto" w:fill="auto"/>
          </w:tcPr>
          <w:p w:rsidRPr="00C94583" w:rsidR="004962F3" w:rsidP="004962F3" w:rsidRDefault="004962F3" w14:paraId="6618A4F6" w14:textId="63DB5498">
            <w:pPr>
              <w:tabs>
                <w:tab w:val="decimal" w:pos="1155"/>
              </w:tabs>
              <w:jc w:val="right"/>
              <w:rPr>
                <w:color w:val="000000"/>
              </w:rPr>
            </w:pPr>
            <w:r w:rsidRPr="003E0125">
              <w:t xml:space="preserve"> 30,925,000 </w:t>
            </w:r>
          </w:p>
        </w:tc>
      </w:tr>
      <w:tr w:rsidRPr="008A4453" w:rsidR="004962F3" w:rsidTr="00702569" w14:paraId="2AA9E638" w14:textId="77777777">
        <w:trPr>
          <w:cantSplit/>
          <w:jc w:val="center"/>
        </w:trPr>
        <w:tc>
          <w:tcPr>
            <w:tcW w:w="3240" w:type="dxa"/>
            <w:vAlign w:val="bottom"/>
          </w:tcPr>
          <w:p w:rsidRPr="00A90524" w:rsidR="004962F3" w:rsidP="004962F3" w:rsidRDefault="004962F3" w14:paraId="1616A6C5" w14:textId="77777777">
            <w:pPr>
              <w:ind w:left="786"/>
              <w:jc w:val="left"/>
            </w:pPr>
            <w:r>
              <w:t xml:space="preserve">  </w:t>
            </w:r>
            <w:r w:rsidRPr="00A90524">
              <w:t>7/1/2026</w:t>
            </w:r>
          </w:p>
        </w:tc>
        <w:tc>
          <w:tcPr>
            <w:tcW w:w="1620" w:type="dxa"/>
            <w:tcBorders>
              <w:top w:val="nil"/>
              <w:left w:val="nil"/>
              <w:bottom w:val="nil"/>
              <w:right w:val="nil"/>
            </w:tcBorders>
            <w:shd w:val="clear" w:color="auto" w:fill="auto"/>
          </w:tcPr>
          <w:p w:rsidRPr="00C94583" w:rsidR="004962F3" w:rsidP="004962F3" w:rsidRDefault="004962F3" w14:paraId="7E089786" w14:textId="45BA0D19">
            <w:pPr>
              <w:tabs>
                <w:tab w:val="decimal" w:pos="1155"/>
              </w:tabs>
              <w:jc w:val="right"/>
              <w:rPr>
                <w:color w:val="000000"/>
              </w:rPr>
            </w:pPr>
            <w:r w:rsidRPr="003E0125">
              <w:t xml:space="preserve"> 29,470,000 </w:t>
            </w:r>
          </w:p>
        </w:tc>
      </w:tr>
      <w:tr w:rsidRPr="008A4453" w:rsidR="004962F3" w:rsidTr="00702569" w14:paraId="7145E4A3" w14:textId="77777777">
        <w:trPr>
          <w:cantSplit/>
          <w:jc w:val="center"/>
        </w:trPr>
        <w:tc>
          <w:tcPr>
            <w:tcW w:w="3240" w:type="dxa"/>
            <w:vAlign w:val="bottom"/>
          </w:tcPr>
          <w:p w:rsidRPr="00A90524" w:rsidR="004962F3" w:rsidP="004962F3" w:rsidRDefault="004962F3" w14:paraId="52F1B39B" w14:textId="77777777">
            <w:pPr>
              <w:ind w:left="786"/>
              <w:jc w:val="left"/>
            </w:pPr>
            <w:r>
              <w:t xml:space="preserve">  </w:t>
            </w:r>
            <w:r w:rsidRPr="00A90524">
              <w:t>1/1/2027</w:t>
            </w:r>
          </w:p>
        </w:tc>
        <w:tc>
          <w:tcPr>
            <w:tcW w:w="1620" w:type="dxa"/>
            <w:tcBorders>
              <w:top w:val="nil"/>
              <w:left w:val="nil"/>
              <w:bottom w:val="nil"/>
              <w:right w:val="nil"/>
            </w:tcBorders>
            <w:shd w:val="clear" w:color="auto" w:fill="auto"/>
          </w:tcPr>
          <w:p w:rsidRPr="00C94583" w:rsidR="004962F3" w:rsidP="004962F3" w:rsidRDefault="004962F3" w14:paraId="1D84232B" w14:textId="34242007">
            <w:pPr>
              <w:tabs>
                <w:tab w:val="decimal" w:pos="1155"/>
              </w:tabs>
              <w:jc w:val="right"/>
              <w:rPr>
                <w:color w:val="000000"/>
              </w:rPr>
            </w:pPr>
            <w:r w:rsidRPr="003E0125">
              <w:t xml:space="preserve"> 27,495,000 </w:t>
            </w:r>
          </w:p>
        </w:tc>
      </w:tr>
      <w:tr w:rsidRPr="008A4453" w:rsidR="004962F3" w:rsidTr="00702569" w14:paraId="2D14C735" w14:textId="77777777">
        <w:trPr>
          <w:cantSplit/>
          <w:jc w:val="center"/>
        </w:trPr>
        <w:tc>
          <w:tcPr>
            <w:tcW w:w="3240" w:type="dxa"/>
            <w:vAlign w:val="bottom"/>
          </w:tcPr>
          <w:p w:rsidRPr="00A90524" w:rsidR="004962F3" w:rsidP="004962F3" w:rsidRDefault="004962F3" w14:paraId="21612E03" w14:textId="77777777">
            <w:pPr>
              <w:ind w:left="786"/>
              <w:jc w:val="left"/>
            </w:pPr>
            <w:r>
              <w:t xml:space="preserve">  </w:t>
            </w:r>
            <w:r w:rsidRPr="00A90524">
              <w:t>7/1/2027</w:t>
            </w:r>
          </w:p>
        </w:tc>
        <w:tc>
          <w:tcPr>
            <w:tcW w:w="1620" w:type="dxa"/>
            <w:tcBorders>
              <w:top w:val="nil"/>
              <w:left w:val="nil"/>
              <w:bottom w:val="nil"/>
              <w:right w:val="nil"/>
            </w:tcBorders>
            <w:shd w:val="clear" w:color="auto" w:fill="auto"/>
          </w:tcPr>
          <w:p w:rsidRPr="00C94583" w:rsidR="004962F3" w:rsidP="004962F3" w:rsidRDefault="004962F3" w14:paraId="282EF90A" w14:textId="7B436F87">
            <w:pPr>
              <w:tabs>
                <w:tab w:val="decimal" w:pos="1155"/>
              </w:tabs>
              <w:jc w:val="right"/>
              <w:rPr>
                <w:color w:val="000000"/>
              </w:rPr>
            </w:pPr>
            <w:r w:rsidRPr="003E0125">
              <w:t xml:space="preserve"> 25,040,000 </w:t>
            </w:r>
          </w:p>
        </w:tc>
      </w:tr>
      <w:tr w:rsidRPr="008A4453" w:rsidR="004962F3" w:rsidTr="00702569" w14:paraId="12B4684C" w14:textId="77777777">
        <w:trPr>
          <w:cantSplit/>
          <w:jc w:val="center"/>
        </w:trPr>
        <w:tc>
          <w:tcPr>
            <w:tcW w:w="3240" w:type="dxa"/>
            <w:vAlign w:val="bottom"/>
          </w:tcPr>
          <w:p w:rsidRPr="00A90524" w:rsidR="004962F3" w:rsidP="004962F3" w:rsidRDefault="004962F3" w14:paraId="112AF62D" w14:textId="77777777">
            <w:pPr>
              <w:ind w:left="786"/>
              <w:jc w:val="left"/>
            </w:pPr>
            <w:r>
              <w:t xml:space="preserve">  </w:t>
            </w:r>
            <w:r w:rsidRPr="00A90524">
              <w:t>1/1/2028</w:t>
            </w:r>
          </w:p>
        </w:tc>
        <w:tc>
          <w:tcPr>
            <w:tcW w:w="1620" w:type="dxa"/>
            <w:tcBorders>
              <w:top w:val="nil"/>
              <w:left w:val="nil"/>
              <w:bottom w:val="nil"/>
              <w:right w:val="nil"/>
            </w:tcBorders>
            <w:shd w:val="clear" w:color="auto" w:fill="auto"/>
          </w:tcPr>
          <w:p w:rsidRPr="00C94583" w:rsidR="004962F3" w:rsidP="004962F3" w:rsidRDefault="004962F3" w14:paraId="3832DF7C" w14:textId="47FACB2F">
            <w:pPr>
              <w:tabs>
                <w:tab w:val="decimal" w:pos="1155"/>
              </w:tabs>
              <w:jc w:val="right"/>
              <w:rPr>
                <w:color w:val="000000"/>
              </w:rPr>
            </w:pPr>
            <w:r w:rsidRPr="003E0125">
              <w:t xml:space="preserve"> 22,460,000 </w:t>
            </w:r>
          </w:p>
        </w:tc>
      </w:tr>
      <w:tr w:rsidRPr="008A4453" w:rsidR="004962F3" w:rsidTr="00702569" w14:paraId="089DB315" w14:textId="77777777">
        <w:trPr>
          <w:cantSplit/>
          <w:jc w:val="center"/>
        </w:trPr>
        <w:tc>
          <w:tcPr>
            <w:tcW w:w="3240" w:type="dxa"/>
            <w:vAlign w:val="bottom"/>
          </w:tcPr>
          <w:p w:rsidRPr="00A90524" w:rsidR="004962F3" w:rsidP="004962F3" w:rsidRDefault="004962F3" w14:paraId="2E11F3B1" w14:textId="77777777">
            <w:pPr>
              <w:ind w:left="786"/>
              <w:jc w:val="left"/>
            </w:pPr>
            <w:r>
              <w:t xml:space="preserve">  </w:t>
            </w:r>
            <w:r w:rsidRPr="00A90524">
              <w:t>7/1/2028</w:t>
            </w:r>
          </w:p>
        </w:tc>
        <w:tc>
          <w:tcPr>
            <w:tcW w:w="1620" w:type="dxa"/>
            <w:tcBorders>
              <w:top w:val="nil"/>
              <w:left w:val="nil"/>
              <w:bottom w:val="nil"/>
              <w:right w:val="nil"/>
            </w:tcBorders>
            <w:shd w:val="clear" w:color="auto" w:fill="auto"/>
          </w:tcPr>
          <w:p w:rsidRPr="00C94583" w:rsidR="004962F3" w:rsidP="004962F3" w:rsidRDefault="004962F3" w14:paraId="01BE9D1B" w14:textId="060739D0">
            <w:pPr>
              <w:tabs>
                <w:tab w:val="decimal" w:pos="1155"/>
              </w:tabs>
              <w:jc w:val="right"/>
              <w:rPr>
                <w:color w:val="000000"/>
              </w:rPr>
            </w:pPr>
            <w:r w:rsidRPr="003E0125">
              <w:t xml:space="preserve"> 19,950,000 </w:t>
            </w:r>
          </w:p>
        </w:tc>
      </w:tr>
      <w:tr w:rsidRPr="008A4453" w:rsidR="004962F3" w:rsidTr="00702569" w14:paraId="23FB9FF8" w14:textId="77777777">
        <w:trPr>
          <w:cantSplit/>
          <w:jc w:val="center"/>
        </w:trPr>
        <w:tc>
          <w:tcPr>
            <w:tcW w:w="3240" w:type="dxa"/>
            <w:vAlign w:val="bottom"/>
          </w:tcPr>
          <w:p w:rsidRPr="00A90524" w:rsidR="004962F3" w:rsidP="004962F3" w:rsidRDefault="004962F3" w14:paraId="24EBEECB" w14:textId="77777777">
            <w:pPr>
              <w:ind w:left="786"/>
              <w:jc w:val="left"/>
            </w:pPr>
            <w:r>
              <w:t xml:space="preserve">  </w:t>
            </w:r>
            <w:r w:rsidRPr="00A90524">
              <w:t>1/1/2029</w:t>
            </w:r>
          </w:p>
        </w:tc>
        <w:tc>
          <w:tcPr>
            <w:tcW w:w="1620" w:type="dxa"/>
            <w:tcBorders>
              <w:top w:val="nil"/>
              <w:left w:val="nil"/>
              <w:bottom w:val="nil"/>
              <w:right w:val="nil"/>
            </w:tcBorders>
            <w:shd w:val="clear" w:color="auto" w:fill="auto"/>
          </w:tcPr>
          <w:p w:rsidRPr="00C94583" w:rsidR="004962F3" w:rsidP="004962F3" w:rsidRDefault="004962F3" w14:paraId="0A34BB21" w14:textId="1568CED7">
            <w:pPr>
              <w:tabs>
                <w:tab w:val="decimal" w:pos="1155"/>
              </w:tabs>
              <w:jc w:val="right"/>
              <w:rPr>
                <w:color w:val="000000"/>
              </w:rPr>
            </w:pPr>
            <w:r w:rsidRPr="003E0125">
              <w:t xml:space="preserve"> 17,520,000 </w:t>
            </w:r>
          </w:p>
        </w:tc>
      </w:tr>
      <w:tr w:rsidRPr="008A4453" w:rsidR="004962F3" w:rsidTr="00702569" w14:paraId="426B310D" w14:textId="77777777">
        <w:trPr>
          <w:cantSplit/>
          <w:jc w:val="center"/>
        </w:trPr>
        <w:tc>
          <w:tcPr>
            <w:tcW w:w="3240" w:type="dxa"/>
            <w:vAlign w:val="bottom"/>
          </w:tcPr>
          <w:p w:rsidRPr="00A90524" w:rsidR="004962F3" w:rsidP="004962F3" w:rsidRDefault="004962F3" w14:paraId="0734A70E" w14:textId="77777777">
            <w:pPr>
              <w:ind w:left="786"/>
              <w:jc w:val="left"/>
            </w:pPr>
            <w:r>
              <w:t xml:space="preserve">  </w:t>
            </w:r>
            <w:r w:rsidRPr="00A90524">
              <w:t>7/1/2029</w:t>
            </w:r>
          </w:p>
        </w:tc>
        <w:tc>
          <w:tcPr>
            <w:tcW w:w="1620" w:type="dxa"/>
            <w:tcBorders>
              <w:top w:val="nil"/>
              <w:left w:val="nil"/>
              <w:bottom w:val="nil"/>
              <w:right w:val="nil"/>
            </w:tcBorders>
            <w:shd w:val="clear" w:color="auto" w:fill="auto"/>
          </w:tcPr>
          <w:p w:rsidRPr="00C94583" w:rsidR="004962F3" w:rsidP="004962F3" w:rsidRDefault="004962F3" w14:paraId="09F97787" w14:textId="0A4299F0">
            <w:pPr>
              <w:tabs>
                <w:tab w:val="decimal" w:pos="1155"/>
              </w:tabs>
              <w:jc w:val="right"/>
              <w:rPr>
                <w:color w:val="000000"/>
              </w:rPr>
            </w:pPr>
            <w:r w:rsidRPr="003E0125">
              <w:t xml:space="preserve"> 15,165,000 </w:t>
            </w:r>
          </w:p>
        </w:tc>
      </w:tr>
      <w:tr w:rsidRPr="008A4453" w:rsidR="004962F3" w:rsidTr="00702569" w14:paraId="5ACADF83" w14:textId="77777777">
        <w:trPr>
          <w:cantSplit/>
          <w:jc w:val="center"/>
        </w:trPr>
        <w:tc>
          <w:tcPr>
            <w:tcW w:w="3240" w:type="dxa"/>
            <w:vAlign w:val="bottom"/>
          </w:tcPr>
          <w:p w:rsidRPr="00A90524" w:rsidR="004962F3" w:rsidP="004962F3" w:rsidRDefault="004962F3" w14:paraId="254587FE" w14:textId="77777777">
            <w:pPr>
              <w:ind w:left="786"/>
              <w:jc w:val="left"/>
            </w:pPr>
            <w:r>
              <w:t xml:space="preserve">  </w:t>
            </w:r>
            <w:r w:rsidRPr="00A90524">
              <w:t>1/1/2030</w:t>
            </w:r>
          </w:p>
        </w:tc>
        <w:tc>
          <w:tcPr>
            <w:tcW w:w="1620" w:type="dxa"/>
            <w:tcBorders>
              <w:top w:val="nil"/>
              <w:left w:val="nil"/>
              <w:bottom w:val="nil"/>
              <w:right w:val="nil"/>
            </w:tcBorders>
            <w:shd w:val="clear" w:color="auto" w:fill="auto"/>
          </w:tcPr>
          <w:p w:rsidRPr="00C94583" w:rsidR="004962F3" w:rsidP="004962F3" w:rsidRDefault="004962F3" w14:paraId="777EE958" w14:textId="15942B54">
            <w:pPr>
              <w:tabs>
                <w:tab w:val="decimal" w:pos="1155"/>
              </w:tabs>
              <w:jc w:val="right"/>
              <w:rPr>
                <w:color w:val="000000"/>
              </w:rPr>
            </w:pPr>
            <w:r w:rsidRPr="003E0125">
              <w:t xml:space="preserve"> 12,880,000 </w:t>
            </w:r>
          </w:p>
        </w:tc>
      </w:tr>
      <w:tr w:rsidRPr="008A4453" w:rsidR="004962F3" w:rsidTr="00702569" w14:paraId="0B5B6B56" w14:textId="77777777">
        <w:trPr>
          <w:cantSplit/>
          <w:jc w:val="center"/>
        </w:trPr>
        <w:tc>
          <w:tcPr>
            <w:tcW w:w="3240" w:type="dxa"/>
            <w:vAlign w:val="bottom"/>
          </w:tcPr>
          <w:p w:rsidRPr="00A90524" w:rsidR="004962F3" w:rsidP="004962F3" w:rsidRDefault="004962F3" w14:paraId="33ED78E3" w14:textId="77777777">
            <w:pPr>
              <w:ind w:left="786"/>
              <w:jc w:val="left"/>
            </w:pPr>
            <w:r>
              <w:t xml:space="preserve">  </w:t>
            </w:r>
            <w:r w:rsidRPr="00A90524">
              <w:t>7/1/2030</w:t>
            </w:r>
          </w:p>
        </w:tc>
        <w:tc>
          <w:tcPr>
            <w:tcW w:w="1620" w:type="dxa"/>
            <w:tcBorders>
              <w:top w:val="nil"/>
              <w:left w:val="nil"/>
              <w:bottom w:val="nil"/>
              <w:right w:val="nil"/>
            </w:tcBorders>
            <w:shd w:val="clear" w:color="auto" w:fill="auto"/>
          </w:tcPr>
          <w:p w:rsidRPr="00C94583" w:rsidR="004962F3" w:rsidP="004962F3" w:rsidRDefault="004962F3" w14:paraId="38435D34" w14:textId="20A8CECA">
            <w:pPr>
              <w:tabs>
                <w:tab w:val="decimal" w:pos="1155"/>
              </w:tabs>
              <w:jc w:val="right"/>
              <w:rPr>
                <w:color w:val="000000"/>
              </w:rPr>
            </w:pPr>
            <w:r w:rsidRPr="003E0125">
              <w:t xml:space="preserve"> 10,670,000 </w:t>
            </w:r>
          </w:p>
        </w:tc>
      </w:tr>
      <w:tr w:rsidRPr="00B34407" w:rsidR="004962F3" w:rsidTr="00702569" w14:paraId="484771C4" w14:textId="77777777">
        <w:trPr>
          <w:cantSplit/>
          <w:jc w:val="center"/>
        </w:trPr>
        <w:tc>
          <w:tcPr>
            <w:tcW w:w="3240" w:type="dxa"/>
            <w:vAlign w:val="bottom"/>
          </w:tcPr>
          <w:p w:rsidRPr="00A90524" w:rsidR="004962F3" w:rsidP="004962F3" w:rsidRDefault="004962F3" w14:paraId="4D3174BE" w14:textId="77777777">
            <w:pPr>
              <w:ind w:left="786"/>
              <w:jc w:val="left"/>
            </w:pPr>
            <w:r>
              <w:t xml:space="preserve">  </w:t>
            </w:r>
            <w:r w:rsidRPr="00A90524">
              <w:t>1/1/2031</w:t>
            </w:r>
          </w:p>
        </w:tc>
        <w:tc>
          <w:tcPr>
            <w:tcW w:w="1620" w:type="dxa"/>
            <w:tcBorders>
              <w:top w:val="nil"/>
              <w:left w:val="nil"/>
              <w:bottom w:val="nil"/>
              <w:right w:val="nil"/>
            </w:tcBorders>
            <w:shd w:val="clear" w:color="auto" w:fill="auto"/>
          </w:tcPr>
          <w:p w:rsidRPr="00C94583" w:rsidR="004962F3" w:rsidP="004962F3" w:rsidRDefault="004962F3" w14:paraId="7D588732" w14:textId="53B20324">
            <w:pPr>
              <w:tabs>
                <w:tab w:val="decimal" w:pos="1155"/>
              </w:tabs>
              <w:jc w:val="right"/>
              <w:rPr>
                <w:color w:val="000000"/>
              </w:rPr>
            </w:pPr>
            <w:r w:rsidRPr="003E0125">
              <w:t xml:space="preserve"> 8,540,000 </w:t>
            </w:r>
          </w:p>
        </w:tc>
      </w:tr>
      <w:tr w:rsidRPr="00B34407" w:rsidR="004962F3" w:rsidTr="00702569" w14:paraId="3477AAB7" w14:textId="77777777">
        <w:trPr>
          <w:cantSplit/>
          <w:jc w:val="center"/>
        </w:trPr>
        <w:tc>
          <w:tcPr>
            <w:tcW w:w="3240" w:type="dxa"/>
            <w:vAlign w:val="bottom"/>
          </w:tcPr>
          <w:p w:rsidRPr="00A90524" w:rsidR="004962F3" w:rsidP="004962F3" w:rsidRDefault="004962F3" w14:paraId="77E4358E" w14:textId="77777777">
            <w:pPr>
              <w:ind w:left="885"/>
              <w:jc w:val="left"/>
            </w:pPr>
            <w:r w:rsidRPr="00A90524">
              <w:t>7/1/2031</w:t>
            </w:r>
          </w:p>
        </w:tc>
        <w:tc>
          <w:tcPr>
            <w:tcW w:w="1620" w:type="dxa"/>
            <w:tcBorders>
              <w:top w:val="nil"/>
              <w:left w:val="nil"/>
              <w:bottom w:val="nil"/>
              <w:right w:val="nil"/>
            </w:tcBorders>
            <w:shd w:val="clear" w:color="auto" w:fill="auto"/>
          </w:tcPr>
          <w:p w:rsidRPr="00C94583" w:rsidR="004962F3" w:rsidP="004962F3" w:rsidRDefault="004962F3" w14:paraId="08E78220" w14:textId="080B1282">
            <w:pPr>
              <w:tabs>
                <w:tab w:val="decimal" w:pos="1155"/>
              </w:tabs>
              <w:jc w:val="right"/>
              <w:rPr>
                <w:color w:val="000000"/>
              </w:rPr>
            </w:pPr>
            <w:r w:rsidRPr="003E0125">
              <w:t xml:space="preserve"> 6,490,000 </w:t>
            </w:r>
          </w:p>
        </w:tc>
      </w:tr>
      <w:tr w:rsidRPr="00B34407" w:rsidR="004962F3" w:rsidTr="00702569" w14:paraId="34520241" w14:textId="77777777">
        <w:trPr>
          <w:cantSplit/>
          <w:jc w:val="center"/>
        </w:trPr>
        <w:tc>
          <w:tcPr>
            <w:tcW w:w="3240" w:type="dxa"/>
            <w:vAlign w:val="bottom"/>
          </w:tcPr>
          <w:p w:rsidRPr="00A90524" w:rsidR="004962F3" w:rsidP="004962F3" w:rsidRDefault="004962F3" w14:paraId="6DDD04F2" w14:textId="77777777">
            <w:pPr>
              <w:ind w:left="885"/>
              <w:jc w:val="left"/>
            </w:pPr>
            <w:r w:rsidRPr="00A90524">
              <w:t>1/1/2032</w:t>
            </w:r>
          </w:p>
        </w:tc>
        <w:tc>
          <w:tcPr>
            <w:tcW w:w="1620" w:type="dxa"/>
            <w:tcBorders>
              <w:top w:val="nil"/>
              <w:left w:val="nil"/>
              <w:bottom w:val="nil"/>
              <w:right w:val="nil"/>
            </w:tcBorders>
            <w:shd w:val="clear" w:color="auto" w:fill="auto"/>
          </w:tcPr>
          <w:p w:rsidRPr="00C94583" w:rsidR="004962F3" w:rsidP="004962F3" w:rsidRDefault="004962F3" w14:paraId="5313A948" w14:textId="2A2B8618">
            <w:pPr>
              <w:tabs>
                <w:tab w:val="decimal" w:pos="1155"/>
              </w:tabs>
              <w:jc w:val="right"/>
              <w:rPr>
                <w:color w:val="000000"/>
              </w:rPr>
            </w:pPr>
            <w:r w:rsidRPr="003E0125">
              <w:t xml:space="preserve"> 4,510,000 </w:t>
            </w:r>
          </w:p>
        </w:tc>
      </w:tr>
      <w:tr w:rsidRPr="00B34407" w:rsidR="004962F3" w:rsidTr="00702569" w14:paraId="28276E55" w14:textId="77777777">
        <w:trPr>
          <w:cantSplit/>
          <w:jc w:val="center"/>
        </w:trPr>
        <w:tc>
          <w:tcPr>
            <w:tcW w:w="3240" w:type="dxa"/>
            <w:vAlign w:val="bottom"/>
          </w:tcPr>
          <w:p w:rsidRPr="00A90524" w:rsidR="004962F3" w:rsidP="004962F3" w:rsidRDefault="004962F3" w14:paraId="492D3BF3" w14:textId="07C96F37">
            <w:pPr>
              <w:ind w:left="885"/>
              <w:jc w:val="left"/>
            </w:pPr>
            <w:r w:rsidRPr="00A90524">
              <w:t>7/1/2032</w:t>
            </w:r>
            <w:r>
              <w:t xml:space="preserve"> </w:t>
            </w:r>
          </w:p>
        </w:tc>
        <w:tc>
          <w:tcPr>
            <w:tcW w:w="1620" w:type="dxa"/>
            <w:tcBorders>
              <w:top w:val="nil"/>
              <w:left w:val="nil"/>
              <w:bottom w:val="nil"/>
              <w:right w:val="nil"/>
            </w:tcBorders>
            <w:shd w:val="clear" w:color="auto" w:fill="auto"/>
          </w:tcPr>
          <w:p w:rsidRPr="00C94583" w:rsidR="004962F3" w:rsidP="004962F3" w:rsidRDefault="004962F3" w14:paraId="6761A5ED" w14:textId="18B4A48A">
            <w:pPr>
              <w:tabs>
                <w:tab w:val="decimal" w:pos="1155"/>
              </w:tabs>
              <w:jc w:val="right"/>
            </w:pPr>
            <w:r w:rsidRPr="003E0125">
              <w:t xml:space="preserve"> 2,615,000 </w:t>
            </w:r>
          </w:p>
        </w:tc>
      </w:tr>
      <w:tr w:rsidRPr="00B34407" w:rsidR="004962F3" w:rsidTr="00702569" w14:paraId="65EBD384" w14:textId="77777777">
        <w:trPr>
          <w:cantSplit/>
          <w:trHeight w:val="66"/>
          <w:jc w:val="center"/>
        </w:trPr>
        <w:tc>
          <w:tcPr>
            <w:tcW w:w="3240" w:type="dxa"/>
            <w:vAlign w:val="bottom"/>
          </w:tcPr>
          <w:p w:rsidR="004962F3" w:rsidP="004962F3" w:rsidRDefault="004962F3" w14:paraId="3A9C3935" w14:textId="7C72A1B7">
            <w:pPr>
              <w:ind w:left="885"/>
              <w:jc w:val="left"/>
            </w:pPr>
            <w:r>
              <w:t>1</w:t>
            </w:r>
            <w:r w:rsidRPr="00A90524">
              <w:t>/1/203</w:t>
            </w:r>
            <w:r>
              <w:t>3</w:t>
            </w:r>
          </w:p>
        </w:tc>
        <w:tc>
          <w:tcPr>
            <w:tcW w:w="1620" w:type="dxa"/>
            <w:tcBorders>
              <w:top w:val="nil"/>
              <w:left w:val="nil"/>
              <w:bottom w:val="nil"/>
              <w:right w:val="nil"/>
            </w:tcBorders>
            <w:shd w:val="clear" w:color="auto" w:fill="auto"/>
          </w:tcPr>
          <w:p w:rsidRPr="00C94583" w:rsidR="004962F3" w:rsidP="004962F3" w:rsidRDefault="004962F3" w14:paraId="164B6845" w14:textId="09FAAEB1">
            <w:pPr>
              <w:tabs>
                <w:tab w:val="decimal" w:pos="1155"/>
              </w:tabs>
              <w:jc w:val="right"/>
              <w:rPr>
                <w:color w:val="000000"/>
              </w:rPr>
            </w:pPr>
            <w:r w:rsidRPr="003E0125">
              <w:t xml:space="preserve"> 795,000 </w:t>
            </w:r>
          </w:p>
        </w:tc>
      </w:tr>
      <w:tr w:rsidRPr="00B34407" w:rsidR="00B5650D" w:rsidTr="00581747" w14:paraId="232116A2" w14:textId="77777777">
        <w:trPr>
          <w:cantSplit/>
          <w:trHeight w:val="66"/>
          <w:jc w:val="center"/>
        </w:trPr>
        <w:tc>
          <w:tcPr>
            <w:tcW w:w="3240" w:type="dxa"/>
            <w:vAlign w:val="bottom"/>
          </w:tcPr>
          <w:p w:rsidR="00B5650D" w:rsidP="00B5650D" w:rsidRDefault="00B5650D" w14:paraId="4499250C" w14:textId="2C7AC250">
            <w:pPr>
              <w:ind w:left="885"/>
              <w:jc w:val="left"/>
            </w:pPr>
            <w:r w:rsidRPr="00A90524">
              <w:t>7/1/203</w:t>
            </w:r>
            <w:r>
              <w:t>3 and thereafter</w:t>
            </w:r>
          </w:p>
        </w:tc>
        <w:tc>
          <w:tcPr>
            <w:tcW w:w="1620" w:type="dxa"/>
            <w:tcBorders>
              <w:top w:val="nil"/>
              <w:left w:val="nil"/>
              <w:bottom w:val="nil"/>
              <w:right w:val="nil"/>
            </w:tcBorders>
            <w:shd w:val="clear" w:color="auto" w:fill="auto"/>
            <w:vAlign w:val="bottom"/>
          </w:tcPr>
          <w:p w:rsidR="00B5650D" w:rsidP="00B5650D" w:rsidRDefault="00B5650D" w14:paraId="422F140D" w14:textId="59E66538">
            <w:pPr>
              <w:tabs>
                <w:tab w:val="decimal" w:pos="1155"/>
              </w:tabs>
              <w:jc w:val="left"/>
              <w:rPr>
                <w:color w:val="000000"/>
              </w:rPr>
            </w:pPr>
            <w:r>
              <w:rPr>
                <w:color w:val="000000"/>
              </w:rPr>
              <w:t>-</w:t>
            </w:r>
          </w:p>
        </w:tc>
      </w:tr>
    </w:tbl>
    <w:p w:rsidR="00B5650D" w:rsidP="00B5650D" w:rsidRDefault="00B5650D" w14:paraId="14C51C60" w14:textId="77777777">
      <w:pPr>
        <w:pStyle w:val="BodyTextFirstIndent"/>
        <w:spacing w:after="0"/>
        <w:outlineLvl w:val="2"/>
        <w:rPr>
          <w:rStyle w:val="aHEADINGSUBChar"/>
          <w:b w:val="0"/>
          <w:iCs/>
        </w:rPr>
      </w:pPr>
    </w:p>
    <w:p w:rsidRPr="00B34407" w:rsidR="00454565" w:rsidP="00454565" w:rsidRDefault="00155809" w14:paraId="17072247" w14:textId="0F74D22C">
      <w:pPr>
        <w:pStyle w:val="BodyTextFirstIndent"/>
        <w:outlineLvl w:val="2"/>
        <w:rPr>
          <w:rStyle w:val="aHEADINGSUBChar"/>
          <w:b w:val="0"/>
          <w:iCs/>
        </w:rPr>
      </w:pPr>
      <w:r w:rsidRPr="00B34407">
        <w:rPr>
          <w:rStyle w:val="aHEADINGSUBChar"/>
          <w:b w:val="0"/>
          <w:iCs/>
        </w:rPr>
        <w:t>If</w:t>
      </w:r>
      <w:r w:rsidRPr="00B34407" w:rsidR="00454565">
        <w:rPr>
          <w:rStyle w:val="aHEADINGSUBChar"/>
          <w:b w:val="0"/>
          <w:iCs/>
        </w:rPr>
        <w:t xml:space="preserve"> any </w:t>
      </w:r>
      <w:r w:rsidR="00C7294C">
        <w:rPr>
          <w:rStyle w:val="aHEADINGSUBChar"/>
          <w:b w:val="0"/>
          <w:iCs/>
        </w:rPr>
        <w:t>2024 Series C</w:t>
      </w:r>
      <w:r w:rsidR="005B3036">
        <w:rPr>
          <w:rStyle w:val="aHEADINGSUBChar"/>
          <w:b w:val="0"/>
          <w:iCs/>
        </w:rPr>
        <w:t xml:space="preserve"> Bond</w:t>
      </w:r>
      <w:r w:rsidR="006C550F">
        <w:rPr>
          <w:rStyle w:val="aHEADINGSUBChar"/>
          <w:b w:val="0"/>
          <w:iCs/>
        </w:rPr>
        <w:t>s</w:t>
      </w:r>
      <w:r w:rsidRPr="00B34407" w:rsidR="00454565">
        <w:rPr>
          <w:rStyle w:val="aHEADINGSUBChar"/>
          <w:b w:val="0"/>
          <w:iCs/>
        </w:rPr>
        <w:t xml:space="preserve"> are redeemed from unexpended proceeds</w:t>
      </w:r>
      <w:r w:rsidR="00BE489D">
        <w:rPr>
          <w:rStyle w:val="aHEADINGSUBChar"/>
          <w:b w:val="0"/>
          <w:iCs/>
        </w:rPr>
        <w:t xml:space="preserve"> as described above</w:t>
      </w:r>
      <w:r w:rsidRPr="00B34407" w:rsidR="00454565">
        <w:rPr>
          <w:rStyle w:val="aHEADINGSUBChar"/>
          <w:b w:val="0"/>
          <w:iCs/>
        </w:rPr>
        <w:t xml:space="preserve">, the </w:t>
      </w:r>
      <w:r w:rsidR="00A1322C">
        <w:rPr>
          <w:rStyle w:val="aHEADINGSUBChar"/>
          <w:b w:val="0"/>
          <w:iCs/>
        </w:rPr>
        <w:t>2024C-2</w:t>
      </w:r>
      <w:r w:rsidR="00A6413E">
        <w:rPr>
          <w:rStyle w:val="aHEADINGSUBChar"/>
          <w:b w:val="0"/>
          <w:iCs/>
        </w:rPr>
        <w:t xml:space="preserve"> PAC</w:t>
      </w:r>
      <w:r w:rsidR="00F86774">
        <w:rPr>
          <w:rStyle w:val="aHEADINGSUBChar"/>
          <w:b w:val="0"/>
          <w:iCs/>
        </w:rPr>
        <w:t xml:space="preserve"> Bonds</w:t>
      </w:r>
      <w:r w:rsidRPr="00B34407" w:rsidR="00454565">
        <w:rPr>
          <w:rStyle w:val="aHEADINGSUBChar"/>
          <w:b w:val="0"/>
          <w:iCs/>
        </w:rPr>
        <w:t xml:space="preserve"> Applicable Outstanding Amounts for each semiannual period will be reduced on a proportionate basis based upon the proportion of </w:t>
      </w:r>
      <w:r w:rsidR="00A1322C">
        <w:rPr>
          <w:rStyle w:val="aHEADINGSUBChar"/>
          <w:b w:val="0"/>
          <w:iCs/>
        </w:rPr>
        <w:t>2024C-2</w:t>
      </w:r>
      <w:r w:rsidR="00A6413E">
        <w:rPr>
          <w:rStyle w:val="aHEADINGSUBChar"/>
          <w:b w:val="0"/>
          <w:iCs/>
        </w:rPr>
        <w:t xml:space="preserve"> PAC</w:t>
      </w:r>
      <w:r w:rsidR="00F86774">
        <w:rPr>
          <w:rStyle w:val="aHEADINGSUBChar"/>
          <w:b w:val="0"/>
          <w:iCs/>
        </w:rPr>
        <w:t xml:space="preserve"> Bonds</w:t>
      </w:r>
      <w:r w:rsidRPr="00B34407" w:rsidR="00454565">
        <w:rPr>
          <w:rStyle w:val="aHEADINGSUBChar"/>
          <w:b w:val="0"/>
          <w:iCs/>
        </w:rPr>
        <w:t xml:space="preserve"> so redeemed.</w:t>
      </w:r>
    </w:p>
    <w:p w:rsidR="00DB42F5" w:rsidP="00DB42F5" w:rsidRDefault="00454565" w14:paraId="07BAAE20" w14:textId="360E9B29">
      <w:pPr>
        <w:pStyle w:val="BodyTextFirstIndent"/>
        <w:outlineLvl w:val="2"/>
        <w:rPr>
          <w:rStyle w:val="aHEADINGSUBChar"/>
          <w:b w:val="0"/>
          <w:iCs/>
        </w:rPr>
      </w:pPr>
      <w:r w:rsidRPr="00B34407">
        <w:rPr>
          <w:rStyle w:val="aHEADINGSUBChar"/>
          <w:b w:val="0"/>
          <w:iCs/>
        </w:rPr>
        <w:lastRenderedPageBreak/>
        <w:t xml:space="preserve">The </w:t>
      </w:r>
      <w:r w:rsidR="00A1322C">
        <w:rPr>
          <w:rStyle w:val="aHEADINGSUBChar"/>
          <w:b w:val="0"/>
          <w:iCs/>
        </w:rPr>
        <w:t>2024C-2</w:t>
      </w:r>
      <w:r w:rsidR="00A6413E">
        <w:rPr>
          <w:rStyle w:val="aHEADINGSUBChar"/>
          <w:b w:val="0"/>
          <w:iCs/>
        </w:rPr>
        <w:t xml:space="preserve"> PAC</w:t>
      </w:r>
      <w:r w:rsidR="00F86774">
        <w:rPr>
          <w:rStyle w:val="aHEADINGSUBChar"/>
          <w:b w:val="0"/>
          <w:iCs/>
        </w:rPr>
        <w:t xml:space="preserve"> Bonds</w:t>
      </w:r>
      <w:r w:rsidRPr="00B34407">
        <w:rPr>
          <w:rStyle w:val="aHEADINGSUBChar"/>
          <w:b w:val="0"/>
          <w:iCs/>
        </w:rPr>
        <w:t xml:space="preserve"> are also subject to redemption from any sources other than Directed Principal Receipts only if such redemption will not reduce the outstanding principal amount of </w:t>
      </w:r>
      <w:r w:rsidR="00A1322C">
        <w:rPr>
          <w:rStyle w:val="aHEADINGSUBChar"/>
          <w:b w:val="0"/>
          <w:iCs/>
        </w:rPr>
        <w:t>2024C-2</w:t>
      </w:r>
      <w:r w:rsidR="00A6413E">
        <w:rPr>
          <w:rStyle w:val="aHEADINGSUBChar"/>
          <w:b w:val="0"/>
          <w:iCs/>
        </w:rPr>
        <w:t xml:space="preserve"> PAC</w:t>
      </w:r>
      <w:r w:rsidR="00F86774">
        <w:rPr>
          <w:rStyle w:val="aHEADINGSUBChar"/>
          <w:b w:val="0"/>
          <w:iCs/>
        </w:rPr>
        <w:t xml:space="preserve"> Bonds</w:t>
      </w:r>
      <w:r w:rsidRPr="00B34407">
        <w:rPr>
          <w:rStyle w:val="aHEADINGSUBChar"/>
          <w:b w:val="0"/>
          <w:iCs/>
        </w:rPr>
        <w:t xml:space="preserve"> to an amount less than the </w:t>
      </w:r>
      <w:r w:rsidR="00A1322C">
        <w:rPr>
          <w:rStyle w:val="aHEADINGSUBChar"/>
          <w:b w:val="0"/>
          <w:iCs/>
        </w:rPr>
        <w:t>2024C-2</w:t>
      </w:r>
      <w:r w:rsidR="00A6413E">
        <w:rPr>
          <w:rStyle w:val="aHEADINGSUBChar"/>
          <w:b w:val="0"/>
          <w:iCs/>
        </w:rPr>
        <w:t xml:space="preserve"> PAC</w:t>
      </w:r>
      <w:r w:rsidR="00F86774">
        <w:rPr>
          <w:rStyle w:val="aHEADINGSUBChar"/>
          <w:b w:val="0"/>
          <w:iCs/>
        </w:rPr>
        <w:t xml:space="preserve"> Bonds</w:t>
      </w:r>
      <w:r w:rsidRPr="00B34407">
        <w:rPr>
          <w:rStyle w:val="aHEADINGSUBChar"/>
          <w:b w:val="0"/>
          <w:iCs/>
        </w:rPr>
        <w:t xml:space="preserve"> Applicable Outstanding Amounts shown in the table above, as adjusted (if applicable) per the immediately preceding </w:t>
      </w:r>
      <w:r w:rsidRPr="00B34407" w:rsidR="00155809">
        <w:rPr>
          <w:rStyle w:val="aHEADINGSUBChar"/>
          <w:b w:val="0"/>
          <w:iCs/>
        </w:rPr>
        <w:t>paragraph</w:t>
      </w:r>
      <w:r w:rsidR="00356FF8">
        <w:rPr>
          <w:rStyle w:val="aHEADINGSUBChar"/>
          <w:b w:val="0"/>
          <w:iCs/>
        </w:rPr>
        <w:t>.</w:t>
      </w:r>
    </w:p>
    <w:p w:rsidR="00454565" w:rsidP="00454565" w:rsidRDefault="00454565" w14:paraId="1FB6BB2C" w14:textId="207C248D">
      <w:pPr>
        <w:pStyle w:val="BodyTextFirstIndent"/>
        <w:outlineLvl w:val="2"/>
        <w:rPr>
          <w:rStyle w:val="aHEADINGSUBChar"/>
          <w:b w:val="0"/>
          <w:iCs/>
        </w:rPr>
      </w:pPr>
      <w:r w:rsidRPr="00B34407">
        <w:rPr>
          <w:rStyle w:val="aHEADINGSUBChar"/>
          <w:b w:val="0"/>
          <w:iCs/>
        </w:rPr>
        <w:t xml:space="preserve">If the </w:t>
      </w:r>
      <w:r w:rsidR="00A1322C">
        <w:rPr>
          <w:rStyle w:val="aHEADINGSUBChar"/>
          <w:b w:val="0"/>
          <w:iCs/>
        </w:rPr>
        <w:t>2024C-2</w:t>
      </w:r>
      <w:r w:rsidR="00A6413E">
        <w:rPr>
          <w:rStyle w:val="aHEADINGSUBChar"/>
          <w:b w:val="0"/>
          <w:iCs/>
        </w:rPr>
        <w:t xml:space="preserve"> PAC</w:t>
      </w:r>
      <w:r w:rsidR="00F86774">
        <w:rPr>
          <w:rStyle w:val="aHEADINGSUBChar"/>
          <w:b w:val="0"/>
          <w:iCs/>
        </w:rPr>
        <w:t xml:space="preserve"> Bonds</w:t>
      </w:r>
      <w:r w:rsidRPr="00B34407">
        <w:rPr>
          <w:rStyle w:val="aHEADINGSUBChar"/>
          <w:b w:val="0"/>
          <w:iCs/>
        </w:rPr>
        <w:t xml:space="preserve"> are redeemed on a date other than an Interest Payment Date, th</w:t>
      </w:r>
      <w:r w:rsidR="007F3AD9">
        <w:rPr>
          <w:rStyle w:val="aHEADINGSUBChar"/>
          <w:b w:val="0"/>
          <w:iCs/>
        </w:rPr>
        <w:t>e Applicable Outstanding Amount</w:t>
      </w:r>
      <w:r w:rsidRPr="00B34407">
        <w:rPr>
          <w:rStyle w:val="aHEADINGSUBChar"/>
          <w:b w:val="0"/>
          <w:iCs/>
        </w:rPr>
        <w:t xml:space="preserve"> as of such redemption date will be determined by straight-line </w:t>
      </w:r>
      <w:r w:rsidR="00553202">
        <w:rPr>
          <w:rStyle w:val="aHEADINGSUBChar"/>
          <w:b w:val="0"/>
          <w:iCs/>
        </w:rPr>
        <w:t>interpolation</w:t>
      </w:r>
      <w:r w:rsidRPr="00B34407">
        <w:rPr>
          <w:rStyle w:val="aHEADINGSUBChar"/>
          <w:b w:val="0"/>
          <w:iCs/>
        </w:rPr>
        <w:t xml:space="preserve"> between the Applicable Outstanding Amounts for the Interest Payment Dates immediately </w:t>
      </w:r>
      <w:r w:rsidRPr="00B34407" w:rsidR="00FB397A">
        <w:rPr>
          <w:rStyle w:val="aHEADINGSUBChar"/>
          <w:b w:val="0"/>
          <w:iCs/>
        </w:rPr>
        <w:t>preceding</w:t>
      </w:r>
      <w:r w:rsidRPr="00B34407">
        <w:rPr>
          <w:rStyle w:val="aHEADINGSUBChar"/>
          <w:b w:val="0"/>
          <w:iCs/>
        </w:rPr>
        <w:t xml:space="preserve"> and succeeding such redemption date.</w:t>
      </w:r>
    </w:p>
    <w:p w:rsidRPr="000A6970" w:rsidR="000A6970" w:rsidP="000A6970" w:rsidRDefault="00155809" w14:paraId="4A22231B" w14:textId="017FBAFC">
      <w:pPr>
        <w:pStyle w:val="aHEADINGSUB2"/>
        <w:rPr>
          <w:bCs/>
          <w:i w:val="0"/>
          <w:iCs w:val="0"/>
          <w:vanish/>
          <w:color w:val="FF0000"/>
          <w:sz w:val="19"/>
          <w:szCs w:val="19"/>
          <w:specVanish/>
        </w:rPr>
      </w:pPr>
      <w:bookmarkStart w:name="_Toc172841929" w:id="195"/>
      <w:r w:rsidRPr="000A6970">
        <w:t xml:space="preserve">Estimated Weighted Average Lives of the </w:t>
      </w:r>
      <w:r w:rsidR="00A1322C">
        <w:t>2024C-2</w:t>
      </w:r>
      <w:r w:rsidR="00A6413E">
        <w:t xml:space="preserve"> PAC</w:t>
      </w:r>
      <w:r w:rsidR="00F86774">
        <w:t xml:space="preserve"> Bonds</w:t>
      </w:r>
      <w:bookmarkEnd w:id="195"/>
    </w:p>
    <w:p w:rsidRPr="000A6970" w:rsidR="00155809" w:rsidP="000A6970" w:rsidRDefault="000A6970" w14:paraId="40374DA4" w14:textId="2F42E0C9">
      <w:pPr>
        <w:pStyle w:val="BodyText"/>
      </w:pPr>
      <w:r>
        <w:t>.</w:t>
      </w:r>
      <w:r w:rsidRPr="000A6970" w:rsidR="00155809">
        <w:t xml:space="preserve">  The weighted average life of a security refers to the average of the length of time that will elapse from the date of issuance of such security to the date each installment of principal is paid to the investor weighted by the amount of such installment.  The weighted average lives of the </w:t>
      </w:r>
      <w:r w:rsidR="00A1322C">
        <w:t>2024C-2</w:t>
      </w:r>
      <w:r w:rsidR="00A6413E">
        <w:t xml:space="preserve"> PAC</w:t>
      </w:r>
      <w:r w:rsidR="00F86774">
        <w:t xml:space="preserve"> Bonds</w:t>
      </w:r>
      <w:r w:rsidRPr="000A6970" w:rsidR="00155809">
        <w:t xml:space="preserve"> will be influenced by, among other factors, the timing and extent of origination of </w:t>
      </w:r>
      <w:r w:rsidR="00C7294C">
        <w:t>2024 Series C</w:t>
      </w:r>
      <w:r w:rsidR="00C635EB">
        <w:t xml:space="preserve"> Mortgage Loans</w:t>
      </w:r>
      <w:r w:rsidRPr="000A6970" w:rsidR="00155809">
        <w:t xml:space="preserve"> and the rate at which principal payments, including scheduled payments and principal prepayments, are made on the </w:t>
      </w:r>
      <w:r w:rsidR="00C7294C">
        <w:t>2024 Series C</w:t>
      </w:r>
      <w:r w:rsidR="00C635EB">
        <w:t xml:space="preserve"> Mortgage Loans</w:t>
      </w:r>
      <w:r w:rsidRPr="000A6970" w:rsidR="00155809">
        <w:t xml:space="preserve">.  See </w:t>
      </w:r>
      <w:r w:rsidR="00C34AEA">
        <w:t>“</w:t>
      </w:r>
      <w:r w:rsidRPr="000A6970" w:rsidR="00155809">
        <w:t>RISK FACTORS—Non</w:t>
      </w:r>
      <w:r w:rsidRPr="000A6970" w:rsidR="00155809">
        <w:noBreakHyphen/>
        <w:t>Origination</w:t>
      </w:r>
      <w:r w:rsidR="00C34AEA">
        <w:t>”</w:t>
      </w:r>
      <w:r w:rsidRPr="000A6970" w:rsidR="00155809">
        <w:t xml:space="preserve"> and </w:t>
      </w:r>
      <w:r w:rsidR="00C34AEA">
        <w:t>“</w:t>
      </w:r>
      <w:r w:rsidRPr="000A6970" w:rsidR="00155809">
        <w:t>—Prepayments</w:t>
      </w:r>
      <w:r w:rsidR="00C34AEA">
        <w:t>”</w:t>
      </w:r>
      <w:r w:rsidRPr="000A6970" w:rsidR="00155809">
        <w:t xml:space="preserve"> herein.</w:t>
      </w:r>
    </w:p>
    <w:p w:rsidRPr="00B34407" w:rsidR="00155809" w:rsidP="00155809" w:rsidRDefault="00155809" w14:paraId="24AA716F" w14:textId="2EC5658A">
      <w:pPr>
        <w:pStyle w:val="BodyTextFirstIndent"/>
      </w:pPr>
      <w:r w:rsidRPr="00B34407">
        <w:t xml:space="preserve">Payments of mortgage loans are commonly estimated in accordance with a prepayment standard or model.  The model used in the following description is the Standard Prepayment Model of the Securities Industry and Financial Markets Association (the </w:t>
      </w:r>
      <w:r w:rsidR="00C34AEA">
        <w:t>“</w:t>
      </w:r>
      <w:r w:rsidRPr="00B34407">
        <w:rPr>
          <w:i/>
        </w:rPr>
        <w:t>Standard SIFMA Model</w:t>
      </w:r>
      <w:r w:rsidR="00C34AEA">
        <w:t>”</w:t>
      </w:r>
      <w:r w:rsidRPr="00B34407">
        <w:t>).  The Standard SIFMA Model is based on an assumed rate of prepayment each month of the then unpaid principal balance of the mortgage loans.  Prepayment speeds are estimated as percentages of the Standard SIFMA Model and are referred to as the Prepayment Speed Assumption (</w:t>
      </w:r>
      <w:r w:rsidR="00C34AEA">
        <w:t>“</w:t>
      </w:r>
      <w:r w:rsidRPr="00B34407">
        <w:rPr>
          <w:i/>
        </w:rPr>
        <w:t>PSA</w:t>
      </w:r>
      <w:r w:rsidR="00C34AEA">
        <w:t>”</w:t>
      </w:r>
      <w:r w:rsidRPr="00B34407">
        <w:t>).  At 100% PSA, the Standard SIFMA Model assumes an increasingly larger percentage of the mortgage loans prepaying each month for the first 30 months of the life of the mortgage loan and then assumes a consta</w:t>
      </w:r>
      <w:r w:rsidRPr="00B34407" w:rsidR="005101F3">
        <w:t>nt prepayment rate of 6</w:t>
      </w:r>
      <w:r w:rsidRPr="00B34407">
        <w:t>% per annum of the unpaid principal balance for the remaining life of the mortgage loans.</w:t>
      </w:r>
    </w:p>
    <w:p w:rsidRPr="00BF5C41" w:rsidR="00B407E4" w:rsidP="00AA223A" w:rsidRDefault="00155809" w14:paraId="1CC8C46B" w14:textId="6A53C134">
      <w:pPr>
        <w:pStyle w:val="BodyTextFirstIndent"/>
        <w:rPr>
          <w:b/>
        </w:rPr>
      </w:pPr>
      <w:r w:rsidRPr="00B34407">
        <w:t xml:space="preserve">The </w:t>
      </w:r>
      <w:r w:rsidR="00FD1933">
        <w:t>following</w:t>
      </w:r>
      <w:r w:rsidR="00F9663B">
        <w:t xml:space="preserve"> </w:t>
      </w:r>
      <w:r w:rsidRPr="00B34407">
        <w:t>table assumes, a</w:t>
      </w:r>
      <w:r w:rsidRPr="00B34407" w:rsidR="00CE73DE">
        <w:t>mong other as</w:t>
      </w:r>
      <w:r w:rsidRPr="00B34407" w:rsidR="00647925">
        <w:t xml:space="preserve">sumptions, that (i) </w:t>
      </w:r>
      <w:r w:rsidRPr="00B34407" w:rsidR="00A82875">
        <w:t xml:space="preserve">the proceeds of the </w:t>
      </w:r>
      <w:r w:rsidR="00C7294C">
        <w:t>2024 Series C</w:t>
      </w:r>
      <w:r w:rsidR="005B3036">
        <w:t xml:space="preserve"> Bond</w:t>
      </w:r>
      <w:r w:rsidR="006C550F">
        <w:t>s</w:t>
      </w:r>
      <w:r w:rsidR="00A242C5">
        <w:t xml:space="preserve"> </w:t>
      </w:r>
      <w:r w:rsidR="007B71AF">
        <w:t xml:space="preserve">deposited in the </w:t>
      </w:r>
      <w:r w:rsidR="00C7294C">
        <w:t>2024 Series C</w:t>
      </w:r>
      <w:r w:rsidR="007B71AF">
        <w:t xml:space="preserve"> Loan </w:t>
      </w:r>
      <w:r w:rsidRPr="00FF7824" w:rsidR="007B71AF">
        <w:t xml:space="preserve">Subaccount </w:t>
      </w:r>
      <w:r w:rsidRPr="00FF7824" w:rsidR="00A242C5">
        <w:t xml:space="preserve">not </w:t>
      </w:r>
      <w:r w:rsidRPr="00E24AC7" w:rsidR="00A242C5">
        <w:t>used to provide down payment assistance</w:t>
      </w:r>
      <w:r w:rsidRPr="00E24AC7" w:rsidR="00B713E2">
        <w:t xml:space="preserve"> </w:t>
      </w:r>
      <w:r w:rsidRPr="00E24AC7" w:rsidR="00F34EA0">
        <w:t xml:space="preserve">loans </w:t>
      </w:r>
      <w:r w:rsidRPr="00E24AC7" w:rsidR="00B713E2">
        <w:t xml:space="preserve">will be used to acquire the </w:t>
      </w:r>
      <w:r w:rsidR="00C7294C">
        <w:t>2024 Series C</w:t>
      </w:r>
      <w:r w:rsidRPr="00E24AC7" w:rsidR="00C635EB">
        <w:t xml:space="preserve"> Mortgage Loans</w:t>
      </w:r>
      <w:r w:rsidRPr="00E24AC7" w:rsidR="00CE73DE">
        <w:t xml:space="preserve">; (ii) </w:t>
      </w:r>
      <w:r w:rsidRPr="00E24AC7" w:rsidR="00953CF9">
        <w:t>approximately $</w:t>
      </w:r>
      <w:r w:rsidR="00C94583">
        <w:t>188,515,000</w:t>
      </w:r>
      <w:r w:rsidRPr="00E24AC7" w:rsidR="008A4B00">
        <w:rPr>
          <w:bCs/>
        </w:rPr>
        <w:t xml:space="preserve"> </w:t>
      </w:r>
      <w:r w:rsidRPr="00E24AC7" w:rsidR="00953CF9">
        <w:t>of</w:t>
      </w:r>
      <w:r w:rsidRPr="00FF7824" w:rsidR="00953CF9">
        <w:t xml:space="preserve"> </w:t>
      </w:r>
      <w:r w:rsidR="00C7294C">
        <w:t>2024 Series C</w:t>
      </w:r>
      <w:r w:rsidRPr="00FF7824" w:rsidR="00C635EB">
        <w:t xml:space="preserve"> Mortgage Loans</w:t>
      </w:r>
      <w:r w:rsidRPr="00FF7824" w:rsidR="00953CF9">
        <w:t xml:space="preserve"> are expected to be originated during the p</w:t>
      </w:r>
      <w:r w:rsidRPr="00B839AC" w:rsidR="00953CF9">
        <w:t>eriod from</w:t>
      </w:r>
      <w:bookmarkStart w:name="_DV_C187" w:id="196"/>
      <w:r w:rsidRPr="00B839AC" w:rsidR="00953CF9">
        <w:t xml:space="preserve"> </w:t>
      </w:r>
      <w:bookmarkStart w:name="_DV_M352" w:id="197"/>
      <w:bookmarkEnd w:id="196"/>
      <w:bookmarkEnd w:id="197"/>
      <w:r w:rsidRPr="00C94583" w:rsidR="00960776">
        <w:t>September</w:t>
      </w:r>
      <w:r w:rsidRPr="00C94583" w:rsidR="00F43CC7">
        <w:t xml:space="preserve"> 1, 2024</w:t>
      </w:r>
      <w:r w:rsidRPr="00C94583" w:rsidR="00953CF9">
        <w:t xml:space="preserve"> to</w:t>
      </w:r>
      <w:bookmarkStart w:name="_DV_C190" w:id="198"/>
      <w:r w:rsidRPr="00C94583" w:rsidR="00953CF9">
        <w:t xml:space="preserve"> </w:t>
      </w:r>
      <w:bookmarkEnd w:id="198"/>
      <w:r w:rsidRPr="00C94583" w:rsidR="00960776">
        <w:t>December</w:t>
      </w:r>
      <w:r w:rsidRPr="00C94583" w:rsidR="00F43CC7">
        <w:t xml:space="preserve"> 1, 2024</w:t>
      </w:r>
      <w:r w:rsidRPr="00B839AC" w:rsidR="00953CF9">
        <w:t xml:space="preserve">, and will, on average, be originated on </w:t>
      </w:r>
      <w:r w:rsidR="00C94583">
        <w:t>October 16</w:t>
      </w:r>
      <w:r w:rsidR="00F43CC7">
        <w:t>, 2024</w:t>
      </w:r>
      <w:r w:rsidRPr="00B839AC" w:rsidR="00953CF9">
        <w:t>; (iii)</w:t>
      </w:r>
      <w:r w:rsidRPr="00FF7824" w:rsidR="00953CF9">
        <w:t xml:space="preserve"> all </w:t>
      </w:r>
      <w:r w:rsidR="00C7294C">
        <w:t>2024 Series C</w:t>
      </w:r>
      <w:r w:rsidRPr="00FF7824" w:rsidR="00C635EB">
        <w:t xml:space="preserve"> Mortgage Loans</w:t>
      </w:r>
      <w:r w:rsidRPr="00FF7824" w:rsidR="00953CF9">
        <w:t xml:space="preserve"> will be 30</w:t>
      </w:r>
      <w:r w:rsidRPr="00FF7824" w:rsidR="00953CF9">
        <w:noBreakHyphen/>
        <w:t>year mortgage loans and bear a w</w:t>
      </w:r>
      <w:r w:rsidR="00976BD5">
        <w:t xml:space="preserve">eighted average interest rate of </w:t>
      </w:r>
      <w:r w:rsidR="00C94583">
        <w:t>7.285</w:t>
      </w:r>
      <w:r w:rsidR="00693919">
        <w:t>%</w:t>
      </w:r>
      <w:r w:rsidRPr="00FF7824" w:rsidR="00953CF9">
        <w:t xml:space="preserve">; </w:t>
      </w:r>
      <w:r w:rsidRPr="00FF7824" w:rsidR="00BE6890">
        <w:t>(</w:t>
      </w:r>
      <w:r w:rsidRPr="00FF7824" w:rsidR="008A4B00">
        <w:t>i</w:t>
      </w:r>
      <w:r w:rsidRPr="00FF7824" w:rsidR="00B713E2">
        <w:t>v</w:t>
      </w:r>
      <w:r w:rsidRPr="00FF7824">
        <w:t xml:space="preserve">) the </w:t>
      </w:r>
      <w:r w:rsidR="00C7294C">
        <w:t>2024 Series C</w:t>
      </w:r>
      <w:r w:rsidRPr="00FF7824" w:rsidR="00C635EB">
        <w:t xml:space="preserve"> Mortgage Loans</w:t>
      </w:r>
      <w:r w:rsidRPr="00FF7824" w:rsidR="001D6731">
        <w:t xml:space="preserve"> </w:t>
      </w:r>
      <w:r w:rsidRPr="00FF7824">
        <w:t xml:space="preserve">are prepaid at </w:t>
      </w:r>
      <w:r w:rsidR="00254742">
        <w:t>50</w:t>
      </w:r>
      <w:r w:rsidR="00F9663B">
        <w:t xml:space="preserve">% </w:t>
      </w:r>
      <w:r w:rsidRPr="00FF7824">
        <w:t>PSA based on the Standard SIFMA Model; (v) all scheduled principal and</w:t>
      </w:r>
      <w:r w:rsidRPr="0082430F">
        <w:t xml:space="preserve"> interest payments and Prepayments of the </w:t>
      </w:r>
      <w:r w:rsidR="00C7294C">
        <w:t>2024 Series C</w:t>
      </w:r>
      <w:r w:rsidR="00C635EB">
        <w:t xml:space="preserve"> Mortgage Loans</w:t>
      </w:r>
      <w:r w:rsidRPr="0082430F" w:rsidR="00906C3E">
        <w:t xml:space="preserve"> </w:t>
      </w:r>
      <w:r w:rsidRPr="0082430F">
        <w:t xml:space="preserve">are timely received and the Authority experiences no acceleration of principal as a result of foreclosure on </w:t>
      </w:r>
      <w:r w:rsidR="00C7294C">
        <w:t>2024 Series C</w:t>
      </w:r>
      <w:r w:rsidR="00C635EB">
        <w:t xml:space="preserve"> Mortgage Loans</w:t>
      </w:r>
      <w:r w:rsidRPr="0082430F" w:rsidR="000B582B">
        <w:t>; (v</w:t>
      </w:r>
      <w:r w:rsidR="00C61321">
        <w:t>i</w:t>
      </w:r>
      <w:r w:rsidRPr="0082430F">
        <w:t>)</w:t>
      </w:r>
      <w:r w:rsidRPr="00B34407">
        <w:t xml:space="preserve"> none of the </w:t>
      </w:r>
      <w:r w:rsidR="00C7294C">
        <w:t>2024 Series C</w:t>
      </w:r>
      <w:r w:rsidR="005B3036">
        <w:t xml:space="preserve"> Bond</w:t>
      </w:r>
      <w:r w:rsidR="006C550F">
        <w:t>s</w:t>
      </w:r>
      <w:r w:rsidRPr="00B34407">
        <w:t xml:space="preserve"> will be redeemed as descr</w:t>
      </w:r>
      <w:r w:rsidRPr="00B34407" w:rsidR="000B582B">
        <w:t xml:space="preserve">ibed under </w:t>
      </w:r>
      <w:r w:rsidR="00C34AEA">
        <w:t>“</w:t>
      </w:r>
      <w:r w:rsidRPr="00B34407" w:rsidR="000B582B">
        <w:t>Cross Calling</w:t>
      </w:r>
      <w:r w:rsidR="00C34AEA">
        <w:t>”</w:t>
      </w:r>
      <w:r w:rsidRPr="00B34407" w:rsidR="000B582B">
        <w:t>; (vi</w:t>
      </w:r>
      <w:r w:rsidR="00C61321">
        <w:t>i</w:t>
      </w:r>
      <w:r w:rsidRPr="00B34407">
        <w:t xml:space="preserve">) Directed Principal Receipts </w:t>
      </w:r>
      <w:r w:rsidR="006916DA">
        <w:t xml:space="preserve">(less Tax Restricted Prepayments and Repayments) </w:t>
      </w:r>
      <w:r w:rsidRPr="00B34407">
        <w:t xml:space="preserve">will be used to redeem the </w:t>
      </w:r>
      <w:r w:rsidR="00A1322C">
        <w:t>2024C-2</w:t>
      </w:r>
      <w:r w:rsidR="00A6413E">
        <w:t xml:space="preserve"> PAC</w:t>
      </w:r>
      <w:r w:rsidR="00F86774">
        <w:t xml:space="preserve"> Bonds</w:t>
      </w:r>
      <w:r w:rsidR="001B51F9">
        <w:t xml:space="preserve"> once at the end of each semi</w:t>
      </w:r>
      <w:r w:rsidR="002F2179">
        <w:t>annual period</w:t>
      </w:r>
      <w:r w:rsidRPr="00B34407">
        <w:t xml:space="preserve"> as </w:t>
      </w:r>
      <w:r w:rsidRPr="00AA223A">
        <w:t>described</w:t>
      </w:r>
      <w:r w:rsidRPr="00B34407">
        <w:t xml:space="preserve"> under the heading </w:t>
      </w:r>
      <w:r w:rsidR="00C34AEA">
        <w:t>“</w:t>
      </w:r>
      <w:r w:rsidRPr="00B34407">
        <w:t xml:space="preserve">REDEMPTION OF </w:t>
      </w:r>
      <w:r w:rsidR="00C7294C">
        <w:t xml:space="preserve">2024 </w:t>
      </w:r>
      <w:r w:rsidR="003E683C">
        <w:t xml:space="preserve">SERIES </w:t>
      </w:r>
      <w:r w:rsidR="00C7294C">
        <w:t>C</w:t>
      </w:r>
      <w:r w:rsidR="00E655A2">
        <w:t xml:space="preserve"> BONDS</w:t>
      </w:r>
      <w:r w:rsidRPr="00B34407">
        <w:t>—Redemption from Prepayments, Repayments and Excess Revenues—</w:t>
      </w:r>
      <w:r w:rsidRPr="0063613D">
        <w:rPr>
          <w:i/>
        </w:rPr>
        <w:t xml:space="preserve">Mandatory Redemption of </w:t>
      </w:r>
      <w:r w:rsidR="00A1322C">
        <w:rPr>
          <w:i/>
        </w:rPr>
        <w:t>2024C-2</w:t>
      </w:r>
      <w:r w:rsidR="00A6413E">
        <w:rPr>
          <w:i/>
        </w:rPr>
        <w:t xml:space="preserve"> PAC</w:t>
      </w:r>
      <w:r w:rsidR="00F86774">
        <w:rPr>
          <w:i/>
        </w:rPr>
        <w:t xml:space="preserve"> Bond</w:t>
      </w:r>
      <w:r w:rsidRPr="0063613D">
        <w:rPr>
          <w:i/>
        </w:rPr>
        <w:t>s</w:t>
      </w:r>
      <w:r w:rsidR="00C34AEA">
        <w:t>”</w:t>
      </w:r>
      <w:r w:rsidR="00E16C12">
        <w:t>;</w:t>
      </w:r>
      <w:r w:rsidRPr="00B34407">
        <w:t xml:space="preserve"> </w:t>
      </w:r>
      <w:r w:rsidRPr="00B34407" w:rsidR="003A5439">
        <w:t>(vi</w:t>
      </w:r>
      <w:r w:rsidR="003A5439">
        <w:t>ii</w:t>
      </w:r>
      <w:r w:rsidRPr="00B34407" w:rsidR="003A5439">
        <w:t xml:space="preserve">) </w:t>
      </w:r>
      <w:r w:rsidRPr="000122E0" w:rsidR="00D701FF">
        <w:t xml:space="preserve">remaining </w:t>
      </w:r>
      <w:r w:rsidRPr="000122E0" w:rsidR="003A5439">
        <w:t xml:space="preserve">Prepayments and regularly scheduled repayments of principal on the </w:t>
      </w:r>
      <w:r w:rsidR="00C7294C">
        <w:t>2024 Series C</w:t>
      </w:r>
      <w:r w:rsidR="00C635EB">
        <w:t xml:space="preserve"> Mortgage Loans</w:t>
      </w:r>
      <w:r w:rsidRPr="000122E0" w:rsidR="00D701FF">
        <w:t xml:space="preserve"> will be used </w:t>
      </w:r>
      <w:r w:rsidRPr="000122E0">
        <w:t xml:space="preserve">to redeem the </w:t>
      </w:r>
      <w:r w:rsidR="00C7294C">
        <w:t>2024 Series C</w:t>
      </w:r>
      <w:r w:rsidR="005B3036">
        <w:t xml:space="preserve"> Bond</w:t>
      </w:r>
      <w:r w:rsidR="006C550F">
        <w:t>s</w:t>
      </w:r>
      <w:r w:rsidRPr="000122E0">
        <w:t xml:space="preserve">, other than the </w:t>
      </w:r>
      <w:r w:rsidR="00A1322C">
        <w:t>2024C-2</w:t>
      </w:r>
      <w:r w:rsidR="00A6413E">
        <w:t xml:space="preserve"> PAC</w:t>
      </w:r>
      <w:r w:rsidRPr="000122E0" w:rsidR="00F86774">
        <w:t xml:space="preserve"> Bonds</w:t>
      </w:r>
      <w:r w:rsidRPr="000122E0">
        <w:t xml:space="preserve">, on a pro-rata basis until all such </w:t>
      </w:r>
      <w:r w:rsidR="00C7294C">
        <w:t>2024 Series C</w:t>
      </w:r>
      <w:r w:rsidR="005B3036">
        <w:t xml:space="preserve"> Bond</w:t>
      </w:r>
      <w:r w:rsidR="006C550F">
        <w:t>s</w:t>
      </w:r>
      <w:r w:rsidRPr="000122E0">
        <w:t xml:space="preserve"> </w:t>
      </w:r>
      <w:r w:rsidRPr="000122E0" w:rsidR="00BE6890">
        <w:t>are no longer outstanding</w:t>
      </w:r>
      <w:r w:rsidRPr="00BC4408" w:rsidR="00BE6890">
        <w:t>; (</w:t>
      </w:r>
      <w:r w:rsidRPr="00BC4408" w:rsidR="00D701FF">
        <w:t>ix</w:t>
      </w:r>
      <w:r w:rsidRPr="00BC4408">
        <w:t>) mone</w:t>
      </w:r>
      <w:r w:rsidRPr="00B34407">
        <w:t xml:space="preserve">ys invested in the </w:t>
      </w:r>
      <w:r w:rsidR="00C7294C">
        <w:t>2024 Series C</w:t>
      </w:r>
      <w:r w:rsidR="006D6EFD">
        <w:t xml:space="preserve"> Subaccount</w:t>
      </w:r>
      <w:r w:rsidRPr="00B34407">
        <w:t xml:space="preserve"> of the Revenue Account and the Loan Account will be invested as described under the Indenture. </w:t>
      </w:r>
      <w:r w:rsidR="00997C9D">
        <w:t xml:space="preserve"> </w:t>
      </w:r>
      <w:r w:rsidRPr="00B34407">
        <w:t>As of the date hereof, the Authority believes the foregoing assumptions are reasonable.  However, the Authority has significant discretion with regard to the operation of the Program</w:t>
      </w:r>
      <w:r w:rsidRPr="00B34407" w:rsidR="007E7B4D">
        <w:t>s</w:t>
      </w:r>
      <w:r w:rsidRPr="00B34407">
        <w:t xml:space="preserve"> and the particular </w:t>
      </w:r>
      <w:r w:rsidR="00C7294C">
        <w:t>2024 Series C</w:t>
      </w:r>
      <w:r w:rsidR="005B3036">
        <w:t xml:space="preserve"> Bond</w:t>
      </w:r>
      <w:r w:rsidR="006C550F">
        <w:t>s</w:t>
      </w:r>
      <w:r w:rsidRPr="00B34407">
        <w:t xml:space="preserve"> to be redeemed in certain circumstances, and accordingly there can be no assurance that the foregoing assumptions will reflect actual experience.  </w:t>
      </w:r>
      <w:r w:rsidR="00BF5C41">
        <w:t xml:space="preserve"> </w:t>
      </w:r>
    </w:p>
    <w:p w:rsidRPr="00B34407" w:rsidR="00155809" w:rsidP="00AA223A" w:rsidRDefault="00155809" w14:paraId="39CE7588" w14:textId="43D2E274">
      <w:pPr>
        <w:pStyle w:val="BodyTextFirstIndent"/>
      </w:pPr>
      <w:r w:rsidRPr="00B34407">
        <w:t xml:space="preserve">Based on the foregoing and other assumptions, some or all of which are unlikely to reflect actual experience as described above, the table below indicates the estimated weighted average life of the </w:t>
      </w:r>
      <w:r w:rsidR="00A1322C">
        <w:t>2024C-2</w:t>
      </w:r>
      <w:r w:rsidR="00A6413E">
        <w:t xml:space="preserve"> PAC</w:t>
      </w:r>
      <w:r w:rsidR="00F86774">
        <w:t xml:space="preserve"> Bonds</w:t>
      </w:r>
      <w:r w:rsidRPr="00B34407">
        <w:t xml:space="preserve">.  In the </w:t>
      </w:r>
      <w:bookmarkStart w:name="ElPgBr23" w:id="199"/>
      <w:bookmarkEnd w:id="199"/>
      <w:r w:rsidRPr="00B34407">
        <w:t xml:space="preserve">case of scenarios labeled </w:t>
      </w:r>
      <w:r w:rsidR="00C34AEA">
        <w:t>“</w:t>
      </w:r>
      <w:r w:rsidRPr="00B34407">
        <w:t>Optional Call Exercised,</w:t>
      </w:r>
      <w:r w:rsidR="00C34AEA">
        <w:t>”</w:t>
      </w:r>
      <w:r w:rsidRPr="00B34407">
        <w:t xml:space="preserve"> it is assumed that the Authority will exercise its right to optionally redeem all then eligible </w:t>
      </w:r>
      <w:r w:rsidR="00C7294C">
        <w:t>2024 Series C</w:t>
      </w:r>
      <w:r w:rsidR="005B3036">
        <w:t xml:space="preserve"> Bond</w:t>
      </w:r>
      <w:r w:rsidR="006C550F">
        <w:t>s</w:t>
      </w:r>
      <w:r w:rsidR="007D6C17">
        <w:t xml:space="preserve"> </w:t>
      </w:r>
      <w:r w:rsidRPr="00FF7824">
        <w:t>on</w:t>
      </w:r>
      <w:r w:rsidRPr="00FF7824" w:rsidR="0029218C">
        <w:t xml:space="preserve"> </w:t>
      </w:r>
      <w:r w:rsidRPr="00C94583" w:rsidR="001B311A">
        <w:t>January 1, 2033</w:t>
      </w:r>
      <w:r w:rsidRPr="00FF7824">
        <w:t>.</w:t>
      </w:r>
      <w:r w:rsidRPr="00293E31">
        <w:t xml:space="preserve">  In</w:t>
      </w:r>
      <w:r w:rsidRPr="00B34407">
        <w:t xml:space="preserve"> the case of scenarios labeled </w:t>
      </w:r>
      <w:r w:rsidR="00C34AEA">
        <w:t>“</w:t>
      </w:r>
      <w:r w:rsidRPr="00B34407">
        <w:t>Optional Call Not Exercised,</w:t>
      </w:r>
      <w:r w:rsidR="00C34AEA">
        <w:t>”</w:t>
      </w:r>
      <w:r w:rsidRPr="00B34407">
        <w:t xml:space="preserve"> it is assumed that the Authority will not exercise its right to optionally redeem the </w:t>
      </w:r>
      <w:r w:rsidR="00C7294C">
        <w:t>2024 Series C</w:t>
      </w:r>
      <w:r w:rsidR="005B3036">
        <w:t xml:space="preserve"> Bond</w:t>
      </w:r>
      <w:r w:rsidR="006C550F">
        <w:t>s</w:t>
      </w:r>
      <w:r w:rsidRPr="00B34407">
        <w:t xml:space="preserve">.  See </w:t>
      </w:r>
      <w:r w:rsidR="00C34AEA">
        <w:t>“</w:t>
      </w:r>
      <w:r w:rsidRPr="00B34407">
        <w:t>RISK FACTORS</w:t>
      </w:r>
      <w:r w:rsidRPr="00B34407">
        <w:sym w:font="Symbol" w:char="F0BE"/>
      </w:r>
      <w:r w:rsidRPr="00B34407">
        <w:t>Forward Looking Statements</w:t>
      </w:r>
      <w:r w:rsidR="00C34AEA">
        <w:t>”</w:t>
      </w:r>
      <w:r w:rsidRPr="00B34407">
        <w:t xml:space="preserve"> herein.</w:t>
      </w:r>
    </w:p>
    <w:p w:rsidRPr="00B34407" w:rsidR="000C0D7B" w:rsidP="00AA223A" w:rsidRDefault="00155809" w14:paraId="407FC3D0" w14:textId="242B397D">
      <w:pPr>
        <w:pStyle w:val="BodyTextFirstIndent"/>
      </w:pPr>
      <w:r w:rsidRPr="00B34407">
        <w:lastRenderedPageBreak/>
        <w:t xml:space="preserve">The Standard SIFMA Model is one of several recognized models used for measuring </w:t>
      </w:r>
      <w:r w:rsidRPr="00B34407" w:rsidR="007E7B4D">
        <w:t>pre</w:t>
      </w:r>
      <w:r w:rsidRPr="00B34407">
        <w:t>payments of mortgage loans and does not purport to be a prediction of the anticip</w:t>
      </w:r>
      <w:r w:rsidRPr="00B34407" w:rsidR="007A6FA7">
        <w:t xml:space="preserve">ated rate of prepayments of the </w:t>
      </w:r>
      <w:r w:rsidR="00C7294C">
        <w:t>2024 Series C</w:t>
      </w:r>
      <w:r w:rsidR="00C635EB">
        <w:t xml:space="preserve"> Mortgage Loans</w:t>
      </w:r>
      <w:r w:rsidRPr="00B34407">
        <w:t xml:space="preserve">.  There is no assurance that the Prepayments of the </w:t>
      </w:r>
      <w:r w:rsidR="00C7294C">
        <w:t>2024 Series C</w:t>
      </w:r>
      <w:r w:rsidR="00C635EB">
        <w:t xml:space="preserve"> Mortgage Loans</w:t>
      </w:r>
      <w:r w:rsidRPr="00B34407" w:rsidR="00906C3E">
        <w:t xml:space="preserve"> </w:t>
      </w:r>
      <w:r w:rsidRPr="00B34407">
        <w:t xml:space="preserve">will conform to any of the assumed prepayment rates set forth in the table below.  See </w:t>
      </w:r>
      <w:r w:rsidR="00C34AEA">
        <w:t>“</w:t>
      </w:r>
      <w:r w:rsidRPr="00B34407">
        <w:t>RISK FACTORS—Prepayments</w:t>
      </w:r>
      <w:r w:rsidR="00C34AEA">
        <w:t>”</w:t>
      </w:r>
      <w:r w:rsidRPr="00B34407" w:rsidR="000A646C">
        <w:t xml:space="preserve"> herein</w:t>
      </w:r>
      <w:r w:rsidRPr="00B34407">
        <w:t xml:space="preserve"> for a description of certain factors that may affect the rate of prepayment of the </w:t>
      </w:r>
      <w:r w:rsidR="00C7294C">
        <w:t>2024 Series C</w:t>
      </w:r>
      <w:r w:rsidR="00C635EB">
        <w:t xml:space="preserve"> Mortgage Loans</w:t>
      </w:r>
      <w:r w:rsidRPr="00B34407">
        <w:t xml:space="preserve">.  The Authority makes no representation as to the percentage </w:t>
      </w:r>
      <w:r w:rsidRPr="00B34407" w:rsidR="000C4C86">
        <w:t xml:space="preserve">of the principal balance of the </w:t>
      </w:r>
      <w:r w:rsidR="00C7294C">
        <w:t>2024 Series C</w:t>
      </w:r>
      <w:r w:rsidR="00C635EB">
        <w:t xml:space="preserve"> Mortgage Loans</w:t>
      </w:r>
      <w:r w:rsidRPr="00B34407">
        <w:t xml:space="preserve"> that will be paid as of any date, as to the overall rate of prepayment, or as to the estimates or methodology s</w:t>
      </w:r>
      <w:r w:rsidRPr="00B34407" w:rsidR="000C0D7B">
        <w:t>et forth under this subheading.</w:t>
      </w:r>
    </w:p>
    <w:tbl>
      <w:tblPr>
        <w:tblStyle w:val="TableGrid"/>
        <w:tblW w:w="6252" w:type="dxa"/>
        <w:tblInd w:w="17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70"/>
        <w:gridCol w:w="2070"/>
        <w:gridCol w:w="2112"/>
      </w:tblGrid>
      <w:tr w:rsidRPr="006F5D00" w:rsidR="00AA223A" w:rsidTr="00614914" w14:paraId="5342E3D1" w14:textId="77777777">
        <w:tc>
          <w:tcPr>
            <w:tcW w:w="6252" w:type="dxa"/>
            <w:gridSpan w:val="3"/>
            <w:vAlign w:val="bottom"/>
          </w:tcPr>
          <w:p w:rsidRPr="00C94583" w:rsidR="00AA223A" w:rsidP="00AA223A" w:rsidRDefault="00AA223A" w14:paraId="3D83E225" w14:textId="77777777">
            <w:pPr>
              <w:jc w:val="center"/>
              <w:rPr>
                <w:b/>
              </w:rPr>
            </w:pPr>
            <w:r w:rsidRPr="00C94583">
              <w:rPr>
                <w:b/>
              </w:rPr>
              <w:t>Estimated Weighted Average Lives (in Years)</w:t>
            </w:r>
            <w:r w:rsidRPr="00C94583">
              <w:rPr>
                <w:b/>
                <w:vertAlign w:val="superscript"/>
              </w:rPr>
              <w:t>1</w:t>
            </w:r>
          </w:p>
          <w:p w:rsidRPr="00C94583" w:rsidR="00AA223A" w:rsidP="00AA223A" w:rsidRDefault="00AA223A" w14:paraId="5158B5CA" w14:textId="29BB9AE5">
            <w:pPr>
              <w:jc w:val="center"/>
            </w:pPr>
            <w:r w:rsidRPr="00C94583">
              <w:rPr>
                <w:b/>
              </w:rPr>
              <w:t xml:space="preserve">of </w:t>
            </w:r>
            <w:r w:rsidRPr="00C94583" w:rsidR="00A1322C">
              <w:rPr>
                <w:b/>
              </w:rPr>
              <w:t>2024C-2</w:t>
            </w:r>
            <w:r w:rsidRPr="00C94583" w:rsidR="00A6413E">
              <w:rPr>
                <w:b/>
              </w:rPr>
              <w:t xml:space="preserve"> PAC</w:t>
            </w:r>
            <w:r w:rsidRPr="00C94583" w:rsidR="00F86774">
              <w:rPr>
                <w:b/>
              </w:rPr>
              <w:t xml:space="preserve"> Bonds</w:t>
            </w:r>
          </w:p>
        </w:tc>
      </w:tr>
      <w:tr w:rsidRPr="006F5D00" w:rsidR="00AA223A" w:rsidTr="00614914" w14:paraId="3BECADF2" w14:textId="77777777">
        <w:tc>
          <w:tcPr>
            <w:tcW w:w="2070" w:type="dxa"/>
          </w:tcPr>
          <w:p w:rsidRPr="00C94583" w:rsidR="00AA223A" w:rsidP="00AA223A" w:rsidRDefault="00AA223A" w14:paraId="482AB62C" w14:textId="77777777"/>
        </w:tc>
        <w:tc>
          <w:tcPr>
            <w:tcW w:w="2070" w:type="dxa"/>
          </w:tcPr>
          <w:p w:rsidRPr="00C94583" w:rsidR="00AA223A" w:rsidP="00AA223A" w:rsidRDefault="00AA223A" w14:paraId="299B8962" w14:textId="77777777"/>
        </w:tc>
        <w:tc>
          <w:tcPr>
            <w:tcW w:w="2112" w:type="dxa"/>
          </w:tcPr>
          <w:p w:rsidRPr="00C94583" w:rsidR="00AA223A" w:rsidP="00AA223A" w:rsidRDefault="00AA223A" w14:paraId="4EF22E72" w14:textId="77777777"/>
        </w:tc>
      </w:tr>
      <w:tr w:rsidRPr="006F5D00" w:rsidR="00AA223A" w:rsidTr="00614914" w14:paraId="24860D93" w14:textId="77777777">
        <w:tc>
          <w:tcPr>
            <w:tcW w:w="2070" w:type="dxa"/>
            <w:vAlign w:val="bottom"/>
          </w:tcPr>
          <w:p w:rsidRPr="00873F6B" w:rsidR="00AA223A" w:rsidP="00873F6B" w:rsidRDefault="00AA223A" w14:paraId="5FBEBDE4" w14:textId="77777777">
            <w:pPr>
              <w:jc w:val="center"/>
              <w:rPr>
                <w:b/>
              </w:rPr>
            </w:pPr>
            <w:r w:rsidRPr="00873F6B">
              <w:rPr>
                <w:b/>
              </w:rPr>
              <w:t>Prepayment</w:t>
            </w:r>
          </w:p>
          <w:p w:rsidRPr="00873F6B" w:rsidR="00AA223A" w:rsidP="00873F6B" w:rsidRDefault="00AA223A" w14:paraId="01D9F14A" w14:textId="5B78022A">
            <w:pPr>
              <w:jc w:val="center"/>
            </w:pPr>
            <w:r w:rsidRPr="00873F6B">
              <w:rPr>
                <w:b/>
              </w:rPr>
              <w:t>Assumption</w:t>
            </w:r>
          </w:p>
        </w:tc>
        <w:tc>
          <w:tcPr>
            <w:tcW w:w="2070" w:type="dxa"/>
            <w:vAlign w:val="bottom"/>
          </w:tcPr>
          <w:p w:rsidRPr="00873F6B" w:rsidR="00AA223A" w:rsidP="00873F6B" w:rsidRDefault="00AA223A" w14:paraId="0974FDC1" w14:textId="77777777">
            <w:pPr>
              <w:jc w:val="center"/>
              <w:rPr>
                <w:b/>
              </w:rPr>
            </w:pPr>
            <w:r w:rsidRPr="00873F6B">
              <w:rPr>
                <w:b/>
              </w:rPr>
              <w:t>Optional Call</w:t>
            </w:r>
          </w:p>
          <w:p w:rsidRPr="00C94583" w:rsidR="00AA223A" w:rsidP="00873F6B" w:rsidRDefault="00AA223A" w14:paraId="210A453A" w14:textId="34D9D51E">
            <w:pPr>
              <w:jc w:val="center"/>
              <w:rPr>
                <w:b/>
              </w:rPr>
            </w:pPr>
            <w:r w:rsidRPr="00873F6B">
              <w:rPr>
                <w:b/>
              </w:rPr>
              <w:t>Not Exercised</w:t>
            </w:r>
          </w:p>
        </w:tc>
        <w:tc>
          <w:tcPr>
            <w:tcW w:w="2112" w:type="dxa"/>
            <w:vAlign w:val="bottom"/>
          </w:tcPr>
          <w:p w:rsidRPr="00C94583" w:rsidR="00AA223A" w:rsidP="00AA223A" w:rsidRDefault="00AA223A" w14:paraId="435FE58A" w14:textId="77777777">
            <w:pPr>
              <w:jc w:val="center"/>
              <w:rPr>
                <w:b/>
              </w:rPr>
            </w:pPr>
            <w:r w:rsidRPr="00C94583">
              <w:rPr>
                <w:b/>
              </w:rPr>
              <w:t>Optional Call at</w:t>
            </w:r>
          </w:p>
          <w:p w:rsidRPr="00C94583" w:rsidR="00F607C6" w:rsidP="00AA223A" w:rsidRDefault="001B311A" w14:paraId="4C5C6360" w14:textId="36F84AD5">
            <w:pPr>
              <w:jc w:val="center"/>
              <w:rPr>
                <w:b/>
              </w:rPr>
            </w:pPr>
            <w:r w:rsidRPr="00C94583">
              <w:rPr>
                <w:b/>
              </w:rPr>
              <w:t>January 1, 2033</w:t>
            </w:r>
          </w:p>
          <w:p w:rsidRPr="00C94583" w:rsidR="00AA223A" w:rsidP="00AA223A" w:rsidRDefault="002B0E77" w14:paraId="220E9565" w14:textId="35BC2524">
            <w:pPr>
              <w:jc w:val="center"/>
              <w:rPr>
                <w:b/>
              </w:rPr>
            </w:pPr>
            <w:r w:rsidRPr="00C94583">
              <w:rPr>
                <w:b/>
              </w:rPr>
              <w:t>Exercised</w:t>
            </w:r>
          </w:p>
        </w:tc>
      </w:tr>
      <w:tr w:rsidRPr="006F5D00" w:rsidR="00C94583" w:rsidTr="00C75F12" w14:paraId="725E5D07" w14:textId="77777777">
        <w:tc>
          <w:tcPr>
            <w:tcW w:w="2070" w:type="dxa"/>
            <w:vAlign w:val="center"/>
          </w:tcPr>
          <w:p w:rsidRPr="00C94583" w:rsidR="00C94583" w:rsidP="00C94583" w:rsidRDefault="00C94583" w14:paraId="17E7ADF7" w14:textId="570D9A2F">
            <w:pPr>
              <w:ind w:left="614" w:firstLine="16"/>
              <w:jc w:val="left"/>
            </w:pPr>
            <w:r w:rsidRPr="00C94583">
              <w:t>0% PSA</w:t>
            </w:r>
          </w:p>
        </w:tc>
        <w:tc>
          <w:tcPr>
            <w:tcW w:w="2070" w:type="dxa"/>
            <w:tcBorders>
              <w:top w:val="nil"/>
              <w:left w:val="nil"/>
              <w:bottom w:val="nil"/>
              <w:right w:val="nil"/>
            </w:tcBorders>
            <w:shd w:val="clear" w:color="auto" w:fill="auto"/>
            <w:vAlign w:val="bottom"/>
          </w:tcPr>
          <w:p w:rsidRPr="00C94583" w:rsidR="00C94583" w:rsidP="00C94583" w:rsidRDefault="00C94583" w14:paraId="2E098B0A" w14:textId="74209B30">
            <w:pPr>
              <w:tabs>
                <w:tab w:val="decimal" w:pos="924"/>
              </w:tabs>
              <w:jc w:val="left"/>
            </w:pPr>
            <w:r w:rsidRPr="00C94583">
              <w:t>27.0</w:t>
            </w:r>
          </w:p>
        </w:tc>
        <w:tc>
          <w:tcPr>
            <w:tcW w:w="2112" w:type="dxa"/>
            <w:tcBorders>
              <w:top w:val="nil"/>
              <w:left w:val="nil"/>
              <w:bottom w:val="nil"/>
              <w:right w:val="nil"/>
            </w:tcBorders>
            <w:shd w:val="clear" w:color="auto" w:fill="auto"/>
            <w:vAlign w:val="bottom"/>
          </w:tcPr>
          <w:p w:rsidRPr="00C94583" w:rsidR="00C94583" w:rsidP="00C94583" w:rsidRDefault="00C94583" w14:paraId="3F27BBD9" w14:textId="54CA10E9">
            <w:pPr>
              <w:tabs>
                <w:tab w:val="decimal" w:pos="881"/>
              </w:tabs>
              <w:jc w:val="left"/>
            </w:pPr>
            <w:r w:rsidRPr="00C94583">
              <w:t>8.4</w:t>
            </w:r>
          </w:p>
        </w:tc>
      </w:tr>
      <w:tr w:rsidRPr="006F5D00" w:rsidR="00C94583" w:rsidTr="00C75F12" w14:paraId="694181EE" w14:textId="77777777">
        <w:tc>
          <w:tcPr>
            <w:tcW w:w="2070" w:type="dxa"/>
            <w:vAlign w:val="center"/>
          </w:tcPr>
          <w:p w:rsidRPr="00C94583" w:rsidR="00C94583" w:rsidP="00C94583" w:rsidRDefault="00C94583" w14:paraId="70628348" w14:textId="2895374A">
            <w:pPr>
              <w:ind w:left="614" w:firstLine="16"/>
            </w:pPr>
            <w:r w:rsidRPr="00C94583">
              <w:t>25% PSA</w:t>
            </w:r>
          </w:p>
        </w:tc>
        <w:tc>
          <w:tcPr>
            <w:tcW w:w="2070" w:type="dxa"/>
            <w:tcBorders>
              <w:top w:val="nil"/>
              <w:left w:val="nil"/>
              <w:bottom w:val="nil"/>
              <w:right w:val="nil"/>
            </w:tcBorders>
            <w:shd w:val="clear" w:color="auto" w:fill="auto"/>
            <w:vAlign w:val="bottom"/>
          </w:tcPr>
          <w:p w:rsidRPr="00C94583" w:rsidR="00C94583" w:rsidP="00C94583" w:rsidRDefault="00C94583" w14:paraId="0E53433E" w14:textId="4286D08A">
            <w:pPr>
              <w:tabs>
                <w:tab w:val="decimal" w:pos="924"/>
              </w:tabs>
              <w:jc w:val="left"/>
            </w:pPr>
            <w:r w:rsidRPr="00C94583">
              <w:t>12.2</w:t>
            </w:r>
          </w:p>
        </w:tc>
        <w:tc>
          <w:tcPr>
            <w:tcW w:w="2112" w:type="dxa"/>
            <w:tcBorders>
              <w:top w:val="nil"/>
              <w:left w:val="nil"/>
              <w:bottom w:val="nil"/>
              <w:right w:val="nil"/>
            </w:tcBorders>
            <w:shd w:val="clear" w:color="auto" w:fill="auto"/>
            <w:vAlign w:val="bottom"/>
          </w:tcPr>
          <w:p w:rsidRPr="00C94583" w:rsidR="00C94583" w:rsidP="00C94583" w:rsidRDefault="00C94583" w14:paraId="2B474C29" w14:textId="62CDE8E5">
            <w:pPr>
              <w:tabs>
                <w:tab w:val="decimal" w:pos="881"/>
              </w:tabs>
              <w:jc w:val="left"/>
            </w:pPr>
            <w:r w:rsidRPr="00C94583">
              <w:t>6.6</w:t>
            </w:r>
          </w:p>
        </w:tc>
      </w:tr>
      <w:tr w:rsidRPr="006F5D00" w:rsidR="00C94583" w:rsidTr="00C75F12" w14:paraId="2B199D7C" w14:textId="77777777">
        <w:tc>
          <w:tcPr>
            <w:tcW w:w="2070" w:type="dxa"/>
            <w:vAlign w:val="center"/>
          </w:tcPr>
          <w:p w:rsidRPr="00C94583" w:rsidR="00C94583" w:rsidP="00C94583" w:rsidRDefault="00C94583" w14:paraId="37AECF1F" w14:textId="43F857EA">
            <w:pPr>
              <w:ind w:left="614" w:firstLine="16"/>
            </w:pPr>
            <w:r w:rsidRPr="00C94583">
              <w:t>50% PSA</w:t>
            </w:r>
          </w:p>
        </w:tc>
        <w:tc>
          <w:tcPr>
            <w:tcW w:w="2070" w:type="dxa"/>
            <w:tcBorders>
              <w:top w:val="nil"/>
              <w:left w:val="nil"/>
              <w:bottom w:val="nil"/>
              <w:right w:val="nil"/>
            </w:tcBorders>
            <w:shd w:val="clear" w:color="auto" w:fill="auto"/>
            <w:vAlign w:val="bottom"/>
          </w:tcPr>
          <w:p w:rsidRPr="00C94583" w:rsidR="00C94583" w:rsidP="00C94583" w:rsidRDefault="00C94583" w14:paraId="484CA2E4" w14:textId="2FE9B903">
            <w:pPr>
              <w:tabs>
                <w:tab w:val="decimal" w:pos="924"/>
              </w:tabs>
              <w:jc w:val="left"/>
            </w:pPr>
            <w:r w:rsidRPr="00C94583">
              <w:t>5.0</w:t>
            </w:r>
          </w:p>
        </w:tc>
        <w:tc>
          <w:tcPr>
            <w:tcW w:w="2112" w:type="dxa"/>
            <w:tcBorders>
              <w:top w:val="nil"/>
              <w:left w:val="nil"/>
              <w:bottom w:val="nil"/>
              <w:right w:val="nil"/>
            </w:tcBorders>
            <w:shd w:val="clear" w:color="auto" w:fill="auto"/>
            <w:vAlign w:val="bottom"/>
          </w:tcPr>
          <w:p w:rsidRPr="00C94583" w:rsidR="00C94583" w:rsidP="00C94583" w:rsidRDefault="00C94583" w14:paraId="3F11DB5F" w14:textId="1B503A0A">
            <w:pPr>
              <w:tabs>
                <w:tab w:val="decimal" w:pos="881"/>
              </w:tabs>
              <w:jc w:val="left"/>
            </w:pPr>
            <w:r w:rsidRPr="00C94583">
              <w:t>5.0</w:t>
            </w:r>
          </w:p>
        </w:tc>
      </w:tr>
      <w:tr w:rsidRPr="006F5D00" w:rsidR="00C94583" w:rsidTr="00C75F12" w14:paraId="02B8E023" w14:textId="77777777">
        <w:tc>
          <w:tcPr>
            <w:tcW w:w="2070" w:type="dxa"/>
            <w:vAlign w:val="center"/>
          </w:tcPr>
          <w:p w:rsidRPr="00C94583" w:rsidR="00C94583" w:rsidP="00C94583" w:rsidRDefault="00C94583" w14:paraId="32132D6F" w14:textId="7396570C">
            <w:pPr>
              <w:ind w:left="614" w:firstLine="16"/>
            </w:pPr>
            <w:r w:rsidRPr="00C94583">
              <w:t>75% PSA</w:t>
            </w:r>
          </w:p>
        </w:tc>
        <w:tc>
          <w:tcPr>
            <w:tcW w:w="2070" w:type="dxa"/>
            <w:tcBorders>
              <w:top w:val="nil"/>
              <w:left w:val="nil"/>
              <w:bottom w:val="nil"/>
              <w:right w:val="nil"/>
            </w:tcBorders>
            <w:shd w:val="clear" w:color="auto" w:fill="auto"/>
            <w:vAlign w:val="bottom"/>
          </w:tcPr>
          <w:p w:rsidRPr="00C94583" w:rsidR="00C94583" w:rsidP="00C94583" w:rsidRDefault="00C94583" w14:paraId="24C2BB9D" w14:textId="01DC83D5">
            <w:pPr>
              <w:tabs>
                <w:tab w:val="decimal" w:pos="924"/>
              </w:tabs>
              <w:jc w:val="left"/>
            </w:pPr>
            <w:r w:rsidRPr="00C94583">
              <w:t>5.0</w:t>
            </w:r>
          </w:p>
        </w:tc>
        <w:tc>
          <w:tcPr>
            <w:tcW w:w="2112" w:type="dxa"/>
            <w:tcBorders>
              <w:top w:val="nil"/>
              <w:left w:val="nil"/>
              <w:bottom w:val="nil"/>
              <w:right w:val="nil"/>
            </w:tcBorders>
            <w:shd w:val="clear" w:color="auto" w:fill="auto"/>
            <w:vAlign w:val="bottom"/>
          </w:tcPr>
          <w:p w:rsidRPr="00C94583" w:rsidR="00C94583" w:rsidP="00C94583" w:rsidRDefault="00C94583" w14:paraId="5DA44A07" w14:textId="1B4911DF">
            <w:pPr>
              <w:tabs>
                <w:tab w:val="decimal" w:pos="881"/>
              </w:tabs>
              <w:jc w:val="left"/>
            </w:pPr>
            <w:r w:rsidRPr="00C94583">
              <w:t>5.0</w:t>
            </w:r>
          </w:p>
        </w:tc>
      </w:tr>
      <w:tr w:rsidRPr="006F5D00" w:rsidR="00C94583" w:rsidTr="00C75F12" w14:paraId="0F29895C" w14:textId="77777777">
        <w:tc>
          <w:tcPr>
            <w:tcW w:w="2070" w:type="dxa"/>
            <w:vAlign w:val="center"/>
          </w:tcPr>
          <w:p w:rsidRPr="00C94583" w:rsidR="00C94583" w:rsidP="00C94583" w:rsidRDefault="00C94583" w14:paraId="57AC20F6" w14:textId="38037954">
            <w:pPr>
              <w:ind w:left="614" w:firstLine="16"/>
            </w:pPr>
            <w:r w:rsidRPr="00C94583">
              <w:t>100% PSA</w:t>
            </w:r>
          </w:p>
        </w:tc>
        <w:tc>
          <w:tcPr>
            <w:tcW w:w="2070" w:type="dxa"/>
            <w:tcBorders>
              <w:top w:val="nil"/>
              <w:left w:val="nil"/>
              <w:bottom w:val="nil"/>
              <w:right w:val="nil"/>
            </w:tcBorders>
            <w:shd w:val="clear" w:color="auto" w:fill="auto"/>
            <w:vAlign w:val="bottom"/>
          </w:tcPr>
          <w:p w:rsidRPr="00C94583" w:rsidR="00C94583" w:rsidP="00C94583" w:rsidRDefault="00C94583" w14:paraId="01796453" w14:textId="622AF9FE">
            <w:pPr>
              <w:tabs>
                <w:tab w:val="decimal" w:pos="924"/>
              </w:tabs>
              <w:jc w:val="left"/>
            </w:pPr>
            <w:r w:rsidRPr="00C94583">
              <w:t>5.0</w:t>
            </w:r>
          </w:p>
        </w:tc>
        <w:tc>
          <w:tcPr>
            <w:tcW w:w="2112" w:type="dxa"/>
            <w:tcBorders>
              <w:top w:val="nil"/>
              <w:left w:val="nil"/>
              <w:bottom w:val="nil"/>
              <w:right w:val="nil"/>
            </w:tcBorders>
            <w:shd w:val="clear" w:color="auto" w:fill="auto"/>
            <w:vAlign w:val="bottom"/>
          </w:tcPr>
          <w:p w:rsidRPr="00C94583" w:rsidR="00C94583" w:rsidP="00C94583" w:rsidRDefault="00C94583" w14:paraId="290A674C" w14:textId="20C1C2FE">
            <w:pPr>
              <w:tabs>
                <w:tab w:val="decimal" w:pos="881"/>
              </w:tabs>
              <w:jc w:val="left"/>
            </w:pPr>
            <w:r w:rsidRPr="00C94583">
              <w:t>5.0</w:t>
            </w:r>
          </w:p>
        </w:tc>
      </w:tr>
      <w:tr w:rsidRPr="006F5D00" w:rsidR="00C94583" w:rsidTr="00C75F12" w14:paraId="375B0109" w14:textId="77777777">
        <w:tc>
          <w:tcPr>
            <w:tcW w:w="2070" w:type="dxa"/>
            <w:vAlign w:val="bottom"/>
          </w:tcPr>
          <w:p w:rsidRPr="00C94583" w:rsidR="00C94583" w:rsidP="00C94583" w:rsidRDefault="00C94583" w14:paraId="7EF94980" w14:textId="7CB37D82">
            <w:pPr>
              <w:ind w:left="614" w:firstLine="16"/>
            </w:pPr>
            <w:r w:rsidRPr="00C94583">
              <w:t>150% PSA</w:t>
            </w:r>
          </w:p>
        </w:tc>
        <w:tc>
          <w:tcPr>
            <w:tcW w:w="2070" w:type="dxa"/>
            <w:tcBorders>
              <w:top w:val="nil"/>
              <w:left w:val="nil"/>
              <w:bottom w:val="nil"/>
              <w:right w:val="nil"/>
            </w:tcBorders>
            <w:shd w:val="clear" w:color="auto" w:fill="auto"/>
            <w:vAlign w:val="bottom"/>
          </w:tcPr>
          <w:p w:rsidRPr="00C94583" w:rsidR="00C94583" w:rsidP="00C94583" w:rsidRDefault="00C94583" w14:paraId="3C85BAAC" w14:textId="0ACA7F30">
            <w:pPr>
              <w:tabs>
                <w:tab w:val="decimal" w:pos="924"/>
              </w:tabs>
              <w:jc w:val="left"/>
            </w:pPr>
            <w:r w:rsidRPr="00C94583">
              <w:t>5.0</w:t>
            </w:r>
          </w:p>
        </w:tc>
        <w:tc>
          <w:tcPr>
            <w:tcW w:w="2112" w:type="dxa"/>
            <w:tcBorders>
              <w:top w:val="nil"/>
              <w:left w:val="nil"/>
              <w:bottom w:val="nil"/>
              <w:right w:val="nil"/>
            </w:tcBorders>
            <w:shd w:val="clear" w:color="auto" w:fill="auto"/>
            <w:vAlign w:val="bottom"/>
          </w:tcPr>
          <w:p w:rsidRPr="00C94583" w:rsidR="00C94583" w:rsidP="00C94583" w:rsidRDefault="00C94583" w14:paraId="71572608" w14:textId="2132F477">
            <w:pPr>
              <w:tabs>
                <w:tab w:val="decimal" w:pos="881"/>
              </w:tabs>
              <w:jc w:val="left"/>
            </w:pPr>
            <w:r w:rsidRPr="00C94583">
              <w:t>5.0</w:t>
            </w:r>
          </w:p>
        </w:tc>
      </w:tr>
      <w:tr w:rsidRPr="006F5D00" w:rsidR="00C94583" w:rsidTr="00C75F12" w14:paraId="39F1A344" w14:textId="77777777">
        <w:tc>
          <w:tcPr>
            <w:tcW w:w="2070" w:type="dxa"/>
            <w:vAlign w:val="bottom"/>
          </w:tcPr>
          <w:p w:rsidRPr="00C94583" w:rsidR="00C94583" w:rsidP="00C94583" w:rsidRDefault="00C94583" w14:paraId="394380F9" w14:textId="2FC1BDCF">
            <w:pPr>
              <w:ind w:left="614" w:firstLine="16"/>
            </w:pPr>
            <w:r w:rsidRPr="00C94583">
              <w:t>200% PSA</w:t>
            </w:r>
          </w:p>
        </w:tc>
        <w:tc>
          <w:tcPr>
            <w:tcW w:w="2070" w:type="dxa"/>
            <w:tcBorders>
              <w:top w:val="nil"/>
              <w:left w:val="nil"/>
              <w:bottom w:val="nil"/>
              <w:right w:val="nil"/>
            </w:tcBorders>
            <w:shd w:val="clear" w:color="auto" w:fill="auto"/>
            <w:vAlign w:val="bottom"/>
          </w:tcPr>
          <w:p w:rsidRPr="00C94583" w:rsidR="00C94583" w:rsidP="00C94583" w:rsidRDefault="00C94583" w14:paraId="6DB7ADF7" w14:textId="38D14AB6">
            <w:pPr>
              <w:tabs>
                <w:tab w:val="decimal" w:pos="924"/>
              </w:tabs>
              <w:jc w:val="left"/>
            </w:pPr>
            <w:r w:rsidRPr="00C94583">
              <w:t>5.0</w:t>
            </w:r>
          </w:p>
        </w:tc>
        <w:tc>
          <w:tcPr>
            <w:tcW w:w="2112" w:type="dxa"/>
            <w:tcBorders>
              <w:top w:val="nil"/>
              <w:left w:val="nil"/>
              <w:bottom w:val="nil"/>
              <w:right w:val="nil"/>
            </w:tcBorders>
            <w:shd w:val="clear" w:color="auto" w:fill="auto"/>
            <w:vAlign w:val="bottom"/>
          </w:tcPr>
          <w:p w:rsidRPr="00C94583" w:rsidR="00C94583" w:rsidP="00C94583" w:rsidRDefault="00C94583" w14:paraId="3A99D0F2" w14:textId="41CA1765">
            <w:pPr>
              <w:tabs>
                <w:tab w:val="decimal" w:pos="881"/>
              </w:tabs>
              <w:jc w:val="left"/>
            </w:pPr>
            <w:r w:rsidRPr="00C94583">
              <w:t>5.0</w:t>
            </w:r>
          </w:p>
        </w:tc>
      </w:tr>
      <w:tr w:rsidRPr="006F5D00" w:rsidR="00C94583" w:rsidTr="00C75F12" w14:paraId="3C36089B" w14:textId="77777777">
        <w:tc>
          <w:tcPr>
            <w:tcW w:w="2070" w:type="dxa"/>
            <w:vAlign w:val="bottom"/>
          </w:tcPr>
          <w:p w:rsidRPr="00C94583" w:rsidR="00C94583" w:rsidP="00C94583" w:rsidRDefault="00C94583" w14:paraId="061128E5" w14:textId="7E505A49">
            <w:pPr>
              <w:ind w:left="614" w:firstLine="16"/>
            </w:pPr>
            <w:r w:rsidRPr="00C94583">
              <w:t>300% PSA</w:t>
            </w:r>
          </w:p>
        </w:tc>
        <w:tc>
          <w:tcPr>
            <w:tcW w:w="2070" w:type="dxa"/>
            <w:tcBorders>
              <w:top w:val="nil"/>
              <w:left w:val="nil"/>
              <w:bottom w:val="nil"/>
              <w:right w:val="nil"/>
            </w:tcBorders>
            <w:shd w:val="clear" w:color="auto" w:fill="auto"/>
            <w:vAlign w:val="bottom"/>
          </w:tcPr>
          <w:p w:rsidRPr="00C94583" w:rsidR="00C94583" w:rsidP="00C94583" w:rsidRDefault="00C94583" w14:paraId="5B5A8DB7" w14:textId="1DA8C19C">
            <w:pPr>
              <w:tabs>
                <w:tab w:val="decimal" w:pos="924"/>
              </w:tabs>
              <w:jc w:val="left"/>
            </w:pPr>
            <w:r w:rsidRPr="00C94583">
              <w:t>5.0</w:t>
            </w:r>
          </w:p>
        </w:tc>
        <w:tc>
          <w:tcPr>
            <w:tcW w:w="2112" w:type="dxa"/>
            <w:tcBorders>
              <w:top w:val="nil"/>
              <w:left w:val="nil"/>
              <w:bottom w:val="nil"/>
              <w:right w:val="nil"/>
            </w:tcBorders>
            <w:shd w:val="clear" w:color="auto" w:fill="auto"/>
            <w:vAlign w:val="bottom"/>
          </w:tcPr>
          <w:p w:rsidRPr="00C94583" w:rsidR="00C94583" w:rsidP="00C94583" w:rsidRDefault="00C94583" w14:paraId="3BFB8BFC" w14:textId="3255EE24">
            <w:pPr>
              <w:pStyle w:val="E-mailSignature"/>
              <w:tabs>
                <w:tab w:val="decimal" w:pos="881"/>
              </w:tabs>
            </w:pPr>
            <w:r w:rsidRPr="00C94583">
              <w:t>5.0</w:t>
            </w:r>
          </w:p>
        </w:tc>
      </w:tr>
      <w:tr w:rsidRPr="006F5D00" w:rsidR="00C94583" w:rsidTr="00C75F12" w14:paraId="3DF2170E" w14:textId="77777777">
        <w:tc>
          <w:tcPr>
            <w:tcW w:w="2070" w:type="dxa"/>
            <w:vAlign w:val="bottom"/>
          </w:tcPr>
          <w:p w:rsidRPr="00C94583" w:rsidR="00C94583" w:rsidP="00C94583" w:rsidRDefault="00C94583" w14:paraId="7FF4F5C6" w14:textId="1EB4C65A">
            <w:pPr>
              <w:ind w:left="614" w:firstLine="16"/>
            </w:pPr>
            <w:r w:rsidRPr="00C94583">
              <w:t>400% PSA</w:t>
            </w:r>
          </w:p>
        </w:tc>
        <w:tc>
          <w:tcPr>
            <w:tcW w:w="2070" w:type="dxa"/>
            <w:tcBorders>
              <w:top w:val="nil"/>
              <w:left w:val="nil"/>
              <w:bottom w:val="nil"/>
              <w:right w:val="nil"/>
            </w:tcBorders>
            <w:shd w:val="clear" w:color="auto" w:fill="auto"/>
            <w:vAlign w:val="bottom"/>
          </w:tcPr>
          <w:p w:rsidRPr="00C94583" w:rsidR="00C94583" w:rsidP="00C94583" w:rsidRDefault="00C94583" w14:paraId="7385BA77" w14:textId="2D803510">
            <w:pPr>
              <w:tabs>
                <w:tab w:val="decimal" w:pos="924"/>
              </w:tabs>
              <w:jc w:val="left"/>
            </w:pPr>
            <w:r w:rsidRPr="00C94583">
              <w:t>5.0</w:t>
            </w:r>
          </w:p>
        </w:tc>
        <w:tc>
          <w:tcPr>
            <w:tcW w:w="2112" w:type="dxa"/>
            <w:tcBorders>
              <w:top w:val="nil"/>
              <w:left w:val="nil"/>
              <w:bottom w:val="nil"/>
              <w:right w:val="nil"/>
            </w:tcBorders>
            <w:shd w:val="clear" w:color="auto" w:fill="auto"/>
            <w:vAlign w:val="bottom"/>
          </w:tcPr>
          <w:p w:rsidRPr="00C94583" w:rsidR="00C94583" w:rsidP="00C94583" w:rsidRDefault="00C94583" w14:paraId="6C4F6C13" w14:textId="1CCEEF9F">
            <w:pPr>
              <w:tabs>
                <w:tab w:val="decimal" w:pos="881"/>
              </w:tabs>
              <w:jc w:val="left"/>
            </w:pPr>
            <w:r w:rsidRPr="00C94583">
              <w:t>5.0</w:t>
            </w:r>
          </w:p>
        </w:tc>
      </w:tr>
      <w:tr w:rsidR="00C94583" w:rsidTr="00C75F12" w14:paraId="01F7968B" w14:textId="77777777">
        <w:tc>
          <w:tcPr>
            <w:tcW w:w="2070" w:type="dxa"/>
            <w:vAlign w:val="bottom"/>
          </w:tcPr>
          <w:p w:rsidRPr="00C94583" w:rsidR="00C94583" w:rsidP="00C94583" w:rsidRDefault="00C94583" w14:paraId="0B6B3B32" w14:textId="58577981">
            <w:pPr>
              <w:ind w:left="614" w:firstLine="16"/>
            </w:pPr>
            <w:r w:rsidRPr="00C94583">
              <w:t>500% PSA</w:t>
            </w:r>
          </w:p>
        </w:tc>
        <w:tc>
          <w:tcPr>
            <w:tcW w:w="2070" w:type="dxa"/>
            <w:tcBorders>
              <w:top w:val="nil"/>
              <w:left w:val="nil"/>
              <w:bottom w:val="nil"/>
              <w:right w:val="nil"/>
            </w:tcBorders>
            <w:shd w:val="clear" w:color="auto" w:fill="auto"/>
            <w:vAlign w:val="bottom"/>
          </w:tcPr>
          <w:p w:rsidRPr="00C94583" w:rsidR="00C94583" w:rsidP="00C94583" w:rsidRDefault="00C94583" w14:paraId="2BCAAF1A" w14:textId="1B2ED25E">
            <w:pPr>
              <w:tabs>
                <w:tab w:val="decimal" w:pos="924"/>
              </w:tabs>
              <w:jc w:val="left"/>
            </w:pPr>
            <w:r w:rsidRPr="00C94583">
              <w:t>5.0</w:t>
            </w:r>
          </w:p>
        </w:tc>
        <w:tc>
          <w:tcPr>
            <w:tcW w:w="2112" w:type="dxa"/>
            <w:tcBorders>
              <w:top w:val="nil"/>
              <w:left w:val="nil"/>
              <w:bottom w:val="nil"/>
              <w:right w:val="nil"/>
            </w:tcBorders>
            <w:shd w:val="clear" w:color="auto" w:fill="auto"/>
            <w:vAlign w:val="bottom"/>
          </w:tcPr>
          <w:p w:rsidRPr="00C94583" w:rsidR="00C94583" w:rsidP="00C94583" w:rsidRDefault="00C94583" w14:paraId="19AC4C4B" w14:textId="0568A874">
            <w:pPr>
              <w:tabs>
                <w:tab w:val="decimal" w:pos="881"/>
              </w:tabs>
              <w:jc w:val="left"/>
            </w:pPr>
            <w:r w:rsidRPr="00C94583">
              <w:t>5.0</w:t>
            </w:r>
          </w:p>
        </w:tc>
      </w:tr>
    </w:tbl>
    <w:p w:rsidR="00DA2CA8" w:rsidP="00AA223A" w:rsidRDefault="00DA2CA8" w14:paraId="1D3A23ED" w14:textId="0F5D2F39"/>
    <w:p w:rsidRPr="00B34407" w:rsidR="000F0458" w:rsidP="00AA223A" w:rsidRDefault="000F0458" w14:paraId="76E7E158" w14:textId="5C536877">
      <w:r>
        <w:tab/>
        <w:t>__________________</w:t>
      </w:r>
    </w:p>
    <w:p w:rsidR="000C4C86" w:rsidP="000F0458" w:rsidRDefault="000F0458" w14:paraId="5BA21900" w14:textId="56BDA1E2">
      <w:pPr>
        <w:pStyle w:val="ahangingindent"/>
        <w:ind w:left="900" w:right="900" w:hanging="180"/>
      </w:pPr>
      <w:r w:rsidRPr="000F0458">
        <w:rPr>
          <w:vertAlign w:val="superscript"/>
        </w:rPr>
        <w:t>1</w:t>
      </w:r>
      <w:r w:rsidRPr="000F0458">
        <w:tab/>
      </w:r>
      <w:r w:rsidRPr="000F0458" w:rsidR="00155809">
        <w:t>The weighted average life of a bond is determined by (i) multiplying the amount of each principal payment by the number of years from the date of issuance of the bond to the related principal payment date, (ii) adding the results and (iii) dividing the sum by the to</w:t>
      </w:r>
      <w:r w:rsidR="00E26FDD">
        <w:t>tal principal paid on the bond.</w:t>
      </w:r>
      <w:r w:rsidRPr="000F0458" w:rsidR="000C4C86">
        <w:t xml:space="preserve"> </w:t>
      </w:r>
    </w:p>
    <w:p w:rsidRPr="00B34407" w:rsidR="00155809" w:rsidP="00155809" w:rsidRDefault="00155809" w14:paraId="54D106C6" w14:textId="77777777">
      <w:pPr>
        <w:widowControl/>
      </w:pPr>
    </w:p>
    <w:p w:rsidRPr="00B34407" w:rsidR="00155809" w:rsidP="00155809" w:rsidRDefault="00155809" w14:paraId="71FDBEB5" w14:textId="130ED41E">
      <w:pPr>
        <w:pStyle w:val="BodyTextFirstIndent"/>
        <w:rPr>
          <w:b/>
        </w:rPr>
      </w:pPr>
      <w:r w:rsidRPr="00B34407">
        <w:t xml:space="preserve">The projected weighted average lives reflect a projected average of the periods of time for which the </w:t>
      </w:r>
      <w:r w:rsidR="00A1322C">
        <w:t>2024C-2</w:t>
      </w:r>
      <w:r w:rsidR="00A6413E">
        <w:t xml:space="preserve"> PAC</w:t>
      </w:r>
      <w:r w:rsidR="00F86774">
        <w:t xml:space="preserve"> Bonds</w:t>
      </w:r>
      <w:r w:rsidRPr="00B34407">
        <w:t xml:space="preserve"> are outstanding.  They do not reflect the period of time which any one </w:t>
      </w:r>
      <w:r w:rsidR="00A1322C">
        <w:t>2024C-2</w:t>
      </w:r>
      <w:r w:rsidR="00A6413E">
        <w:t xml:space="preserve"> PAC</w:t>
      </w:r>
      <w:r w:rsidR="005B6C2C">
        <w:t xml:space="preserve"> Bond</w:t>
      </w:r>
      <w:r w:rsidRPr="00B34407">
        <w:t xml:space="preserve"> will remain outstanding.  At each prepayment speed, some </w:t>
      </w:r>
      <w:r w:rsidR="00A1322C">
        <w:t>2024C-2</w:t>
      </w:r>
      <w:r w:rsidR="00A6413E">
        <w:t xml:space="preserve"> PAC</w:t>
      </w:r>
      <w:r w:rsidR="00F86774">
        <w:t xml:space="preserve"> Bonds</w:t>
      </w:r>
      <w:r w:rsidRPr="00B34407">
        <w:t xml:space="preserve"> will remain outstanding for periods of time shorter than the projected weighted average life, while some will remain outstanding for longer periods of time.  Investors owning less than all of the </w:t>
      </w:r>
      <w:r w:rsidR="00A1322C">
        <w:t>2024C-2</w:t>
      </w:r>
      <w:r w:rsidR="00A6413E">
        <w:t xml:space="preserve"> PAC</w:t>
      </w:r>
      <w:r w:rsidR="00F86774">
        <w:t xml:space="preserve"> Bonds</w:t>
      </w:r>
      <w:r w:rsidRPr="00B34407">
        <w:t xml:space="preserve"> may experience redemption at a rate that varies from the projected weighted average lives shown in the table. </w:t>
      </w:r>
      <w:r w:rsidR="005B6C2C">
        <w:t xml:space="preserve"> </w:t>
      </w:r>
      <w:r w:rsidRPr="00B34407">
        <w:t>See the Table set forth in</w:t>
      </w:r>
      <w:r w:rsidRPr="00B34407">
        <w:rPr>
          <w:i/>
        </w:rPr>
        <w:t xml:space="preserve"> </w:t>
      </w:r>
      <w:r w:rsidR="00C34AEA">
        <w:t>“</w:t>
      </w:r>
      <w:r w:rsidRPr="00B34407">
        <w:t xml:space="preserve">APPENDIX G: PROJECTED PERCENTAGES OF INITIAL PRINCIPAL BALANCE OUTSTANDING AND ESTIMATED WEIGHTED AVERAGE LIVES OF </w:t>
      </w:r>
      <w:r w:rsidR="00A1322C">
        <w:t>2024C-2</w:t>
      </w:r>
      <w:r w:rsidR="00A6413E">
        <w:t xml:space="preserve"> PAC</w:t>
      </w:r>
      <w:r w:rsidR="00F86774">
        <w:t xml:space="preserve"> BONDS</w:t>
      </w:r>
      <w:r w:rsidR="00C34AEA">
        <w:t>”</w:t>
      </w:r>
      <w:r w:rsidRPr="00B34407">
        <w:t xml:space="preserve"> attached hereto.</w:t>
      </w:r>
    </w:p>
    <w:p w:rsidRPr="000A6970" w:rsidR="000A6970" w:rsidP="000A6970" w:rsidRDefault="00155809" w14:paraId="04EFFBA0" w14:textId="77777777">
      <w:pPr>
        <w:pStyle w:val="aHEADINGSUB2"/>
        <w:rPr>
          <w:bCs/>
          <w:i w:val="0"/>
          <w:iCs w:val="0"/>
          <w:vanish/>
          <w:color w:val="FF0000"/>
          <w:sz w:val="19"/>
          <w:szCs w:val="19"/>
          <w:specVanish/>
        </w:rPr>
      </w:pPr>
      <w:bookmarkStart w:name="_Toc172841930" w:id="200"/>
      <w:r w:rsidRPr="000A6970">
        <w:t>Cross Calling and Recycling</w:t>
      </w:r>
      <w:bookmarkEnd w:id="200"/>
    </w:p>
    <w:p w:rsidRPr="000A6970" w:rsidR="00155809" w:rsidP="000A6970" w:rsidRDefault="00155809" w14:paraId="2E8A0B5C" w14:textId="6CA37DFE">
      <w:pPr>
        <w:pStyle w:val="BodyText"/>
      </w:pPr>
      <w:r w:rsidRPr="000A6970">
        <w:t xml:space="preserve">.  The Authority may, to the extent permitted by the Indenture, use Prepayments and regularly scheduled repayments </w:t>
      </w:r>
      <w:r w:rsidR="00B66B30">
        <w:t xml:space="preserve">(except Tax Restricted Prepayments and Repayments) </w:t>
      </w:r>
      <w:r w:rsidRPr="000A6970">
        <w:t xml:space="preserve">of principal on the </w:t>
      </w:r>
      <w:r w:rsidR="00C7294C">
        <w:t>2024 Series C</w:t>
      </w:r>
      <w:r w:rsidR="00C635EB">
        <w:t xml:space="preserve"> Mortgage Loans</w:t>
      </w:r>
      <w:r w:rsidRPr="000A6970" w:rsidR="00B1771F">
        <w:t xml:space="preserve"> </w:t>
      </w:r>
      <w:r w:rsidRPr="000A6970">
        <w:t xml:space="preserve">and Excess Revenues attributable to </w:t>
      </w:r>
      <w:r w:rsidR="00C7294C">
        <w:t>2024 Series C</w:t>
      </w:r>
      <w:r w:rsidR="005B3036">
        <w:t xml:space="preserve"> Bond</w:t>
      </w:r>
      <w:r w:rsidR="006C550F">
        <w:t>s</w:t>
      </w:r>
      <w:r w:rsidRPr="000A6970">
        <w:t xml:space="preserve"> to redeem other Bonds </w:t>
      </w:r>
      <w:r w:rsidR="00D85118">
        <w:t xml:space="preserve">(except the 2024 Series C-1 Premium Term Bonds prior to January 1, 2033) </w:t>
      </w:r>
      <w:r w:rsidRPr="000A6970">
        <w:t>or recycle such moneys to purchase other</w:t>
      </w:r>
      <w:r w:rsidRPr="000A6970" w:rsidR="00D37114">
        <w:t xml:space="preserve"> </w:t>
      </w:r>
      <w:r w:rsidR="00C7294C">
        <w:t>2024 Series C</w:t>
      </w:r>
      <w:r w:rsidR="00C635EB">
        <w:t xml:space="preserve"> Mortgage Loans</w:t>
      </w:r>
      <w:r w:rsidRPr="000A6970">
        <w:t>.  The Authority</w:t>
      </w:r>
      <w:r w:rsidR="00C34AEA">
        <w:t>’</w:t>
      </w:r>
      <w:r w:rsidRPr="000A6970">
        <w:t xml:space="preserve">s decision to recycle such Prepayments, repayments or Excess Revenues or </w:t>
      </w:r>
      <w:r w:rsidRPr="000A6970" w:rsidR="000235DC">
        <w:t>redeem</w:t>
      </w:r>
      <w:r w:rsidRPr="000A6970">
        <w:t xml:space="preserve"> Bonds will depend on, among other things, the level of interest rates applicable to the Authority</w:t>
      </w:r>
      <w:r w:rsidR="00C34AEA">
        <w:t>’</w:t>
      </w:r>
      <w:r w:rsidRPr="000A6970">
        <w:t xml:space="preserve">s Bonds and the Mortgage Loans that could be financed.  The Authority may, to the extent permitted by the Indenture, use Prepayments and regularly scheduled repayments of principal and Excess Revenues from other series of Bonds, if needed, in an amount necessary to meet the redemption amounts for the </w:t>
      </w:r>
      <w:r w:rsidR="00A1322C">
        <w:t>2024C-2</w:t>
      </w:r>
      <w:r w:rsidR="00A6413E">
        <w:t xml:space="preserve"> PAC</w:t>
      </w:r>
      <w:r w:rsidR="00F86774">
        <w:t xml:space="preserve"> Bonds</w:t>
      </w:r>
      <w:r w:rsidRPr="000A6970">
        <w:t xml:space="preserve"> listed in the </w:t>
      </w:r>
      <w:r w:rsidR="00A1322C">
        <w:t>2024C-2</w:t>
      </w:r>
      <w:r w:rsidR="00A6413E">
        <w:t xml:space="preserve"> PAC</w:t>
      </w:r>
      <w:r w:rsidR="00F86774">
        <w:t xml:space="preserve"> Bonds</w:t>
      </w:r>
      <w:r w:rsidRPr="000A6970">
        <w:t xml:space="preserve"> </w:t>
      </w:r>
      <w:bookmarkStart w:name="ElPgBr24" w:id="201"/>
      <w:bookmarkEnd w:id="201"/>
      <w:r w:rsidRPr="000A6970">
        <w:t xml:space="preserve">Applicable Outstanding Amounts table above, and to redeem other </w:t>
      </w:r>
      <w:r w:rsidR="00C7294C">
        <w:t>2024 Series C</w:t>
      </w:r>
      <w:r w:rsidR="005B3036">
        <w:t xml:space="preserve"> Bond</w:t>
      </w:r>
      <w:r w:rsidR="006C550F">
        <w:t>s</w:t>
      </w:r>
      <w:r w:rsidRPr="000A6970">
        <w:t>.</w:t>
      </w:r>
      <w:r w:rsidRPr="000A6970" w:rsidR="008D088C">
        <w:t xml:space="preserve"> </w:t>
      </w:r>
      <w:r w:rsidR="00933074">
        <w:t xml:space="preserve"> </w:t>
      </w:r>
      <w:r w:rsidRPr="000A6970" w:rsidR="000235DC">
        <w:t>Although the Authority may redeem Bonds in any order it prefers, a listing of Bonds under the Indenture and sorted by coupon is in the table</w:t>
      </w:r>
      <w:r w:rsidRPr="000A6970" w:rsidR="00712224">
        <w:t xml:space="preserve"> set forth in </w:t>
      </w:r>
      <w:r w:rsidR="00C34AEA">
        <w:t>“</w:t>
      </w:r>
      <w:r w:rsidRPr="000A6970" w:rsidR="00AE116F">
        <w:t xml:space="preserve">APPENDIX H: </w:t>
      </w:r>
      <w:r w:rsidRPr="000A6970" w:rsidR="00712224">
        <w:t xml:space="preserve">DEBT OUTSTANDING DETAIL AS </w:t>
      </w:r>
      <w:r w:rsidRPr="00226DDC" w:rsidR="00712224">
        <w:t xml:space="preserve">OF </w:t>
      </w:r>
      <w:r w:rsidR="00C9166F">
        <w:t>JULY</w:t>
      </w:r>
      <w:r w:rsidR="00254742">
        <w:t xml:space="preserve"> 1, 2024</w:t>
      </w:r>
      <w:r w:rsidRPr="00226DDC" w:rsidR="00C34AEA">
        <w:t>”</w:t>
      </w:r>
      <w:r w:rsidRPr="00226DDC" w:rsidR="00AE116F">
        <w:t xml:space="preserve"> </w:t>
      </w:r>
      <w:r w:rsidRPr="00226DDC" w:rsidR="00712224">
        <w:t>attached</w:t>
      </w:r>
      <w:r w:rsidRPr="00F247C3" w:rsidR="00712224">
        <w:t xml:space="preserve"> hereto</w:t>
      </w:r>
      <w:r w:rsidRPr="00F247C3" w:rsidR="00AE116F">
        <w:t>.</w:t>
      </w:r>
      <w:r w:rsidRPr="000A6970" w:rsidR="00AE116F">
        <w:t xml:space="preserve"> </w:t>
      </w:r>
    </w:p>
    <w:p w:rsidRPr="000A6970" w:rsidR="000A6970" w:rsidP="000A6970" w:rsidRDefault="00AF72E5" w14:paraId="3CE3A89E" w14:textId="778EDEF5">
      <w:pPr>
        <w:pStyle w:val="aHEADINGSUB2"/>
        <w:rPr>
          <w:bCs/>
          <w:i w:val="0"/>
          <w:iCs w:val="0"/>
          <w:vanish/>
          <w:color w:val="FF0000"/>
          <w:sz w:val="19"/>
          <w:szCs w:val="19"/>
          <w:specVanish/>
        </w:rPr>
      </w:pPr>
      <w:bookmarkStart w:name="_DV_M314" w:id="202"/>
      <w:bookmarkStart w:name="_Toc172841931" w:id="203"/>
      <w:bookmarkStart w:name="_Toc212948781" w:id="204"/>
      <w:bookmarkEnd w:id="184"/>
      <w:bookmarkEnd w:id="202"/>
      <w:r w:rsidRPr="000A6970">
        <w:t xml:space="preserve">Mandatory Redemption of </w:t>
      </w:r>
      <w:r w:rsidR="00C7294C">
        <w:t>2024 Series C</w:t>
      </w:r>
      <w:r w:rsidRPr="00857022" w:rsidR="00B4438E">
        <w:t>-1</w:t>
      </w:r>
      <w:r w:rsidR="00B4438E">
        <w:t xml:space="preserve"> Bond</w:t>
      </w:r>
      <w:r w:rsidRPr="000A6970" w:rsidR="0089533B">
        <w:t>s</w:t>
      </w:r>
      <w:r w:rsidRPr="000A6970" w:rsidR="00863D54">
        <w:t xml:space="preserve"> from Tax Restricted Prepayments and Repayments</w:t>
      </w:r>
      <w:bookmarkEnd w:id="203"/>
    </w:p>
    <w:p w:rsidRPr="00427016" w:rsidR="00933074" w:rsidP="00933074" w:rsidRDefault="00863D54" w14:paraId="5B9F117F" w14:textId="4D918FB7">
      <w:pPr>
        <w:pStyle w:val="BodyText"/>
        <w:rPr>
          <w:b/>
          <w:i/>
        </w:rPr>
      </w:pPr>
      <w:r w:rsidRPr="000A6970">
        <w:t xml:space="preserve">. </w:t>
      </w:r>
      <w:bookmarkEnd w:id="204"/>
      <w:r w:rsidR="00933074">
        <w:t xml:space="preserve"> The </w:t>
      </w:r>
      <w:r w:rsidR="00C7294C">
        <w:t>2024 Series C</w:t>
      </w:r>
      <w:r w:rsidR="00B4438E">
        <w:t>-1 Bond</w:t>
      </w:r>
      <w:r w:rsidR="00933074">
        <w:t>s</w:t>
      </w:r>
      <w:r w:rsidR="00D85118">
        <w:t xml:space="preserve"> (except the 2024 Series C-1 Premium Term Bonds prior to January 1, 2033, unless otherwise required by federal tax law when no other 2024 Series C-1 Bonds remain outstanding)</w:t>
      </w:r>
      <w:r w:rsidR="00933074">
        <w:t xml:space="preserve"> are subject to mandatory </w:t>
      </w:r>
      <w:r w:rsidR="00933074">
        <w:lastRenderedPageBreak/>
        <w:t>redemption from Tax Restricted Prepayments and Repayments, no later than the close of the first semiannual period beginning after the date of receipt at a redemption price equal to 100% of the principal amount thereof, together with accrued and unpaid interest thereon to the redemption date</w:t>
      </w:r>
      <w:r w:rsidR="0061270A">
        <w:t>.</w:t>
      </w:r>
      <w:r w:rsidR="00304B81">
        <w:t xml:space="preserve">  </w:t>
      </w:r>
    </w:p>
    <w:p w:rsidR="000A26E3" w:rsidP="000A26E3" w:rsidRDefault="00C34AEA" w14:paraId="6A01804F" w14:textId="5F2CE999">
      <w:pPr>
        <w:pStyle w:val="BodyTextFirstIndent"/>
      </w:pPr>
      <w:r>
        <w:t>“</w:t>
      </w:r>
      <w:r w:rsidR="00933074">
        <w:t>Tax Restricted Prepayments and Repayments</w:t>
      </w:r>
      <w:r>
        <w:t>”</w:t>
      </w:r>
      <w:r w:rsidR="00933074">
        <w:t xml:space="preserve"> with respect to the </w:t>
      </w:r>
      <w:r w:rsidR="00C7294C">
        <w:t>2024 Series C</w:t>
      </w:r>
      <w:r w:rsidRPr="00857022" w:rsidR="00B4438E">
        <w:t>-1 Bond</w:t>
      </w:r>
      <w:r w:rsidRPr="00857022" w:rsidR="00933074">
        <w:t xml:space="preserve">s consist of Prepayments and regularly scheduled repayments of principal on the </w:t>
      </w:r>
      <w:r w:rsidR="00C7294C">
        <w:t>2024 Series C</w:t>
      </w:r>
      <w:r w:rsidRPr="00857022" w:rsidR="00C635EB">
        <w:t xml:space="preserve"> Mortgage Loans</w:t>
      </w:r>
      <w:r w:rsidRPr="00857022" w:rsidR="00933074">
        <w:t xml:space="preserve"> </w:t>
      </w:r>
      <w:r w:rsidRPr="00857022" w:rsidR="00EB1000">
        <w:t xml:space="preserve">and down payment loans </w:t>
      </w:r>
      <w:r w:rsidRPr="00857022" w:rsidR="006139B2">
        <w:t xml:space="preserve">funded by the proceeds of the </w:t>
      </w:r>
      <w:r w:rsidR="00C7294C">
        <w:t>2024 Series C</w:t>
      </w:r>
      <w:r w:rsidRPr="00857022" w:rsidR="00B4438E">
        <w:t>-1 Bond</w:t>
      </w:r>
      <w:r w:rsidRPr="00857022" w:rsidR="006139B2">
        <w:t xml:space="preserve">s </w:t>
      </w:r>
      <w:r w:rsidRPr="00857022" w:rsidR="00933074">
        <w:t>on the dates as shown</w:t>
      </w:r>
      <w:r w:rsidR="00933074">
        <w:t xml:space="preserve"> in the table below:</w:t>
      </w:r>
      <w:r w:rsidRPr="000A6970" w:rsidR="0005086D">
        <w:t xml:space="preserve"> </w:t>
      </w:r>
    </w:p>
    <w:tbl>
      <w:tblPr>
        <w:tblStyle w:val="TableGrid"/>
        <w:tblW w:w="62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50"/>
        <w:gridCol w:w="3117"/>
      </w:tblGrid>
      <w:tr w:rsidR="008955B3" w:rsidTr="00BE0846" w14:paraId="47E2F198" w14:textId="77777777">
        <w:trPr>
          <w:jc w:val="center"/>
        </w:trPr>
        <w:tc>
          <w:tcPr>
            <w:tcW w:w="3150" w:type="dxa"/>
            <w:vAlign w:val="bottom"/>
          </w:tcPr>
          <w:p w:rsidRPr="00BC1796" w:rsidR="008955B3" w:rsidP="00BE0846" w:rsidRDefault="008955B3" w14:paraId="0AFAFCFE" w14:textId="77777777">
            <w:pPr>
              <w:pStyle w:val="DeltaViewTableHeading"/>
              <w:spacing w:after="0"/>
              <w:jc w:val="center"/>
              <w:rPr>
                <w:rFonts w:ascii="Times New Roman" w:hAnsi="Times New Roman" w:cs="Times New Roman"/>
                <w:sz w:val="20"/>
                <w:szCs w:val="20"/>
                <w:u w:val="single"/>
              </w:rPr>
            </w:pPr>
            <w:r w:rsidRPr="00BC1796">
              <w:rPr>
                <w:rFonts w:ascii="Times New Roman" w:hAnsi="Times New Roman" w:cs="Times New Roman"/>
                <w:sz w:val="20"/>
                <w:szCs w:val="20"/>
                <w:u w:val="single"/>
              </w:rPr>
              <w:t>Period</w:t>
            </w:r>
          </w:p>
        </w:tc>
        <w:tc>
          <w:tcPr>
            <w:tcW w:w="3117" w:type="dxa"/>
            <w:vAlign w:val="bottom"/>
          </w:tcPr>
          <w:p w:rsidRPr="00FF7824" w:rsidR="008955B3" w:rsidP="00FF7824" w:rsidRDefault="008955B3" w14:paraId="752C8478" w14:textId="4C10F345">
            <w:pPr>
              <w:pStyle w:val="DeltaViewTableHeading"/>
              <w:spacing w:after="0"/>
              <w:jc w:val="center"/>
              <w:rPr>
                <w:rFonts w:ascii="Times New Roman" w:hAnsi="Times New Roman" w:cs="Times New Roman"/>
                <w:sz w:val="20"/>
                <w:szCs w:val="20"/>
                <w:u w:val="single"/>
              </w:rPr>
            </w:pPr>
            <w:r w:rsidRPr="00FF7824">
              <w:rPr>
                <w:rFonts w:ascii="Times New Roman" w:hAnsi="Times New Roman" w:cs="Times New Roman"/>
                <w:sz w:val="20"/>
                <w:szCs w:val="20"/>
                <w:u w:val="single"/>
              </w:rPr>
              <w:t xml:space="preserve">Percentage </w:t>
            </w:r>
          </w:p>
        </w:tc>
      </w:tr>
      <w:tr w:rsidR="008955B3" w:rsidTr="00BE0846" w14:paraId="7B853957" w14:textId="77777777">
        <w:trPr>
          <w:jc w:val="center"/>
        </w:trPr>
        <w:tc>
          <w:tcPr>
            <w:tcW w:w="3150" w:type="dxa"/>
          </w:tcPr>
          <w:p w:rsidRPr="00F43CC7" w:rsidR="008955B3" w:rsidP="0018376B" w:rsidRDefault="008955B3" w14:paraId="685B33C0" w14:textId="1D120EAE">
            <w:pPr>
              <w:pStyle w:val="DeltaViewTableHeading"/>
              <w:spacing w:after="0"/>
              <w:rPr>
                <w:rFonts w:ascii="Times New Roman" w:hAnsi="Times New Roman" w:cs="Times New Roman"/>
                <w:b w:val="0"/>
                <w:sz w:val="20"/>
                <w:szCs w:val="20"/>
              </w:rPr>
            </w:pPr>
            <w:r w:rsidRPr="00F43CC7">
              <w:rPr>
                <w:rFonts w:ascii="Times New Roman" w:hAnsi="Times New Roman" w:cs="Times New Roman"/>
                <w:b w:val="0"/>
                <w:sz w:val="20"/>
                <w:szCs w:val="20"/>
              </w:rPr>
              <w:t xml:space="preserve">Closing through </w:t>
            </w:r>
            <w:r w:rsidR="000C2E0E">
              <w:rPr>
                <w:rFonts w:ascii="Times New Roman" w:hAnsi="Times New Roman" w:cs="Times New Roman"/>
                <w:b w:val="0"/>
                <w:sz w:val="20"/>
                <w:szCs w:val="20"/>
              </w:rPr>
              <w:t xml:space="preserve">August </w:t>
            </w:r>
            <w:r w:rsidR="00C15C9A">
              <w:rPr>
                <w:rFonts w:ascii="Times New Roman" w:hAnsi="Times New Roman" w:cs="Times New Roman"/>
                <w:b w:val="0"/>
                <w:sz w:val="20"/>
                <w:szCs w:val="20"/>
              </w:rPr>
              <w:t>19</w:t>
            </w:r>
            <w:r w:rsidR="000C2E0E">
              <w:rPr>
                <w:rFonts w:ascii="Times New Roman" w:hAnsi="Times New Roman" w:cs="Times New Roman"/>
                <w:b w:val="0"/>
                <w:sz w:val="20"/>
                <w:szCs w:val="20"/>
              </w:rPr>
              <w:t>, 2034</w:t>
            </w:r>
          </w:p>
        </w:tc>
        <w:tc>
          <w:tcPr>
            <w:tcW w:w="3117" w:type="dxa"/>
          </w:tcPr>
          <w:p w:rsidRPr="00F43CC7" w:rsidR="008955B3" w:rsidP="00BE0846" w:rsidRDefault="008955B3" w14:paraId="0DDD3D4C" w14:textId="77777777">
            <w:pPr>
              <w:pStyle w:val="DeltaViewTableHeading"/>
              <w:tabs>
                <w:tab w:val="decimal" w:pos="1545"/>
              </w:tabs>
              <w:spacing w:after="0"/>
              <w:rPr>
                <w:rFonts w:ascii="Times New Roman" w:hAnsi="Times New Roman" w:cs="Times New Roman"/>
                <w:b w:val="0"/>
                <w:sz w:val="20"/>
                <w:szCs w:val="20"/>
              </w:rPr>
            </w:pPr>
            <w:r w:rsidRPr="00F43CC7">
              <w:rPr>
                <w:rFonts w:ascii="Times New Roman" w:hAnsi="Times New Roman" w:cs="Times New Roman"/>
                <w:b w:val="0"/>
                <w:sz w:val="20"/>
                <w:szCs w:val="20"/>
              </w:rPr>
              <w:t xml:space="preserve">                      0%</w:t>
            </w:r>
          </w:p>
        </w:tc>
      </w:tr>
      <w:tr w:rsidR="008955B3" w:rsidTr="00BE0846" w14:paraId="0B2679C9" w14:textId="77777777">
        <w:trPr>
          <w:jc w:val="center"/>
        </w:trPr>
        <w:tc>
          <w:tcPr>
            <w:tcW w:w="3150" w:type="dxa"/>
          </w:tcPr>
          <w:p w:rsidRPr="00F43CC7" w:rsidR="008955B3" w:rsidP="0018376B" w:rsidRDefault="000C2E0E" w14:paraId="40F5A94E" w14:textId="5FD7CE38">
            <w:pPr>
              <w:pStyle w:val="DeltaViewTableHeading"/>
              <w:spacing w:after="0"/>
              <w:rPr>
                <w:rFonts w:ascii="Times New Roman" w:hAnsi="Times New Roman" w:cs="Times New Roman"/>
                <w:b w:val="0"/>
                <w:sz w:val="20"/>
                <w:szCs w:val="20"/>
              </w:rPr>
            </w:pPr>
            <w:r>
              <w:rPr>
                <w:rFonts w:ascii="Times New Roman" w:hAnsi="Times New Roman" w:cs="Times New Roman"/>
                <w:b w:val="0"/>
                <w:sz w:val="20"/>
                <w:szCs w:val="20"/>
              </w:rPr>
              <w:t>August 2</w:t>
            </w:r>
            <w:r w:rsidR="00C15C9A">
              <w:rPr>
                <w:rFonts w:ascii="Times New Roman" w:hAnsi="Times New Roman" w:cs="Times New Roman"/>
                <w:b w:val="0"/>
                <w:sz w:val="20"/>
                <w:szCs w:val="20"/>
              </w:rPr>
              <w:t>0</w:t>
            </w:r>
            <w:r>
              <w:rPr>
                <w:rFonts w:ascii="Times New Roman" w:hAnsi="Times New Roman" w:cs="Times New Roman"/>
                <w:b w:val="0"/>
                <w:sz w:val="20"/>
                <w:szCs w:val="20"/>
              </w:rPr>
              <w:t>, 2034</w:t>
            </w:r>
            <w:r w:rsidRPr="00F43CC7" w:rsidR="00F43CC7">
              <w:rPr>
                <w:rFonts w:ascii="Times New Roman" w:hAnsi="Times New Roman" w:cs="Times New Roman"/>
                <w:b w:val="0"/>
                <w:sz w:val="20"/>
                <w:szCs w:val="20"/>
              </w:rPr>
              <w:t xml:space="preserve"> and thereafter</w:t>
            </w:r>
          </w:p>
        </w:tc>
        <w:tc>
          <w:tcPr>
            <w:tcW w:w="3117" w:type="dxa"/>
          </w:tcPr>
          <w:p w:rsidRPr="00F43CC7" w:rsidR="008955B3" w:rsidP="00BE0846" w:rsidRDefault="008955B3" w14:paraId="2B6CE1FD" w14:textId="77777777">
            <w:pPr>
              <w:pStyle w:val="DeltaViewTableHeading"/>
              <w:tabs>
                <w:tab w:val="decimal" w:pos="1545"/>
              </w:tabs>
              <w:spacing w:after="0"/>
              <w:rPr>
                <w:rFonts w:ascii="Times New Roman" w:hAnsi="Times New Roman" w:cs="Times New Roman"/>
                <w:b w:val="0"/>
                <w:sz w:val="20"/>
                <w:szCs w:val="20"/>
              </w:rPr>
            </w:pPr>
            <w:r w:rsidRPr="00F43CC7">
              <w:rPr>
                <w:rFonts w:ascii="Times New Roman" w:hAnsi="Times New Roman" w:cs="Times New Roman"/>
                <w:b w:val="0"/>
                <w:sz w:val="20"/>
                <w:szCs w:val="20"/>
              </w:rPr>
              <w:t xml:space="preserve">                      100%</w:t>
            </w:r>
          </w:p>
        </w:tc>
      </w:tr>
    </w:tbl>
    <w:p w:rsidR="008955B3" w:rsidP="000A26E3" w:rsidRDefault="008955B3" w14:paraId="1EC54063" w14:textId="77777777">
      <w:pPr>
        <w:pStyle w:val="BodyTextFirstIndent"/>
      </w:pPr>
    </w:p>
    <w:p w:rsidRPr="00BD32C9" w:rsidR="0015521D" w:rsidP="00C71138" w:rsidRDefault="00467573" w14:paraId="55280D5C" w14:textId="1AF0A8B8">
      <w:pPr>
        <w:pStyle w:val="BodyTextFirstIndent"/>
      </w:pPr>
      <w:bookmarkStart w:name="_DV_M336" w:id="205"/>
      <w:bookmarkEnd w:id="205"/>
      <w:r>
        <w:t>On each Interest Payment Date, an amount equal to the Tax Restricted Prepayments and Repayments, less any amounts already</w:t>
      </w:r>
      <w:r w:rsidRPr="00B34407">
        <w:t xml:space="preserve"> </w:t>
      </w:r>
      <w:r w:rsidRPr="00B34407" w:rsidR="00AF72E5">
        <w:t xml:space="preserve">used </w:t>
      </w:r>
      <w:r w:rsidRPr="00B34407" w:rsidR="0005086D">
        <w:t xml:space="preserve">to make </w:t>
      </w:r>
      <w:r w:rsidRPr="00B34407" w:rsidR="00375224">
        <w:t>Principal Installments</w:t>
      </w:r>
      <w:r w:rsidRPr="00B34407" w:rsidR="0005086D">
        <w:t xml:space="preserve"> on </w:t>
      </w:r>
      <w:r w:rsidRPr="00857022" w:rsidR="0005086D">
        <w:t xml:space="preserve">the </w:t>
      </w:r>
      <w:r w:rsidR="00C7294C">
        <w:t>2024 Series C</w:t>
      </w:r>
      <w:r w:rsidRPr="00857022" w:rsidR="00B4438E">
        <w:t>-1 Bond</w:t>
      </w:r>
      <w:r w:rsidRPr="00857022" w:rsidR="0005086D">
        <w:t>s</w:t>
      </w:r>
      <w:r w:rsidRPr="00857022" w:rsidR="00635887">
        <w:rPr>
          <w:rStyle w:val="aHEADINGSUBChar"/>
          <w:b w:val="0"/>
          <w:iCs/>
        </w:rPr>
        <w:t xml:space="preserve"> </w:t>
      </w:r>
      <w:r w:rsidRPr="00857022" w:rsidR="0081481C">
        <w:t xml:space="preserve">or </w:t>
      </w:r>
      <w:r w:rsidRPr="00857022" w:rsidR="00AF72E5">
        <w:t xml:space="preserve">to redeem </w:t>
      </w:r>
      <w:r w:rsidR="00C7294C">
        <w:t>2024 Series C</w:t>
      </w:r>
      <w:r w:rsidRPr="00857022" w:rsidR="00B4438E">
        <w:t>-1 Bond</w:t>
      </w:r>
      <w:r w:rsidRPr="00857022" w:rsidR="0089533B">
        <w:t>s</w:t>
      </w:r>
      <w:r w:rsidRPr="00857022" w:rsidR="00AF72E5">
        <w:t xml:space="preserve"> pursuant to redemption as described under </w:t>
      </w:r>
      <w:r w:rsidRPr="00857022" w:rsidR="00C34AEA">
        <w:t>“</w:t>
      </w:r>
      <w:r w:rsidRPr="00857022" w:rsidR="00375224">
        <w:t xml:space="preserve">REDEMPTION OF </w:t>
      </w:r>
      <w:r w:rsidR="00C7294C">
        <w:rPr>
          <w:caps/>
        </w:rPr>
        <w:t>2024 Series C</w:t>
      </w:r>
      <w:r w:rsidRPr="00857022" w:rsidR="005B3036">
        <w:rPr>
          <w:caps/>
        </w:rPr>
        <w:t xml:space="preserve"> Bond</w:t>
      </w:r>
      <w:r w:rsidRPr="00857022" w:rsidR="006C550F">
        <w:rPr>
          <w:caps/>
        </w:rPr>
        <w:t>s</w:t>
      </w:r>
      <w:r w:rsidRPr="00857022" w:rsidR="00375224">
        <w:t>—</w:t>
      </w:r>
      <w:r w:rsidRPr="00857022" w:rsidR="004F383A">
        <w:t>Redemption from Operation of Sinking Fund Installments</w:t>
      </w:r>
      <w:r w:rsidRPr="00857022" w:rsidR="00C34AEA">
        <w:t>”</w:t>
      </w:r>
      <w:r w:rsidR="00D57BBF">
        <w:t xml:space="preserve"> herein shall be applied to the </w:t>
      </w:r>
      <w:r w:rsidR="00C7294C">
        <w:t>2024 Series C</w:t>
      </w:r>
      <w:r w:rsidR="00D57BBF">
        <w:t xml:space="preserve">-1 Bonds until such </w:t>
      </w:r>
      <w:r w:rsidR="00C7294C">
        <w:t>2024 Series C</w:t>
      </w:r>
      <w:r w:rsidR="00D57BBF">
        <w:t>-1 Bonds are no longer outstanding.</w:t>
      </w:r>
      <w:r w:rsidRPr="00857022">
        <w:t xml:space="preserve"> </w:t>
      </w:r>
    </w:p>
    <w:p w:rsidR="00AF72E5" w:rsidP="000F0458" w:rsidRDefault="00AF72E5" w14:paraId="5EA32967" w14:textId="5F584981">
      <w:pPr>
        <w:pStyle w:val="BodyTextFirstIndent"/>
      </w:pPr>
      <w:bookmarkStart w:name="_DV_M337" w:id="206"/>
      <w:bookmarkEnd w:id="206"/>
      <w:r w:rsidRPr="00B34407">
        <w:t xml:space="preserve">The Authority will interpret the requirements described above so as to comply with the corresponding requirements of Section 143 of the Code and will certify to the Trustee the amounts of Tax Restricted Prepayments and Repayments received and the amount thereof applied to the payment of principal or redemption of the </w:t>
      </w:r>
      <w:r w:rsidR="00C7294C">
        <w:t>2024 Series C</w:t>
      </w:r>
      <w:r w:rsidR="00B4438E">
        <w:t>-1 Bond</w:t>
      </w:r>
      <w:r w:rsidRPr="00B34407" w:rsidR="0089533B">
        <w:t>s</w:t>
      </w:r>
      <w:r w:rsidRPr="00B34407">
        <w:t>.  However, the Authority may avoid any such mandatory redemption from Prepayments and regularly scheduled repayments if the Authority delivers to the Trustee a Bond Counsel</w:t>
      </w:r>
      <w:r w:rsidR="00C34AEA">
        <w:t>’</w:t>
      </w:r>
      <w:r w:rsidRPr="00B34407">
        <w:t xml:space="preserve">s Opinion to the effect that avoidance of such redemption will not adversely affect the excludability of interest on the </w:t>
      </w:r>
      <w:r w:rsidR="00C7294C">
        <w:t>2024 Series C</w:t>
      </w:r>
      <w:r w:rsidRPr="00A8551B" w:rsidR="00B4438E">
        <w:t>-1 Bond</w:t>
      </w:r>
      <w:r w:rsidRPr="00A8551B" w:rsidR="0089533B">
        <w:t>s</w:t>
      </w:r>
      <w:r w:rsidRPr="00B34407">
        <w:t xml:space="preserve"> from gross income for federal tax purposes. </w:t>
      </w:r>
      <w:r w:rsidR="009C4CF6">
        <w:t xml:space="preserve"> </w:t>
      </w:r>
      <w:r w:rsidRPr="00B34407">
        <w:t xml:space="preserve">See </w:t>
      </w:r>
      <w:r w:rsidR="00C34AEA">
        <w:t>“</w:t>
      </w:r>
      <w:r w:rsidRPr="00B34407">
        <w:t>FEDERAL TAX LAW REQUIREMENTS—Redemption</w:t>
      </w:r>
      <w:r w:rsidR="00C34AEA">
        <w:t>”</w:t>
      </w:r>
      <w:r w:rsidRPr="00B34407" w:rsidR="00155809">
        <w:t xml:space="preserve"> herein.</w:t>
      </w:r>
    </w:p>
    <w:p w:rsidRPr="00B34407" w:rsidR="00C27F76" w:rsidP="000F0458" w:rsidRDefault="00C27F76" w14:paraId="04917926" w14:textId="77777777">
      <w:pPr>
        <w:pStyle w:val="aHEADINGSUB"/>
      </w:pPr>
      <w:bookmarkStart w:name="_DV_M338" w:id="207"/>
      <w:bookmarkStart w:name="_Toc212948785" w:id="208"/>
      <w:bookmarkStart w:name="_Toc534620335" w:id="209"/>
      <w:bookmarkStart w:name="_Toc534620445" w:id="210"/>
      <w:bookmarkStart w:name="_Toc534620563" w:id="211"/>
      <w:bookmarkStart w:name="_Toc534620884" w:id="212"/>
      <w:bookmarkStart w:name="_Toc534621115" w:id="213"/>
      <w:bookmarkStart w:name="_Toc172841932" w:id="214"/>
      <w:bookmarkEnd w:id="207"/>
      <w:r w:rsidRPr="00B34407">
        <w:t>Special Optional Redemption</w:t>
      </w:r>
      <w:bookmarkEnd w:id="208"/>
      <w:bookmarkEnd w:id="209"/>
      <w:bookmarkEnd w:id="210"/>
      <w:bookmarkEnd w:id="211"/>
      <w:bookmarkEnd w:id="212"/>
      <w:bookmarkEnd w:id="213"/>
      <w:bookmarkEnd w:id="214"/>
    </w:p>
    <w:p w:rsidR="00635887" w:rsidP="000F0458" w:rsidRDefault="00651CDB" w14:paraId="7AC9FE77" w14:textId="2F430B2B">
      <w:pPr>
        <w:pStyle w:val="BodyTextFirstIndent"/>
      </w:pPr>
      <w:bookmarkStart w:name="_DV_M367" w:id="215"/>
      <w:bookmarkEnd w:id="215"/>
      <w:r>
        <w:t>T</w:t>
      </w:r>
      <w:r w:rsidRPr="00031C21" w:rsidR="00635887">
        <w:t xml:space="preserve">he </w:t>
      </w:r>
      <w:r w:rsidR="00C7294C">
        <w:t>2024 Series C</w:t>
      </w:r>
      <w:r w:rsidR="005B3036">
        <w:t xml:space="preserve"> Bond</w:t>
      </w:r>
      <w:r w:rsidR="006C550F">
        <w:t>s</w:t>
      </w:r>
      <w:r w:rsidR="00D85118">
        <w:t xml:space="preserve"> (except the 2024 Series C-1 Premium Term</w:t>
      </w:r>
      <w:r w:rsidR="00693919">
        <w:t xml:space="preserve"> Bonds prior to January 1, 2033</w:t>
      </w:r>
      <w:r w:rsidR="00D85118">
        <w:t>)</w:t>
      </w:r>
      <w:r w:rsidRPr="00031C21" w:rsidR="00635887">
        <w:t xml:space="preserve"> may be redeemed at any time as a whole or in part o</w:t>
      </w:r>
      <w:r w:rsidR="005725C4">
        <w:t>n</w:t>
      </w:r>
      <w:r w:rsidRPr="00031C21" w:rsidR="00635887">
        <w:t xml:space="preserve"> any date pr</w:t>
      </w:r>
      <w:r w:rsidRPr="00031C21" w:rsidR="00514EAF">
        <w:t>ior to the respective maturities</w:t>
      </w:r>
      <w:r w:rsidRPr="00031C21" w:rsidR="00635887">
        <w:t xml:space="preserve">, as permitted by the Indenture, from amounts on deposit in the Revenue Account in an amount </w:t>
      </w:r>
      <w:r>
        <w:t>up</w:t>
      </w:r>
      <w:r w:rsidRPr="00031C21" w:rsidR="00635887">
        <w:t xml:space="preserve"> to (i) </w:t>
      </w:r>
      <w:r w:rsidRPr="00B34407" w:rsidR="0068559F">
        <w:t xml:space="preserve">Prepayments and repayments of principal on the </w:t>
      </w:r>
      <w:r w:rsidR="00C7294C">
        <w:t>2024 Series C</w:t>
      </w:r>
      <w:r w:rsidR="00C635EB">
        <w:t xml:space="preserve"> Mortgage Loans</w:t>
      </w:r>
      <w:r w:rsidRPr="00031C21" w:rsidDel="0068559F" w:rsidR="0068559F">
        <w:t xml:space="preserve"> </w:t>
      </w:r>
      <w:r w:rsidRPr="00031C21" w:rsidR="00635887">
        <w:t>not applied to</w:t>
      </w:r>
      <w:r w:rsidR="00031C21">
        <w:t xml:space="preserve"> a</w:t>
      </w:r>
      <w:r w:rsidRPr="00031C21" w:rsidR="00635887">
        <w:t xml:space="preserve"> </w:t>
      </w:r>
      <w:r>
        <w:t xml:space="preserve">previous payment at maturity or </w:t>
      </w:r>
      <w:r w:rsidRPr="00031C21" w:rsidR="00635887">
        <w:t xml:space="preserve">redemption of the </w:t>
      </w:r>
      <w:r w:rsidR="00C7294C">
        <w:t>2024 Series C</w:t>
      </w:r>
      <w:r w:rsidR="005B3036">
        <w:t xml:space="preserve"> Bond</w:t>
      </w:r>
      <w:r w:rsidR="006C550F">
        <w:t>s</w:t>
      </w:r>
      <w:r w:rsidRPr="00031C21" w:rsidR="00635887">
        <w:t xml:space="preserve"> at maturity or pursuant to</w:t>
      </w:r>
      <w:r w:rsidRPr="00031C21" w:rsidR="00031C21">
        <w:t xml:space="preserve"> </w:t>
      </w:r>
      <w:r w:rsidR="00031C21">
        <w:t>the</w:t>
      </w:r>
      <w:r w:rsidRPr="00031C21" w:rsidR="00635887">
        <w:t xml:space="preserve"> </w:t>
      </w:r>
      <w:r w:rsidR="00C34AEA">
        <w:t>“</w:t>
      </w:r>
      <w:r w:rsidRPr="00031C21" w:rsidR="00031C21">
        <w:t xml:space="preserve">REDEMPTION OF </w:t>
      </w:r>
      <w:r w:rsidR="00C7294C">
        <w:t xml:space="preserve">2024 </w:t>
      </w:r>
      <w:r w:rsidR="00282BFC">
        <w:t>SERIES</w:t>
      </w:r>
      <w:r w:rsidR="00C7294C">
        <w:t xml:space="preserve"> C</w:t>
      </w:r>
      <w:r w:rsidR="008026E1">
        <w:t xml:space="preserve"> BONDS</w:t>
      </w:r>
      <w:r w:rsidRPr="00031C21" w:rsidR="00031C21">
        <w:t>—</w:t>
      </w:r>
      <w:r w:rsidRPr="00031C21" w:rsidR="00635887">
        <w:t>Redemption from Operation of Sinking Fund Installments</w:t>
      </w:r>
      <w:r w:rsidR="00031C21">
        <w:t>,</w:t>
      </w:r>
      <w:r w:rsidR="00C34AEA">
        <w:t>”</w:t>
      </w:r>
      <w:r w:rsidRPr="00031C21" w:rsidR="00635887">
        <w:t xml:space="preserve"> </w:t>
      </w:r>
      <w:r w:rsidR="00C34AEA">
        <w:t>“</w:t>
      </w:r>
      <w:r w:rsidRPr="00031C21" w:rsidR="00635887">
        <w:t>—Redemption from Prepayments, Repayments and Excess Revenues—</w:t>
      </w:r>
      <w:r w:rsidR="00BF0E15">
        <w:rPr>
          <w:i/>
        </w:rPr>
        <w:t xml:space="preserve">Mandatory Redemption of </w:t>
      </w:r>
      <w:r w:rsidR="00C7294C">
        <w:rPr>
          <w:i/>
        </w:rPr>
        <w:t>2024 Series C</w:t>
      </w:r>
      <w:r w:rsidR="00B4438E">
        <w:rPr>
          <w:i/>
        </w:rPr>
        <w:t>-1 Bond</w:t>
      </w:r>
      <w:r w:rsidRPr="00356422" w:rsidR="00635887">
        <w:rPr>
          <w:i/>
        </w:rPr>
        <w:t>s from Tax Restricted Prepayments and Repayments</w:t>
      </w:r>
      <w:r w:rsidRPr="00031C21" w:rsidR="00635887">
        <w:t>,</w:t>
      </w:r>
      <w:r w:rsidR="00C34AEA">
        <w:t>”</w:t>
      </w:r>
      <w:r w:rsidRPr="00031C21" w:rsidR="00635887">
        <w:t xml:space="preserve">  and </w:t>
      </w:r>
      <w:r w:rsidR="00C34AEA">
        <w:t>“</w:t>
      </w:r>
      <w:r w:rsidRPr="00031C21" w:rsidR="00635887">
        <w:t>—</w:t>
      </w:r>
      <w:r w:rsidRPr="00356422" w:rsidR="00635887">
        <w:rPr>
          <w:i/>
        </w:rPr>
        <w:t>Mandatory Redempt</w:t>
      </w:r>
      <w:r w:rsidRPr="00356422" w:rsidR="001A6733">
        <w:rPr>
          <w:i/>
        </w:rPr>
        <w:t xml:space="preserve">ion of </w:t>
      </w:r>
      <w:r w:rsidR="00A1322C">
        <w:rPr>
          <w:i/>
        </w:rPr>
        <w:t>2024C-2</w:t>
      </w:r>
      <w:r w:rsidR="00A6413E">
        <w:rPr>
          <w:i/>
        </w:rPr>
        <w:t xml:space="preserve"> PAC</w:t>
      </w:r>
      <w:r w:rsidR="00F86774">
        <w:rPr>
          <w:i/>
        </w:rPr>
        <w:t xml:space="preserve"> Bonds</w:t>
      </w:r>
      <w:r w:rsidR="00C34AEA">
        <w:t>”</w:t>
      </w:r>
      <w:r w:rsidRPr="00031C21" w:rsidR="001A6733">
        <w:t xml:space="preserve"> herein,</w:t>
      </w:r>
      <w:r w:rsidR="00356422">
        <w:t xml:space="preserve"> </w:t>
      </w:r>
      <w:r w:rsidRPr="00031C21" w:rsidR="00635887">
        <w:t>(ii)</w:t>
      </w:r>
      <w:r w:rsidR="00356422">
        <w:t xml:space="preserve"> </w:t>
      </w:r>
      <w:r w:rsidRPr="00031C21" w:rsidR="00635887">
        <w:t xml:space="preserve">Excess Revenues attributable to the </w:t>
      </w:r>
      <w:r w:rsidR="00C7294C">
        <w:t>2024 Series C</w:t>
      </w:r>
      <w:r w:rsidR="005B3036">
        <w:t xml:space="preserve"> Bond</w:t>
      </w:r>
      <w:r w:rsidR="006C550F">
        <w:t>s</w:t>
      </w:r>
      <w:r>
        <w:t>,</w:t>
      </w:r>
      <w:r w:rsidRPr="00031C21" w:rsidR="00635887">
        <w:t xml:space="preserve"> </w:t>
      </w:r>
      <w:r w:rsidR="0025598B">
        <w:t xml:space="preserve">and </w:t>
      </w:r>
      <w:r w:rsidRPr="00031C21" w:rsidR="00635887">
        <w:t xml:space="preserve">(iii) Prepayments and </w:t>
      </w:r>
      <w:r w:rsidRPr="004E79DE" w:rsidR="00635887">
        <w:t>repayments of principal and Excess</w:t>
      </w:r>
      <w:r w:rsidRPr="00031C21" w:rsidR="00635887">
        <w:t xml:space="preserve"> Revenues attributable to other Bonds under the Indenture, </w:t>
      </w:r>
      <w:r w:rsidR="004E79DE">
        <w:t xml:space="preserve">to the extent permitted by the Indenture, </w:t>
      </w:r>
      <w:r w:rsidRPr="00031C21" w:rsidR="00635887">
        <w:t xml:space="preserve">whether or not such other Bonds are still outstanding, at a redemption price equal to 100% of the principal amount thereof, plus accrued and unpaid interest thereon to the redemption date. </w:t>
      </w:r>
      <w:r w:rsidR="0041786B">
        <w:t xml:space="preserve"> </w:t>
      </w:r>
      <w:r w:rsidRPr="00031C21" w:rsidR="00635887">
        <w:t xml:space="preserve">The Authority may elect to redeem the </w:t>
      </w:r>
      <w:r w:rsidR="00C7294C">
        <w:t>2024 Series C</w:t>
      </w:r>
      <w:r w:rsidR="005B3036">
        <w:t xml:space="preserve"> Bond</w:t>
      </w:r>
      <w:r w:rsidR="006C550F">
        <w:t>s</w:t>
      </w:r>
      <w:r w:rsidR="006B3305">
        <w:t xml:space="preserve"> </w:t>
      </w:r>
      <w:r w:rsidRPr="00031C21" w:rsidR="00635887">
        <w:t>from such Prepayments</w:t>
      </w:r>
      <w:r w:rsidRPr="004E79DE" w:rsidR="00635887">
        <w:t>, repayments and Excess Revenues</w:t>
      </w:r>
      <w:r w:rsidRPr="004E79DE" w:rsidR="00330572">
        <w:t xml:space="preserve"> by directing the Trustee to transfer amounts representing such Prepayments, repayments and Excess Revenues</w:t>
      </w:r>
      <w:r w:rsidRPr="004E79DE" w:rsidR="00635887">
        <w:t xml:space="preserve"> to the Redemption Account and providing notice of redemption as required under the Indenture. </w:t>
      </w:r>
      <w:r w:rsidR="00F86774">
        <w:t xml:space="preserve"> </w:t>
      </w:r>
      <w:r w:rsidRPr="004E79DE" w:rsidR="00635887">
        <w:t>Such Prepayments, repayments and Excess Revenues deposited in the Redemption Account may</w:t>
      </w:r>
      <w:r w:rsidRPr="00031C21" w:rsidR="00635887">
        <w:t xml:space="preserve"> be applied by the Trustee</w:t>
      </w:r>
      <w:r w:rsidR="004E79DE">
        <w:t xml:space="preserve"> upon the direction of the Authority</w:t>
      </w:r>
      <w:r w:rsidRPr="00031C21" w:rsidR="00635887">
        <w:t xml:space="preserve"> to the redemption of the </w:t>
      </w:r>
      <w:r w:rsidR="00A1322C">
        <w:t>2024C-2</w:t>
      </w:r>
      <w:r w:rsidR="00A6413E">
        <w:t xml:space="preserve"> PAC</w:t>
      </w:r>
      <w:r w:rsidR="00F86774">
        <w:t xml:space="preserve"> Bonds</w:t>
      </w:r>
      <w:r w:rsidRPr="00031C21" w:rsidR="00635887">
        <w:t xml:space="preserve"> but only to the extent the outstanding principal amount of the </w:t>
      </w:r>
      <w:r w:rsidR="00A1322C">
        <w:t>2024C-2</w:t>
      </w:r>
      <w:r w:rsidR="00A6413E">
        <w:t xml:space="preserve"> PAC</w:t>
      </w:r>
      <w:r w:rsidR="00F86774">
        <w:t xml:space="preserve"> Bonds</w:t>
      </w:r>
      <w:r w:rsidRPr="00031C21" w:rsidR="00635887">
        <w:t xml:space="preserve"> following such redemption is not less than the </w:t>
      </w:r>
      <w:r w:rsidR="00A1322C">
        <w:t>2024C-2</w:t>
      </w:r>
      <w:r w:rsidR="00A6413E">
        <w:t xml:space="preserve"> PAC</w:t>
      </w:r>
      <w:r w:rsidR="00F86774">
        <w:t xml:space="preserve"> Bonds</w:t>
      </w:r>
      <w:r w:rsidRPr="00031C21" w:rsidR="00635887">
        <w:t xml:space="preserve"> Applicable </w:t>
      </w:r>
      <w:r w:rsidRPr="000F0458" w:rsidR="00635887">
        <w:t>Outstanding</w:t>
      </w:r>
      <w:r w:rsidRPr="00031C21" w:rsidR="00635887">
        <w:t xml:space="preserve"> Amount set forth in the table above</w:t>
      </w:r>
      <w:r w:rsidR="0015521D">
        <w:t xml:space="preserve"> unless the </w:t>
      </w:r>
      <w:r w:rsidR="00A1322C">
        <w:t>2024C-2</w:t>
      </w:r>
      <w:r w:rsidR="00A6413E">
        <w:t xml:space="preserve"> PAC</w:t>
      </w:r>
      <w:r w:rsidR="00F86774">
        <w:t xml:space="preserve"> Bonds</w:t>
      </w:r>
      <w:r w:rsidR="0015521D">
        <w:t xml:space="preserve"> are the only </w:t>
      </w:r>
      <w:r w:rsidR="00C7294C">
        <w:t>2024 Series C</w:t>
      </w:r>
      <w:r w:rsidR="005B3036">
        <w:t xml:space="preserve"> Bond</w:t>
      </w:r>
      <w:r w:rsidR="006C550F">
        <w:t>s</w:t>
      </w:r>
      <w:r w:rsidR="00862A51">
        <w:t xml:space="preserve"> outstanding</w:t>
      </w:r>
      <w:r w:rsidRPr="00031C21" w:rsidR="00635887">
        <w:t xml:space="preserve">. </w:t>
      </w:r>
      <w:r w:rsidR="009572FA">
        <w:t xml:space="preserve"> </w:t>
      </w:r>
      <w:r w:rsidRPr="00031C21" w:rsidR="00635887">
        <w:t>See</w:t>
      </w:r>
      <w:r w:rsidR="005A7C5A">
        <w:t xml:space="preserve"> </w:t>
      </w:r>
      <w:r w:rsidR="00C34AEA">
        <w:t>“</w:t>
      </w:r>
      <w:r w:rsidRPr="00031C21" w:rsidR="005A7C5A">
        <w:t xml:space="preserve">REDEMPTION OF </w:t>
      </w:r>
      <w:r w:rsidR="00C7294C">
        <w:t xml:space="preserve">2024 </w:t>
      </w:r>
      <w:r w:rsidR="00B5341B">
        <w:t>SERIES</w:t>
      </w:r>
      <w:r w:rsidR="00C7294C">
        <w:t xml:space="preserve"> C</w:t>
      </w:r>
      <w:r w:rsidR="00743BB6">
        <w:t xml:space="preserve"> BONDS</w:t>
      </w:r>
      <w:r w:rsidRPr="00031C21" w:rsidR="005A7C5A">
        <w:t>—Redemption from Prepayments, Repayments and Excess Revenues—</w:t>
      </w:r>
      <w:r w:rsidRPr="005A7C5A" w:rsidR="005A7C5A">
        <w:rPr>
          <w:i/>
        </w:rPr>
        <w:t>Cross Calling and Recycling</w:t>
      </w:r>
      <w:r w:rsidR="00C34AEA">
        <w:t>”</w:t>
      </w:r>
      <w:r w:rsidR="005A7C5A">
        <w:t xml:space="preserve"> herein.</w:t>
      </w:r>
    </w:p>
    <w:p w:rsidRPr="00B34407" w:rsidR="00C27F76" w:rsidP="000F0458" w:rsidRDefault="00C27F76" w14:paraId="70DDFBFA" w14:textId="3A5BD582">
      <w:pPr>
        <w:pStyle w:val="aHEADINGSUB"/>
      </w:pPr>
      <w:bookmarkStart w:name="_DV_M368" w:id="216"/>
      <w:bookmarkStart w:name="_DV_M370" w:id="217"/>
      <w:bookmarkStart w:name="ElPgBr25" w:id="218"/>
      <w:bookmarkStart w:name="_Toc212948787" w:id="219"/>
      <w:bookmarkStart w:name="_Toc534620336" w:id="220"/>
      <w:bookmarkStart w:name="_Toc534620446" w:id="221"/>
      <w:bookmarkStart w:name="_Toc534620564" w:id="222"/>
      <w:bookmarkStart w:name="_Toc534620885" w:id="223"/>
      <w:bookmarkStart w:name="_Toc534621116" w:id="224"/>
      <w:bookmarkStart w:name="_Toc172841933" w:id="225"/>
      <w:bookmarkEnd w:id="216"/>
      <w:bookmarkEnd w:id="217"/>
      <w:bookmarkEnd w:id="218"/>
      <w:r w:rsidRPr="00B34407">
        <w:t xml:space="preserve">Optional Redemption of </w:t>
      </w:r>
      <w:r w:rsidR="00C7294C">
        <w:t>2024 Series C</w:t>
      </w:r>
      <w:r w:rsidR="005B3036">
        <w:t xml:space="preserve"> Bond</w:t>
      </w:r>
      <w:r w:rsidR="006C550F">
        <w:t>s</w:t>
      </w:r>
      <w:bookmarkEnd w:id="219"/>
      <w:bookmarkEnd w:id="220"/>
      <w:bookmarkEnd w:id="221"/>
      <w:bookmarkEnd w:id="222"/>
      <w:bookmarkEnd w:id="223"/>
      <w:bookmarkEnd w:id="224"/>
      <w:bookmarkEnd w:id="225"/>
    </w:p>
    <w:p w:rsidR="00E41621" w:rsidP="000F0458" w:rsidRDefault="00C27F76" w14:paraId="0F18AC52" w14:textId="7CCA9A86">
      <w:pPr>
        <w:pStyle w:val="BodyTextFirstIndent"/>
      </w:pPr>
      <w:bookmarkStart w:name="_DV_M371" w:id="226"/>
      <w:bookmarkEnd w:id="226"/>
      <w:r w:rsidRPr="00B34407">
        <w:t xml:space="preserve">The </w:t>
      </w:r>
      <w:r w:rsidR="00C7294C">
        <w:t>2024 Series C</w:t>
      </w:r>
      <w:r w:rsidR="005B3036">
        <w:t xml:space="preserve"> Bond</w:t>
      </w:r>
      <w:r w:rsidR="006C550F">
        <w:t>s</w:t>
      </w:r>
      <w:r w:rsidR="00E63693">
        <w:t xml:space="preserve"> </w:t>
      </w:r>
      <w:r w:rsidR="001B5A5E">
        <w:t>are</w:t>
      </w:r>
      <w:r w:rsidRPr="00EE4FA0">
        <w:t xml:space="preserve"> subject to redemption prior to maturity at the option of the Authority, at any time on or </w:t>
      </w:r>
      <w:r w:rsidRPr="00481BAC">
        <w:t>after</w:t>
      </w:r>
      <w:r w:rsidRPr="00481BAC" w:rsidR="00EE4FA0">
        <w:t xml:space="preserve"> </w:t>
      </w:r>
      <w:r w:rsidR="001B311A">
        <w:t>January 1, 2033</w:t>
      </w:r>
      <w:r w:rsidRPr="00953CF9">
        <w:rPr>
          <w:sz w:val="16"/>
          <w:szCs w:val="16"/>
        </w:rPr>
        <w:t>,</w:t>
      </w:r>
      <w:r w:rsidRPr="00953CF9" w:rsidR="00727F07">
        <w:t xml:space="preserve"> </w:t>
      </w:r>
      <w:r w:rsidRPr="00953CF9">
        <w:t>either in whole</w:t>
      </w:r>
      <w:r w:rsidRPr="00EE4FA0">
        <w:t xml:space="preserve"> or in part at a redemption price equal to 100% of the principal amount thereof, together with accrued and unpaid</w:t>
      </w:r>
      <w:r w:rsidRPr="00B34407">
        <w:t xml:space="preserve"> interest thereon to the redemption date.</w:t>
      </w:r>
    </w:p>
    <w:p w:rsidR="00C27F76" w:rsidP="00FF282C" w:rsidRDefault="00C27F76" w14:paraId="0E58F446" w14:textId="69BD4527">
      <w:pPr>
        <w:pStyle w:val="BodyTextFirstIndent"/>
      </w:pPr>
      <w:r w:rsidRPr="00B34407">
        <w:lastRenderedPageBreak/>
        <w:t xml:space="preserve">The Indenture requires that the proceeds of any voluntary sale of the Mortgage Loans for the purpose of redeeming any </w:t>
      </w:r>
      <w:r w:rsidR="00C7294C">
        <w:t>2024 Series C</w:t>
      </w:r>
      <w:r w:rsidR="005B3036">
        <w:t xml:space="preserve"> Bond</w:t>
      </w:r>
      <w:r w:rsidR="006C550F">
        <w:t>s</w:t>
      </w:r>
      <w:r w:rsidRPr="00B34407">
        <w:t xml:space="preserve"> may only be used with respect to an optional redemption of the </w:t>
      </w:r>
      <w:r w:rsidR="00C7294C">
        <w:t>2024 Series C</w:t>
      </w:r>
      <w:r w:rsidR="005B3036">
        <w:t xml:space="preserve"> Bond</w:t>
      </w:r>
      <w:r w:rsidR="006C550F">
        <w:t>s</w:t>
      </w:r>
      <w:r w:rsidRPr="00B34407">
        <w:t xml:space="preserve"> as described under this heading.</w:t>
      </w:r>
    </w:p>
    <w:p w:rsidRPr="00B34407" w:rsidR="00AF72E5" w:rsidP="009F7E10" w:rsidRDefault="00AF72E5" w14:paraId="059FE4A5" w14:textId="77777777">
      <w:pPr>
        <w:pStyle w:val="aHEADINGSUB"/>
        <w:widowControl/>
        <w:outlineLvl w:val="1"/>
      </w:pPr>
      <w:bookmarkStart w:name="_DV_M339" w:id="227"/>
      <w:bookmarkStart w:name="_DV_M342" w:id="228"/>
      <w:bookmarkStart w:name="_DV_M345" w:id="229"/>
      <w:bookmarkStart w:name="CrossCalling" w:id="230"/>
      <w:bookmarkStart w:name="_DV_M346" w:id="231"/>
      <w:bookmarkStart w:name="_DV_M348" w:id="232"/>
      <w:bookmarkStart w:name="_DV_M350" w:id="233"/>
      <w:bookmarkStart w:name="_DV_M366" w:id="234"/>
      <w:bookmarkStart w:name="_DV_M375" w:id="235"/>
      <w:bookmarkStart w:name="_Toc212948788" w:id="236"/>
      <w:bookmarkStart w:name="_Toc534620337" w:id="237"/>
      <w:bookmarkStart w:name="_Toc534620447" w:id="238"/>
      <w:bookmarkStart w:name="_Toc534620565" w:id="239"/>
      <w:bookmarkStart w:name="_Toc534620886" w:id="240"/>
      <w:bookmarkStart w:name="_Toc534621117" w:id="241"/>
      <w:bookmarkStart w:name="_Toc172841934" w:id="242"/>
      <w:bookmarkEnd w:id="227"/>
      <w:bookmarkEnd w:id="228"/>
      <w:bookmarkEnd w:id="229"/>
      <w:bookmarkEnd w:id="230"/>
      <w:bookmarkEnd w:id="231"/>
      <w:bookmarkEnd w:id="232"/>
      <w:bookmarkEnd w:id="233"/>
      <w:bookmarkEnd w:id="234"/>
      <w:bookmarkEnd w:id="235"/>
      <w:r w:rsidRPr="00B34407">
        <w:t>Redemption from Operation of Sinking Fund Installments</w:t>
      </w:r>
      <w:bookmarkEnd w:id="236"/>
      <w:bookmarkEnd w:id="237"/>
      <w:bookmarkEnd w:id="238"/>
      <w:bookmarkEnd w:id="239"/>
      <w:bookmarkEnd w:id="240"/>
      <w:bookmarkEnd w:id="241"/>
      <w:bookmarkEnd w:id="242"/>
    </w:p>
    <w:p w:rsidR="00EA3262" w:rsidP="00325AAE" w:rsidRDefault="00AF72E5" w14:paraId="34E5B1C1" w14:textId="4C2F0415">
      <w:pPr>
        <w:pStyle w:val="BodyTextFirstIndent"/>
        <w:spacing w:after="120"/>
      </w:pPr>
      <w:bookmarkStart w:name="_DV_M376" w:id="243"/>
      <w:bookmarkEnd w:id="243"/>
      <w:r w:rsidRPr="00D85118">
        <w:t xml:space="preserve">The </w:t>
      </w:r>
      <w:r w:rsidRPr="00D85118" w:rsidR="00C7294C">
        <w:t>2024 Series C</w:t>
      </w:r>
      <w:r w:rsidRPr="00D85118" w:rsidR="00DF0527">
        <w:t>-1</w:t>
      </w:r>
      <w:r w:rsidRPr="00D85118" w:rsidR="00136D88">
        <w:t xml:space="preserve"> Bond</w:t>
      </w:r>
      <w:r w:rsidRPr="00D85118" w:rsidR="0089533B">
        <w:t>s</w:t>
      </w:r>
      <w:r w:rsidRPr="00D85118" w:rsidR="00614914">
        <w:t xml:space="preserve"> due</w:t>
      </w:r>
      <w:r w:rsidRPr="00D85118" w:rsidR="00873F6B">
        <w:t xml:space="preserve"> July 1, 2039</w:t>
      </w:r>
      <w:r w:rsidRPr="00D85118" w:rsidR="0062778F">
        <w:t xml:space="preserve"> (the </w:t>
      </w:r>
      <w:r w:rsidRPr="00D85118" w:rsidR="00C34AEA">
        <w:t>“</w:t>
      </w:r>
      <w:r w:rsidRPr="00D85118" w:rsidR="00ED5455">
        <w:rPr>
          <w:i/>
        </w:rPr>
        <w:t>20</w:t>
      </w:r>
      <w:r w:rsidRPr="00D85118" w:rsidR="005F2F03">
        <w:rPr>
          <w:i/>
        </w:rPr>
        <w:t>39</w:t>
      </w:r>
      <w:r w:rsidRPr="00D85118" w:rsidR="00AD3F5D">
        <w:rPr>
          <w:i/>
        </w:rPr>
        <w:t xml:space="preserve"> </w:t>
      </w:r>
      <w:r w:rsidRPr="00D85118" w:rsidR="00763372">
        <w:rPr>
          <w:i/>
        </w:rPr>
        <w:t>C-1 Term Bond</w:t>
      </w:r>
      <w:r w:rsidRPr="00D85118" w:rsidR="00ED5455">
        <w:rPr>
          <w:i/>
        </w:rPr>
        <w:t>s</w:t>
      </w:r>
      <w:r w:rsidRPr="00D85118" w:rsidR="00C34AEA">
        <w:t>”</w:t>
      </w:r>
      <w:r w:rsidRPr="00D85118" w:rsidR="0062778F">
        <w:t>)</w:t>
      </w:r>
      <w:r w:rsidRPr="00D85118" w:rsidR="0013516C">
        <w:t>,</w:t>
      </w:r>
      <w:r w:rsidRPr="00D85118">
        <w:t xml:space="preserve"> the </w:t>
      </w:r>
      <w:r w:rsidRPr="00D85118" w:rsidR="00C7294C">
        <w:t>2024 Series C</w:t>
      </w:r>
      <w:r w:rsidRPr="00D85118" w:rsidR="00DF0527">
        <w:t>-1</w:t>
      </w:r>
      <w:r w:rsidRPr="00D85118" w:rsidR="00136D88">
        <w:t xml:space="preserve"> Bond</w:t>
      </w:r>
      <w:r w:rsidRPr="00D85118" w:rsidR="0089533B">
        <w:t>s</w:t>
      </w:r>
      <w:r w:rsidRPr="00D85118" w:rsidR="007C1D6F">
        <w:t xml:space="preserve"> due</w:t>
      </w:r>
      <w:r w:rsidRPr="00D85118" w:rsidR="00A10CF4">
        <w:t xml:space="preserve"> </w:t>
      </w:r>
      <w:r w:rsidRPr="00D85118" w:rsidR="00624B57">
        <w:t>July 1, 2044</w:t>
      </w:r>
      <w:r w:rsidRPr="00D85118" w:rsidR="00FF5B1B">
        <w:t xml:space="preserve"> </w:t>
      </w:r>
      <w:r w:rsidRPr="00D85118" w:rsidR="00A826BB">
        <w:t xml:space="preserve">(the </w:t>
      </w:r>
      <w:r w:rsidRPr="00D85118" w:rsidR="00C34AEA">
        <w:t>“</w:t>
      </w:r>
      <w:r w:rsidRPr="00D85118" w:rsidR="00ED5455">
        <w:rPr>
          <w:i/>
        </w:rPr>
        <w:t>20</w:t>
      </w:r>
      <w:r w:rsidRPr="00D85118" w:rsidR="00624B57">
        <w:rPr>
          <w:i/>
        </w:rPr>
        <w:t>44</w:t>
      </w:r>
      <w:r w:rsidRPr="00D85118" w:rsidR="00AD3F5D">
        <w:rPr>
          <w:i/>
        </w:rPr>
        <w:t xml:space="preserve"> </w:t>
      </w:r>
      <w:r w:rsidRPr="00D85118" w:rsidR="00763372">
        <w:rPr>
          <w:i/>
        </w:rPr>
        <w:t>C-1 Term Bond</w:t>
      </w:r>
      <w:r w:rsidRPr="00D85118" w:rsidR="00ED5455">
        <w:rPr>
          <w:i/>
        </w:rPr>
        <w:t>s</w:t>
      </w:r>
      <w:r w:rsidRPr="00D85118" w:rsidR="00C34AEA">
        <w:t>”</w:t>
      </w:r>
      <w:r w:rsidRPr="00D85118" w:rsidR="003B2594">
        <w:t>)</w:t>
      </w:r>
      <w:r w:rsidRPr="00D85118" w:rsidR="002F5543">
        <w:t>,</w:t>
      </w:r>
      <w:r w:rsidRPr="00D85118" w:rsidR="00F067EA">
        <w:t xml:space="preserve"> the </w:t>
      </w:r>
      <w:r w:rsidRPr="00D85118" w:rsidR="00C7294C">
        <w:t>2024 Series C</w:t>
      </w:r>
      <w:r w:rsidRPr="00D85118" w:rsidR="00DF0527">
        <w:t>-1</w:t>
      </w:r>
      <w:r w:rsidRPr="00D85118" w:rsidR="00F067EA">
        <w:t xml:space="preserve"> Bonds due</w:t>
      </w:r>
      <w:r w:rsidRPr="00D85118" w:rsidR="00000499">
        <w:t xml:space="preserve"> </w:t>
      </w:r>
      <w:r w:rsidRPr="00D85118" w:rsidR="00624B57">
        <w:t>July 1, 2049</w:t>
      </w:r>
      <w:r w:rsidRPr="00D85118" w:rsidR="00F067EA">
        <w:t xml:space="preserve"> (the </w:t>
      </w:r>
      <w:r w:rsidRPr="00D85118" w:rsidR="00C34AEA">
        <w:t>“</w:t>
      </w:r>
      <w:r w:rsidRPr="00D85118" w:rsidR="008169BA">
        <w:rPr>
          <w:i/>
        </w:rPr>
        <w:t>20</w:t>
      </w:r>
      <w:r w:rsidRPr="00D85118" w:rsidR="00624B57">
        <w:rPr>
          <w:i/>
        </w:rPr>
        <w:t>49</w:t>
      </w:r>
      <w:r w:rsidRPr="00D85118" w:rsidR="00AD3F5D">
        <w:rPr>
          <w:i/>
        </w:rPr>
        <w:t xml:space="preserve"> </w:t>
      </w:r>
      <w:r w:rsidRPr="00D85118" w:rsidR="00763372">
        <w:rPr>
          <w:i/>
        </w:rPr>
        <w:t>C-1 Term Bond</w:t>
      </w:r>
      <w:r w:rsidRPr="00D85118" w:rsidR="00404699">
        <w:rPr>
          <w:i/>
        </w:rPr>
        <w:t>s</w:t>
      </w:r>
      <w:r w:rsidRPr="00D85118" w:rsidR="00C34AEA">
        <w:t>”</w:t>
      </w:r>
      <w:r w:rsidRPr="00D85118" w:rsidR="00F067EA">
        <w:t>),</w:t>
      </w:r>
      <w:r w:rsidRPr="00D85118" w:rsidR="00511F37">
        <w:t xml:space="preserve"> </w:t>
      </w:r>
      <w:r w:rsidRPr="00D85118" w:rsidR="00071501">
        <w:t xml:space="preserve">the </w:t>
      </w:r>
      <w:r w:rsidRPr="00D85118" w:rsidR="00C7294C">
        <w:t>2024 Series C</w:t>
      </w:r>
      <w:r w:rsidRPr="00D85118" w:rsidR="00DF0527">
        <w:t>-1</w:t>
      </w:r>
      <w:r w:rsidRPr="00D85118" w:rsidR="00071501">
        <w:t xml:space="preserve"> Bonds due </w:t>
      </w:r>
      <w:r w:rsidRPr="00D85118" w:rsidR="00624B57">
        <w:t>July 1, 2054</w:t>
      </w:r>
      <w:r w:rsidRPr="00D85118" w:rsidR="00071501">
        <w:t xml:space="preserve"> (the </w:t>
      </w:r>
      <w:r w:rsidRPr="00D85118" w:rsidR="00C34AEA">
        <w:t>“</w:t>
      </w:r>
      <w:r w:rsidRPr="00D85118" w:rsidR="008169BA">
        <w:rPr>
          <w:i/>
        </w:rPr>
        <w:t>20</w:t>
      </w:r>
      <w:r w:rsidRPr="00D85118" w:rsidR="00624B57">
        <w:rPr>
          <w:i/>
        </w:rPr>
        <w:t xml:space="preserve">54 </w:t>
      </w:r>
      <w:r w:rsidRPr="00D85118" w:rsidR="00763372">
        <w:rPr>
          <w:i/>
        </w:rPr>
        <w:t>C-1 Term Bond</w:t>
      </w:r>
      <w:r w:rsidRPr="00D85118" w:rsidR="00340B04">
        <w:rPr>
          <w:i/>
        </w:rPr>
        <w:t>s</w:t>
      </w:r>
      <w:r w:rsidRPr="00D85118" w:rsidR="00C34AEA">
        <w:t>”</w:t>
      </w:r>
      <w:r w:rsidRPr="00D85118" w:rsidR="00624B57">
        <w:t xml:space="preserve">), and the </w:t>
      </w:r>
      <w:r w:rsidR="004962F3">
        <w:t xml:space="preserve">2024 Series C-1 </w:t>
      </w:r>
      <w:r w:rsidR="00CC07D3">
        <w:t>Premium</w:t>
      </w:r>
      <w:r w:rsidRPr="00D85118" w:rsidR="00624B57">
        <w:t xml:space="preserve"> </w:t>
      </w:r>
      <w:r w:rsidR="004962F3">
        <w:t xml:space="preserve">Term </w:t>
      </w:r>
      <w:r w:rsidRPr="00D85118" w:rsidR="00624B57">
        <w:t>Bonds (</w:t>
      </w:r>
      <w:r w:rsidRPr="00D85118" w:rsidR="006F5D00">
        <w:t>collectively</w:t>
      </w:r>
      <w:r w:rsidRPr="00D85118" w:rsidR="00475E8D">
        <w:t xml:space="preserve"> with</w:t>
      </w:r>
      <w:r w:rsidRPr="00D85118" w:rsidR="00071501">
        <w:t xml:space="preserve"> </w:t>
      </w:r>
      <w:r w:rsidRPr="00D85118" w:rsidR="00A10CF4">
        <w:t xml:space="preserve">the </w:t>
      </w:r>
      <w:r w:rsidRPr="00D85118" w:rsidR="008169BA">
        <w:t>20</w:t>
      </w:r>
      <w:r w:rsidRPr="00D85118" w:rsidR="00624B57">
        <w:t>39</w:t>
      </w:r>
      <w:r w:rsidRPr="00D85118" w:rsidR="00AD3F5D">
        <w:t xml:space="preserve"> </w:t>
      </w:r>
      <w:r w:rsidRPr="00D85118" w:rsidR="00763372">
        <w:t>C-1 Term Bond</w:t>
      </w:r>
      <w:r w:rsidRPr="00D85118" w:rsidR="00ED5455">
        <w:t>s</w:t>
      </w:r>
      <w:r w:rsidRPr="00D85118" w:rsidR="00F067EA">
        <w:t>,</w:t>
      </w:r>
      <w:r w:rsidRPr="00D85118" w:rsidR="00036620">
        <w:t xml:space="preserve"> </w:t>
      </w:r>
      <w:r w:rsidRPr="00D85118" w:rsidR="00A10CF4">
        <w:t xml:space="preserve">the </w:t>
      </w:r>
      <w:r w:rsidRPr="00D85118" w:rsidR="008169BA">
        <w:t>20</w:t>
      </w:r>
      <w:r w:rsidRPr="00D85118" w:rsidR="00624B57">
        <w:t>44</w:t>
      </w:r>
      <w:r w:rsidRPr="00D85118" w:rsidR="00AD3F5D">
        <w:t xml:space="preserve"> </w:t>
      </w:r>
      <w:r w:rsidRPr="00D85118" w:rsidR="00763372">
        <w:t>C-1 Term Bond</w:t>
      </w:r>
      <w:r w:rsidRPr="00D85118" w:rsidR="00ED5455">
        <w:t>s</w:t>
      </w:r>
      <w:r w:rsidRPr="00D85118" w:rsidR="00034CB4">
        <w:t>,</w:t>
      </w:r>
      <w:r w:rsidRPr="00D85118" w:rsidR="00F067EA">
        <w:t xml:space="preserve"> the </w:t>
      </w:r>
      <w:r w:rsidRPr="00D85118" w:rsidR="008169BA">
        <w:t>20</w:t>
      </w:r>
      <w:r w:rsidRPr="00D85118" w:rsidR="00624B57">
        <w:t>49</w:t>
      </w:r>
      <w:r w:rsidRPr="00D85118" w:rsidR="00AD3F5D">
        <w:t xml:space="preserve"> </w:t>
      </w:r>
      <w:r w:rsidRPr="00D85118" w:rsidR="00763372">
        <w:t>C-1 Term Bond</w:t>
      </w:r>
      <w:r w:rsidRPr="00D85118" w:rsidR="00404699">
        <w:t>s</w:t>
      </w:r>
      <w:r w:rsidRPr="00D85118" w:rsidR="00624B57">
        <w:t>, and the 2054 C-1 Term Bonds</w:t>
      </w:r>
      <w:r w:rsidRPr="00D85118" w:rsidR="00034CB4">
        <w:t xml:space="preserve">, </w:t>
      </w:r>
      <w:r w:rsidRPr="00D85118">
        <w:t xml:space="preserve">the </w:t>
      </w:r>
      <w:r w:rsidRPr="00D85118" w:rsidR="00C34AEA">
        <w:t>“</w:t>
      </w:r>
      <w:r w:rsidRPr="00D85118" w:rsidR="00C7294C">
        <w:rPr>
          <w:i/>
        </w:rPr>
        <w:t>2024 Series C</w:t>
      </w:r>
      <w:r w:rsidRPr="00D85118" w:rsidR="00DF0527">
        <w:rPr>
          <w:i/>
        </w:rPr>
        <w:t>-1</w:t>
      </w:r>
      <w:r w:rsidRPr="00D85118" w:rsidR="00953665">
        <w:rPr>
          <w:i/>
        </w:rPr>
        <w:t xml:space="preserve"> Term Bonds</w:t>
      </w:r>
      <w:r w:rsidRPr="00D85118" w:rsidR="00C34AEA">
        <w:t>”</w:t>
      </w:r>
      <w:r w:rsidRPr="00D85118">
        <w:t xml:space="preserve">), are subject to mandatory redemption in part on </w:t>
      </w:r>
      <w:r w:rsidRPr="00D85118" w:rsidR="0044610D">
        <w:t>January 1</w:t>
      </w:r>
      <w:r w:rsidRPr="00D85118">
        <w:t xml:space="preserve"> and </w:t>
      </w:r>
      <w:r w:rsidRPr="00D85118" w:rsidR="0044610D">
        <w:t>July 1</w:t>
      </w:r>
      <w:r w:rsidRPr="00D85118">
        <w:t xml:space="preserve"> of the respective years shown below at a redemption price equal to 100% of the principal amount of such </w:t>
      </w:r>
      <w:r w:rsidRPr="00D85118" w:rsidR="00C7294C">
        <w:t>2024 Series C</w:t>
      </w:r>
      <w:r w:rsidRPr="00D85118" w:rsidR="00DF0527">
        <w:t>-1</w:t>
      </w:r>
      <w:r w:rsidRPr="00D85118" w:rsidR="00953665">
        <w:t xml:space="preserve"> Term Bonds</w:t>
      </w:r>
      <w:r w:rsidRPr="00D85118">
        <w:t xml:space="preserve"> being redeemed, plus accrued and unpaid interest thereon to the red</w:t>
      </w:r>
      <w:r w:rsidRPr="00D85118" w:rsidR="00712224">
        <w:t xml:space="preserve">emption date (without premium), from mandatory sinking fund payments which are required to be made in amounts sufficient to redeem (or pay at maturity in the case of the final mandatory sinking fund payment) such </w:t>
      </w:r>
      <w:r w:rsidRPr="00D85118" w:rsidR="00C7294C">
        <w:t>2024 Series C</w:t>
      </w:r>
      <w:r w:rsidRPr="00D85118" w:rsidR="00DF0527">
        <w:t>-1</w:t>
      </w:r>
      <w:r w:rsidRPr="00D85118" w:rsidR="00953665">
        <w:t xml:space="preserve"> Term Bonds</w:t>
      </w:r>
      <w:r w:rsidRPr="00D85118" w:rsidR="00712224">
        <w:t xml:space="preserve"> in the principal amounts (or in such lesser principal amount as may result from prior redemption or purchase by the Authority), as follows:</w:t>
      </w: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00AD341A" w:rsidTr="00B70BEF" w14:paraId="1257AFCB" w14:textId="77777777">
        <w:tc>
          <w:tcPr>
            <w:tcW w:w="5310" w:type="dxa"/>
            <w:gridSpan w:val="2"/>
            <w:vAlign w:val="bottom"/>
          </w:tcPr>
          <w:p w:rsidRPr="000F0458" w:rsidR="00AD341A" w:rsidP="00413DD9" w:rsidRDefault="00A10CF4" w14:paraId="14A4D3A2" w14:textId="34D7FD07">
            <w:pPr>
              <w:jc w:val="center"/>
              <w:rPr>
                <w:b/>
              </w:rPr>
            </w:pPr>
            <w:r>
              <w:rPr>
                <w:b/>
              </w:rPr>
              <w:t>$</w:t>
            </w:r>
            <w:r w:rsidR="00E16EE2">
              <w:rPr>
                <w:b/>
              </w:rPr>
              <w:t>2,350,</w:t>
            </w:r>
            <w:r w:rsidR="00D55DCF">
              <w:rPr>
                <w:b/>
              </w:rPr>
              <w:t>000</w:t>
            </w:r>
          </w:p>
        </w:tc>
      </w:tr>
      <w:tr w:rsidR="000F0458" w:rsidTr="00B70BEF" w14:paraId="5E0D8109" w14:textId="77777777">
        <w:tc>
          <w:tcPr>
            <w:tcW w:w="5310" w:type="dxa"/>
            <w:gridSpan w:val="2"/>
            <w:vAlign w:val="bottom"/>
          </w:tcPr>
          <w:p w:rsidRPr="000F0458" w:rsidR="000F0458" w:rsidP="00413DD9" w:rsidRDefault="00D55DCF" w14:paraId="0E25DFF5" w14:textId="6828D158">
            <w:pPr>
              <w:jc w:val="center"/>
              <w:rPr>
                <w:b/>
              </w:rPr>
            </w:pPr>
            <w:r>
              <w:rPr>
                <w:b/>
              </w:rPr>
              <w:t>2039</w:t>
            </w:r>
            <w:r w:rsidR="00134514">
              <w:rPr>
                <w:b/>
              </w:rPr>
              <w:t xml:space="preserve"> </w:t>
            </w:r>
            <w:r w:rsidR="00763372">
              <w:rPr>
                <w:b/>
              </w:rPr>
              <w:t>C-1 Term Bond</w:t>
            </w:r>
            <w:r w:rsidR="00ED5455">
              <w:rPr>
                <w:b/>
              </w:rPr>
              <w:t>s</w:t>
            </w:r>
          </w:p>
        </w:tc>
      </w:tr>
      <w:tr w:rsidR="000F0458" w:rsidTr="00B70BEF" w14:paraId="07273BEE" w14:textId="77777777">
        <w:tc>
          <w:tcPr>
            <w:tcW w:w="2610" w:type="dxa"/>
            <w:vAlign w:val="bottom"/>
          </w:tcPr>
          <w:p w:rsidR="000F0458" w:rsidP="00413DD9" w:rsidRDefault="000F0458" w14:paraId="471C179A" w14:textId="376522A9">
            <w:pPr>
              <w:jc w:val="center"/>
            </w:pPr>
            <w:r w:rsidRPr="000F0458">
              <w:rPr>
                <w:u w:val="single"/>
              </w:rPr>
              <w:t>Date</w:t>
            </w:r>
          </w:p>
        </w:tc>
        <w:tc>
          <w:tcPr>
            <w:tcW w:w="2700" w:type="dxa"/>
            <w:vAlign w:val="bottom"/>
          </w:tcPr>
          <w:p w:rsidR="000F0458" w:rsidP="00413DD9" w:rsidRDefault="000F0458" w14:paraId="1BC246EA" w14:textId="14A69531">
            <w:pPr>
              <w:jc w:val="center"/>
            </w:pPr>
            <w:r w:rsidRPr="000F0458">
              <w:rPr>
                <w:u w:val="single"/>
              </w:rPr>
              <w:t>Amount</w:t>
            </w:r>
          </w:p>
        </w:tc>
      </w:tr>
      <w:tr w:rsidR="00E16EE2" w:rsidTr="00C75F12" w14:paraId="1CDA8306" w14:textId="77777777">
        <w:tc>
          <w:tcPr>
            <w:tcW w:w="2610" w:type="dxa"/>
            <w:vAlign w:val="bottom"/>
          </w:tcPr>
          <w:p w:rsidRPr="00D55DCF" w:rsidR="00E16EE2" w:rsidP="00E16EE2" w:rsidRDefault="00E16EE2" w14:paraId="0D2710FD" w14:textId="28286C34">
            <w:pPr>
              <w:tabs>
                <w:tab w:val="decimal" w:pos="960"/>
              </w:tabs>
              <w:jc w:val="left"/>
            </w:pPr>
            <w:r w:rsidRPr="00D55DCF">
              <w:rPr>
                <w:color w:val="000000"/>
              </w:rPr>
              <w:t>1/1/2037</w:t>
            </w:r>
          </w:p>
        </w:tc>
        <w:tc>
          <w:tcPr>
            <w:tcW w:w="2700" w:type="dxa"/>
            <w:tcBorders>
              <w:top w:val="nil"/>
              <w:left w:val="nil"/>
              <w:bottom w:val="nil"/>
              <w:right w:val="nil"/>
            </w:tcBorders>
            <w:shd w:val="clear" w:color="auto" w:fill="auto"/>
            <w:vAlign w:val="bottom"/>
          </w:tcPr>
          <w:p w:rsidRPr="00E16EE2" w:rsidR="00E16EE2" w:rsidP="00E16EE2" w:rsidRDefault="00E16EE2" w14:paraId="2EC37E8C" w14:textId="3A0592C6">
            <w:pPr>
              <w:tabs>
                <w:tab w:val="decimal" w:pos="1590"/>
              </w:tabs>
              <w:jc w:val="left"/>
            </w:pPr>
            <w:r>
              <w:rPr>
                <w:color w:val="000000"/>
              </w:rPr>
              <w:t>$</w:t>
            </w:r>
            <w:r w:rsidRPr="00E16EE2">
              <w:rPr>
                <w:color w:val="000000"/>
              </w:rPr>
              <w:t>355,000</w:t>
            </w:r>
          </w:p>
        </w:tc>
      </w:tr>
      <w:tr w:rsidR="00E16EE2" w:rsidTr="00C75F12" w14:paraId="02A41907" w14:textId="77777777">
        <w:tc>
          <w:tcPr>
            <w:tcW w:w="2610" w:type="dxa"/>
            <w:vAlign w:val="bottom"/>
          </w:tcPr>
          <w:p w:rsidRPr="00D55DCF" w:rsidR="00E16EE2" w:rsidP="00E16EE2" w:rsidRDefault="00E16EE2" w14:paraId="05E13F92" w14:textId="31CBC95A">
            <w:pPr>
              <w:tabs>
                <w:tab w:val="decimal" w:pos="960"/>
              </w:tabs>
              <w:jc w:val="left"/>
            </w:pPr>
            <w:r w:rsidRPr="00D55DCF">
              <w:rPr>
                <w:color w:val="000000"/>
              </w:rPr>
              <w:t>7/1/2037</w:t>
            </w:r>
          </w:p>
        </w:tc>
        <w:tc>
          <w:tcPr>
            <w:tcW w:w="2700" w:type="dxa"/>
            <w:tcBorders>
              <w:top w:val="nil"/>
              <w:left w:val="nil"/>
              <w:bottom w:val="nil"/>
              <w:right w:val="nil"/>
            </w:tcBorders>
            <w:shd w:val="clear" w:color="auto" w:fill="auto"/>
            <w:vAlign w:val="bottom"/>
          </w:tcPr>
          <w:p w:rsidRPr="00E16EE2" w:rsidR="00E16EE2" w:rsidP="00E16EE2" w:rsidRDefault="00E16EE2" w14:paraId="2D5074F8" w14:textId="6EF69BEE">
            <w:pPr>
              <w:tabs>
                <w:tab w:val="decimal" w:pos="1590"/>
              </w:tabs>
              <w:jc w:val="left"/>
            </w:pPr>
            <w:r w:rsidRPr="00E16EE2">
              <w:rPr>
                <w:color w:val="000000"/>
              </w:rPr>
              <w:t>365,000</w:t>
            </w:r>
          </w:p>
        </w:tc>
      </w:tr>
      <w:tr w:rsidR="00E16EE2" w:rsidTr="00C75F12" w14:paraId="77EAEC99" w14:textId="77777777">
        <w:tc>
          <w:tcPr>
            <w:tcW w:w="2610" w:type="dxa"/>
            <w:vAlign w:val="bottom"/>
          </w:tcPr>
          <w:p w:rsidRPr="00D55DCF" w:rsidR="00E16EE2" w:rsidP="00E16EE2" w:rsidRDefault="00E16EE2" w14:paraId="6E1B3292" w14:textId="71F85FF4">
            <w:pPr>
              <w:tabs>
                <w:tab w:val="decimal" w:pos="960"/>
              </w:tabs>
              <w:jc w:val="left"/>
            </w:pPr>
            <w:r w:rsidRPr="00D55DCF">
              <w:rPr>
                <w:color w:val="000000"/>
              </w:rPr>
              <w:t>1/1/2038</w:t>
            </w:r>
          </w:p>
        </w:tc>
        <w:tc>
          <w:tcPr>
            <w:tcW w:w="2700" w:type="dxa"/>
            <w:tcBorders>
              <w:top w:val="nil"/>
              <w:left w:val="nil"/>
              <w:bottom w:val="nil"/>
              <w:right w:val="nil"/>
            </w:tcBorders>
            <w:shd w:val="clear" w:color="auto" w:fill="auto"/>
            <w:vAlign w:val="bottom"/>
          </w:tcPr>
          <w:p w:rsidRPr="00E16EE2" w:rsidR="00E16EE2" w:rsidP="00E16EE2" w:rsidRDefault="00E16EE2" w14:paraId="24700134" w14:textId="060E2F53">
            <w:pPr>
              <w:tabs>
                <w:tab w:val="decimal" w:pos="1590"/>
              </w:tabs>
              <w:jc w:val="left"/>
            </w:pPr>
            <w:r w:rsidRPr="00E16EE2">
              <w:rPr>
                <w:color w:val="000000"/>
              </w:rPr>
              <w:t>390,000</w:t>
            </w:r>
          </w:p>
        </w:tc>
      </w:tr>
      <w:tr w:rsidR="00E16EE2" w:rsidTr="00C75F12" w14:paraId="165203CB" w14:textId="77777777">
        <w:tc>
          <w:tcPr>
            <w:tcW w:w="2610" w:type="dxa"/>
            <w:vAlign w:val="bottom"/>
          </w:tcPr>
          <w:p w:rsidRPr="00D55DCF" w:rsidR="00E16EE2" w:rsidP="00E16EE2" w:rsidRDefault="00E16EE2" w14:paraId="6BDB5614" w14:textId="608600CF">
            <w:pPr>
              <w:tabs>
                <w:tab w:val="decimal" w:pos="960"/>
              </w:tabs>
              <w:jc w:val="left"/>
            </w:pPr>
            <w:r w:rsidRPr="00D55DCF">
              <w:rPr>
                <w:color w:val="000000"/>
              </w:rPr>
              <w:t>7/1/2038</w:t>
            </w:r>
          </w:p>
        </w:tc>
        <w:tc>
          <w:tcPr>
            <w:tcW w:w="2700" w:type="dxa"/>
            <w:tcBorders>
              <w:top w:val="nil"/>
              <w:left w:val="nil"/>
              <w:bottom w:val="nil"/>
              <w:right w:val="nil"/>
            </w:tcBorders>
            <w:shd w:val="clear" w:color="auto" w:fill="auto"/>
            <w:vAlign w:val="bottom"/>
          </w:tcPr>
          <w:p w:rsidRPr="00E16EE2" w:rsidR="00E16EE2" w:rsidP="00E16EE2" w:rsidRDefault="00E16EE2" w14:paraId="588235AD" w14:textId="79A1EC68">
            <w:pPr>
              <w:tabs>
                <w:tab w:val="decimal" w:pos="1590"/>
              </w:tabs>
              <w:jc w:val="left"/>
            </w:pPr>
            <w:r w:rsidRPr="00E16EE2">
              <w:rPr>
                <w:color w:val="000000"/>
              </w:rPr>
              <w:t>400,000</w:t>
            </w:r>
          </w:p>
        </w:tc>
      </w:tr>
      <w:tr w:rsidR="00E16EE2" w:rsidTr="00C75F12" w14:paraId="77B8DE0E" w14:textId="77777777">
        <w:tc>
          <w:tcPr>
            <w:tcW w:w="2610" w:type="dxa"/>
            <w:vAlign w:val="bottom"/>
          </w:tcPr>
          <w:p w:rsidRPr="00D55DCF" w:rsidR="00E16EE2" w:rsidP="00E16EE2" w:rsidRDefault="00E16EE2" w14:paraId="6EB2A58F" w14:textId="0FD9F811">
            <w:pPr>
              <w:tabs>
                <w:tab w:val="decimal" w:pos="960"/>
              </w:tabs>
              <w:jc w:val="left"/>
            </w:pPr>
            <w:r w:rsidRPr="00D55DCF">
              <w:rPr>
                <w:color w:val="000000"/>
              </w:rPr>
              <w:t>1/1/2039</w:t>
            </w:r>
          </w:p>
        </w:tc>
        <w:tc>
          <w:tcPr>
            <w:tcW w:w="2700" w:type="dxa"/>
            <w:tcBorders>
              <w:top w:val="nil"/>
              <w:left w:val="nil"/>
              <w:bottom w:val="nil"/>
              <w:right w:val="nil"/>
            </w:tcBorders>
            <w:shd w:val="clear" w:color="auto" w:fill="auto"/>
            <w:vAlign w:val="bottom"/>
          </w:tcPr>
          <w:p w:rsidRPr="00E16EE2" w:rsidR="00E16EE2" w:rsidP="00E16EE2" w:rsidRDefault="00E16EE2" w14:paraId="568642AD" w14:textId="51562AC6">
            <w:pPr>
              <w:tabs>
                <w:tab w:val="decimal" w:pos="1590"/>
              </w:tabs>
              <w:jc w:val="left"/>
              <w:rPr>
                <w:color w:val="000000"/>
              </w:rPr>
            </w:pPr>
            <w:r w:rsidRPr="00E16EE2">
              <w:rPr>
                <w:color w:val="000000"/>
              </w:rPr>
              <w:t>415,000</w:t>
            </w:r>
          </w:p>
        </w:tc>
      </w:tr>
      <w:tr w:rsidR="00E16EE2" w:rsidTr="00C75F12" w14:paraId="21430E44" w14:textId="77777777">
        <w:tc>
          <w:tcPr>
            <w:tcW w:w="2610" w:type="dxa"/>
            <w:vAlign w:val="bottom"/>
          </w:tcPr>
          <w:p w:rsidRPr="00D55DCF" w:rsidR="00E16EE2" w:rsidP="00E16EE2" w:rsidRDefault="00E16EE2" w14:paraId="0A2BBEEB" w14:textId="5FDEAE72">
            <w:pPr>
              <w:tabs>
                <w:tab w:val="decimal" w:pos="960"/>
              </w:tabs>
              <w:jc w:val="left"/>
            </w:pPr>
            <w:r w:rsidRPr="00D55DCF">
              <w:rPr>
                <w:color w:val="000000"/>
              </w:rPr>
              <w:t>7/1/2039**</w:t>
            </w:r>
          </w:p>
        </w:tc>
        <w:tc>
          <w:tcPr>
            <w:tcW w:w="2700" w:type="dxa"/>
            <w:tcBorders>
              <w:top w:val="nil"/>
              <w:left w:val="nil"/>
              <w:bottom w:val="nil"/>
              <w:right w:val="nil"/>
            </w:tcBorders>
            <w:shd w:val="clear" w:color="auto" w:fill="auto"/>
            <w:vAlign w:val="bottom"/>
          </w:tcPr>
          <w:p w:rsidRPr="00E16EE2" w:rsidR="00E16EE2" w:rsidP="00E16EE2" w:rsidRDefault="00E16EE2" w14:paraId="4B47EC5A" w14:textId="1AEF2C20">
            <w:pPr>
              <w:tabs>
                <w:tab w:val="decimal" w:pos="1590"/>
              </w:tabs>
              <w:jc w:val="left"/>
              <w:rPr>
                <w:color w:val="000000"/>
              </w:rPr>
            </w:pPr>
            <w:r w:rsidRPr="00E16EE2">
              <w:rPr>
                <w:color w:val="000000"/>
              </w:rPr>
              <w:t>425,000</w:t>
            </w:r>
          </w:p>
        </w:tc>
      </w:tr>
    </w:tbl>
    <w:p w:rsidR="006A6A00" w:rsidP="000F0458" w:rsidRDefault="006B3305" w14:paraId="50C05D95" w14:textId="77777777">
      <w:pPr>
        <w:tabs>
          <w:tab w:val="left" w:pos="2160"/>
        </w:tabs>
      </w:pPr>
      <w:r>
        <w:tab/>
      </w:r>
    </w:p>
    <w:p w:rsidR="00A10CF4" w:rsidP="000F0458" w:rsidRDefault="006A6A00" w14:paraId="21347750" w14:textId="33E4E3BB">
      <w:pPr>
        <w:tabs>
          <w:tab w:val="left" w:pos="2160"/>
        </w:tabs>
      </w:pPr>
      <w:r>
        <w:tab/>
      </w:r>
      <w:r w:rsidR="006B3305">
        <w:t>**Final Maturity</w:t>
      </w:r>
      <w:r w:rsidR="004931F2">
        <w:tab/>
      </w:r>
    </w:p>
    <w:p w:rsidR="000F0458" w:rsidP="000F0458" w:rsidRDefault="00A61763" w14:paraId="0EDD5F6E" w14:textId="361522A8">
      <w:pPr>
        <w:tabs>
          <w:tab w:val="left" w:pos="2160"/>
        </w:tabs>
      </w:pPr>
      <w:r>
        <w:tab/>
      </w:r>
    </w:p>
    <w:p w:rsidR="00197BD0" w:rsidP="000F0458" w:rsidRDefault="00197BD0" w14:paraId="63DF6A03" w14:textId="08335ED4">
      <w:pPr>
        <w:tabs>
          <w:tab w:val="left" w:pos="2160"/>
        </w:tabs>
      </w:pP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00AD341A" w:rsidTr="00B70BEF" w14:paraId="0F8A2E7F" w14:textId="77777777">
        <w:tc>
          <w:tcPr>
            <w:tcW w:w="5310" w:type="dxa"/>
            <w:gridSpan w:val="2"/>
            <w:vAlign w:val="bottom"/>
          </w:tcPr>
          <w:p w:rsidRPr="000F0458" w:rsidR="00AD341A" w:rsidP="007B4F65" w:rsidRDefault="00EF413D" w14:paraId="0CB17961" w14:textId="7E7BC2D8">
            <w:pPr>
              <w:jc w:val="center"/>
              <w:rPr>
                <w:b/>
              </w:rPr>
            </w:pPr>
            <w:r>
              <w:rPr>
                <w:b/>
              </w:rPr>
              <w:t>$</w:t>
            </w:r>
            <w:r w:rsidR="007B4F65">
              <w:rPr>
                <w:b/>
              </w:rPr>
              <w:t>5,000,000</w:t>
            </w:r>
          </w:p>
        </w:tc>
      </w:tr>
      <w:tr w:rsidR="000F0458" w:rsidTr="00B70BEF" w14:paraId="44CD03F5" w14:textId="77777777">
        <w:tc>
          <w:tcPr>
            <w:tcW w:w="5310" w:type="dxa"/>
            <w:gridSpan w:val="2"/>
            <w:vAlign w:val="bottom"/>
          </w:tcPr>
          <w:p w:rsidRPr="000F0458" w:rsidR="000F0458" w:rsidP="00D85118" w:rsidRDefault="008169BA" w14:paraId="2C835127" w14:textId="536218F9">
            <w:pPr>
              <w:jc w:val="center"/>
              <w:rPr>
                <w:b/>
              </w:rPr>
            </w:pPr>
            <w:r w:rsidRPr="008169BA">
              <w:rPr>
                <w:b/>
              </w:rPr>
              <w:t>20</w:t>
            </w:r>
            <w:r w:rsidR="007B4F65">
              <w:rPr>
                <w:b/>
              </w:rPr>
              <w:t>39</w:t>
            </w:r>
            <w:r w:rsidRPr="008169BA">
              <w:rPr>
                <w:b/>
              </w:rPr>
              <w:t xml:space="preserve"> </w:t>
            </w:r>
            <w:r w:rsidR="00763372">
              <w:rPr>
                <w:b/>
              </w:rPr>
              <w:t xml:space="preserve">C-1 </w:t>
            </w:r>
            <w:r w:rsidR="00D85118">
              <w:rPr>
                <w:b/>
              </w:rPr>
              <w:t>Premium Term</w:t>
            </w:r>
            <w:r w:rsidR="007B4F65">
              <w:rPr>
                <w:b/>
              </w:rPr>
              <w:t xml:space="preserve"> </w:t>
            </w:r>
            <w:r w:rsidR="00763372">
              <w:rPr>
                <w:b/>
              </w:rPr>
              <w:t>Bond</w:t>
            </w:r>
            <w:r w:rsidR="00ED5455">
              <w:rPr>
                <w:b/>
              </w:rPr>
              <w:t>s</w:t>
            </w:r>
          </w:p>
        </w:tc>
      </w:tr>
      <w:tr w:rsidR="000F0458" w:rsidTr="00B70BEF" w14:paraId="6E714D70" w14:textId="77777777">
        <w:tc>
          <w:tcPr>
            <w:tcW w:w="2610" w:type="dxa"/>
            <w:vAlign w:val="bottom"/>
          </w:tcPr>
          <w:p w:rsidR="000F0458" w:rsidP="00B7537D" w:rsidRDefault="000F0458" w14:paraId="081DB017" w14:textId="3E294550">
            <w:pPr>
              <w:jc w:val="center"/>
            </w:pPr>
            <w:r w:rsidRPr="000F0458">
              <w:rPr>
                <w:u w:val="single"/>
              </w:rPr>
              <w:t>Date</w:t>
            </w:r>
          </w:p>
        </w:tc>
        <w:tc>
          <w:tcPr>
            <w:tcW w:w="2700" w:type="dxa"/>
            <w:vAlign w:val="bottom"/>
          </w:tcPr>
          <w:p w:rsidR="000F0458" w:rsidP="00AD341A" w:rsidRDefault="000F0458" w14:paraId="75F90CE9" w14:textId="26D7A093">
            <w:pPr>
              <w:jc w:val="center"/>
            </w:pPr>
            <w:r w:rsidRPr="000F0458">
              <w:rPr>
                <w:u w:val="single"/>
              </w:rPr>
              <w:t>Amount</w:t>
            </w:r>
            <w:r w:rsidR="003359D0">
              <w:t xml:space="preserve"> </w:t>
            </w:r>
          </w:p>
        </w:tc>
      </w:tr>
      <w:tr w:rsidR="007B4F65" w:rsidTr="00C75F12" w14:paraId="457A2CE9" w14:textId="77777777">
        <w:tc>
          <w:tcPr>
            <w:tcW w:w="2610" w:type="dxa"/>
            <w:vAlign w:val="bottom"/>
          </w:tcPr>
          <w:p w:rsidRPr="007B4F65" w:rsidR="007B4F65" w:rsidP="007B4F65" w:rsidRDefault="007B4F65" w14:paraId="5F1E9916" w14:textId="4968E935">
            <w:pPr>
              <w:tabs>
                <w:tab w:val="decimal" w:pos="870"/>
              </w:tabs>
              <w:jc w:val="left"/>
            </w:pPr>
            <w:r w:rsidRPr="007B4F65">
              <w:rPr>
                <w:color w:val="000000"/>
              </w:rPr>
              <w:t>1/1/2037</w:t>
            </w:r>
          </w:p>
        </w:tc>
        <w:tc>
          <w:tcPr>
            <w:tcW w:w="2700" w:type="dxa"/>
            <w:tcBorders>
              <w:top w:val="nil"/>
              <w:left w:val="nil"/>
              <w:bottom w:val="nil"/>
              <w:right w:val="nil"/>
            </w:tcBorders>
            <w:shd w:val="clear" w:color="auto" w:fill="auto"/>
            <w:vAlign w:val="bottom"/>
          </w:tcPr>
          <w:p w:rsidRPr="007B4F65" w:rsidR="007B4F65" w:rsidP="007B4F65" w:rsidRDefault="007B4F65" w14:paraId="33E3CE9D" w14:textId="084EBD1F">
            <w:pPr>
              <w:pStyle w:val="E-mailSignature"/>
              <w:tabs>
                <w:tab w:val="decimal" w:pos="1590"/>
              </w:tabs>
            </w:pPr>
            <w:r>
              <w:rPr>
                <w:color w:val="000000"/>
              </w:rPr>
              <w:t>$</w:t>
            </w:r>
            <w:r w:rsidRPr="007B4F65">
              <w:rPr>
                <w:color w:val="000000"/>
              </w:rPr>
              <w:t>760,000</w:t>
            </w:r>
          </w:p>
        </w:tc>
      </w:tr>
      <w:tr w:rsidR="007B4F65" w:rsidTr="00C75F12" w14:paraId="5F7A6D27" w14:textId="77777777">
        <w:tc>
          <w:tcPr>
            <w:tcW w:w="2610" w:type="dxa"/>
            <w:vAlign w:val="bottom"/>
          </w:tcPr>
          <w:p w:rsidRPr="007B4F65" w:rsidR="007B4F65" w:rsidP="007B4F65" w:rsidRDefault="007B4F65" w14:paraId="6232FFDF" w14:textId="58C77CAE">
            <w:pPr>
              <w:tabs>
                <w:tab w:val="decimal" w:pos="870"/>
              </w:tabs>
              <w:jc w:val="left"/>
            </w:pPr>
            <w:r w:rsidRPr="007B4F65">
              <w:rPr>
                <w:color w:val="000000"/>
              </w:rPr>
              <w:t>7/1/2037</w:t>
            </w:r>
          </w:p>
        </w:tc>
        <w:tc>
          <w:tcPr>
            <w:tcW w:w="2700" w:type="dxa"/>
            <w:tcBorders>
              <w:top w:val="nil"/>
              <w:left w:val="nil"/>
              <w:bottom w:val="nil"/>
              <w:right w:val="nil"/>
            </w:tcBorders>
            <w:shd w:val="clear" w:color="auto" w:fill="auto"/>
            <w:vAlign w:val="bottom"/>
          </w:tcPr>
          <w:p w:rsidRPr="007B4F65" w:rsidR="007B4F65" w:rsidP="007B4F65" w:rsidRDefault="007B4F65" w14:paraId="598F09DE" w14:textId="43E89D63">
            <w:pPr>
              <w:tabs>
                <w:tab w:val="decimal" w:pos="1590"/>
              </w:tabs>
              <w:jc w:val="left"/>
            </w:pPr>
            <w:r w:rsidRPr="007B4F65">
              <w:rPr>
                <w:color w:val="000000"/>
              </w:rPr>
              <w:t>790,000</w:t>
            </w:r>
          </w:p>
        </w:tc>
      </w:tr>
      <w:tr w:rsidR="007B4F65" w:rsidTr="00C75F12" w14:paraId="56C63F33" w14:textId="77777777">
        <w:tc>
          <w:tcPr>
            <w:tcW w:w="2610" w:type="dxa"/>
            <w:vAlign w:val="bottom"/>
          </w:tcPr>
          <w:p w:rsidRPr="007B4F65" w:rsidR="007B4F65" w:rsidP="007B4F65" w:rsidRDefault="007B4F65" w14:paraId="76BA5365" w14:textId="780704A9">
            <w:pPr>
              <w:tabs>
                <w:tab w:val="decimal" w:pos="870"/>
              </w:tabs>
              <w:jc w:val="left"/>
            </w:pPr>
            <w:r w:rsidRPr="007B4F65">
              <w:rPr>
                <w:color w:val="000000"/>
              </w:rPr>
              <w:t>1/1/2038</w:t>
            </w:r>
          </w:p>
        </w:tc>
        <w:tc>
          <w:tcPr>
            <w:tcW w:w="2700" w:type="dxa"/>
            <w:tcBorders>
              <w:top w:val="nil"/>
              <w:left w:val="nil"/>
              <w:bottom w:val="nil"/>
              <w:right w:val="nil"/>
            </w:tcBorders>
            <w:shd w:val="clear" w:color="auto" w:fill="auto"/>
            <w:vAlign w:val="bottom"/>
          </w:tcPr>
          <w:p w:rsidRPr="007B4F65" w:rsidR="007B4F65" w:rsidP="007B4F65" w:rsidRDefault="007B4F65" w14:paraId="651E4EE9" w14:textId="4DEAAD31">
            <w:pPr>
              <w:tabs>
                <w:tab w:val="decimal" w:pos="1590"/>
              </w:tabs>
              <w:jc w:val="left"/>
            </w:pPr>
            <w:r w:rsidRPr="007B4F65">
              <w:rPr>
                <w:color w:val="000000"/>
              </w:rPr>
              <w:t>815,000</w:t>
            </w:r>
          </w:p>
        </w:tc>
      </w:tr>
      <w:tr w:rsidR="007B4F65" w:rsidTr="00C75F12" w14:paraId="41022361" w14:textId="77777777">
        <w:tc>
          <w:tcPr>
            <w:tcW w:w="2610" w:type="dxa"/>
            <w:vAlign w:val="bottom"/>
          </w:tcPr>
          <w:p w:rsidRPr="007B4F65" w:rsidR="007B4F65" w:rsidP="007B4F65" w:rsidRDefault="007B4F65" w14:paraId="0E73595A" w14:textId="404AC559">
            <w:pPr>
              <w:tabs>
                <w:tab w:val="decimal" w:pos="870"/>
              </w:tabs>
              <w:jc w:val="left"/>
            </w:pPr>
            <w:r w:rsidRPr="007B4F65">
              <w:rPr>
                <w:color w:val="000000"/>
              </w:rPr>
              <w:t>7/1/2038</w:t>
            </w:r>
          </w:p>
        </w:tc>
        <w:tc>
          <w:tcPr>
            <w:tcW w:w="2700" w:type="dxa"/>
            <w:tcBorders>
              <w:top w:val="nil"/>
              <w:left w:val="nil"/>
              <w:bottom w:val="nil"/>
              <w:right w:val="nil"/>
            </w:tcBorders>
            <w:shd w:val="clear" w:color="auto" w:fill="auto"/>
            <w:vAlign w:val="bottom"/>
          </w:tcPr>
          <w:p w:rsidRPr="007B4F65" w:rsidR="007B4F65" w:rsidP="007B4F65" w:rsidRDefault="007B4F65" w14:paraId="7A3792A8" w14:textId="3F02FC8E">
            <w:pPr>
              <w:tabs>
                <w:tab w:val="decimal" w:pos="1590"/>
              </w:tabs>
              <w:jc w:val="left"/>
            </w:pPr>
            <w:r w:rsidRPr="007B4F65">
              <w:rPr>
                <w:color w:val="000000"/>
              </w:rPr>
              <w:t>845,000</w:t>
            </w:r>
          </w:p>
        </w:tc>
      </w:tr>
      <w:tr w:rsidR="007B4F65" w:rsidTr="00C75F12" w14:paraId="6EBC57BC" w14:textId="77777777">
        <w:tc>
          <w:tcPr>
            <w:tcW w:w="2610" w:type="dxa"/>
            <w:vAlign w:val="bottom"/>
          </w:tcPr>
          <w:p w:rsidRPr="007B4F65" w:rsidR="007B4F65" w:rsidP="007B4F65" w:rsidRDefault="007B4F65" w14:paraId="6B9C442C" w14:textId="0F81CE36">
            <w:pPr>
              <w:tabs>
                <w:tab w:val="decimal" w:pos="870"/>
              </w:tabs>
              <w:jc w:val="left"/>
            </w:pPr>
            <w:r w:rsidRPr="007B4F65">
              <w:rPr>
                <w:color w:val="000000"/>
              </w:rPr>
              <w:t>1/1/2039</w:t>
            </w:r>
          </w:p>
        </w:tc>
        <w:tc>
          <w:tcPr>
            <w:tcW w:w="2700" w:type="dxa"/>
            <w:tcBorders>
              <w:top w:val="nil"/>
              <w:left w:val="nil"/>
              <w:bottom w:val="nil"/>
              <w:right w:val="nil"/>
            </w:tcBorders>
            <w:shd w:val="clear" w:color="auto" w:fill="auto"/>
            <w:vAlign w:val="bottom"/>
          </w:tcPr>
          <w:p w:rsidRPr="007B4F65" w:rsidR="007B4F65" w:rsidP="007B4F65" w:rsidRDefault="007B4F65" w14:paraId="64F038B5" w14:textId="709F9F90">
            <w:pPr>
              <w:tabs>
                <w:tab w:val="decimal" w:pos="1590"/>
              </w:tabs>
              <w:jc w:val="left"/>
            </w:pPr>
            <w:r w:rsidRPr="007B4F65">
              <w:rPr>
                <w:color w:val="000000"/>
              </w:rPr>
              <w:t>880,000</w:t>
            </w:r>
          </w:p>
        </w:tc>
      </w:tr>
      <w:tr w:rsidR="007B4F65" w:rsidTr="00C75F12" w14:paraId="6F200CC1" w14:textId="77777777">
        <w:tc>
          <w:tcPr>
            <w:tcW w:w="2610" w:type="dxa"/>
            <w:vAlign w:val="bottom"/>
          </w:tcPr>
          <w:p w:rsidRPr="007B4F65" w:rsidR="007B4F65" w:rsidP="007B4F65" w:rsidRDefault="007B4F65" w14:paraId="2B6C100D" w14:textId="3388ED9D">
            <w:pPr>
              <w:tabs>
                <w:tab w:val="decimal" w:pos="870"/>
              </w:tabs>
              <w:jc w:val="left"/>
            </w:pPr>
            <w:r w:rsidRPr="007B4F65">
              <w:rPr>
                <w:color w:val="000000"/>
              </w:rPr>
              <w:t>7/1/2039**</w:t>
            </w:r>
          </w:p>
        </w:tc>
        <w:tc>
          <w:tcPr>
            <w:tcW w:w="2700" w:type="dxa"/>
            <w:tcBorders>
              <w:top w:val="nil"/>
              <w:left w:val="nil"/>
              <w:bottom w:val="nil"/>
              <w:right w:val="nil"/>
            </w:tcBorders>
            <w:shd w:val="clear" w:color="auto" w:fill="auto"/>
            <w:vAlign w:val="bottom"/>
          </w:tcPr>
          <w:p w:rsidRPr="007B4F65" w:rsidR="007B4F65" w:rsidP="007B4F65" w:rsidRDefault="007B4F65" w14:paraId="6BB08D0D" w14:textId="36B93832">
            <w:pPr>
              <w:tabs>
                <w:tab w:val="decimal" w:pos="1590"/>
              </w:tabs>
              <w:jc w:val="left"/>
            </w:pPr>
            <w:r w:rsidRPr="007B4F65">
              <w:rPr>
                <w:color w:val="000000"/>
              </w:rPr>
              <w:t>910,000</w:t>
            </w:r>
          </w:p>
        </w:tc>
      </w:tr>
    </w:tbl>
    <w:p w:rsidR="002B462C" w:rsidP="000F0458" w:rsidRDefault="00A61763" w14:paraId="02859FAD" w14:textId="77777777">
      <w:pPr>
        <w:tabs>
          <w:tab w:val="left" w:pos="2160"/>
        </w:tabs>
      </w:pPr>
      <w:r>
        <w:tab/>
      </w:r>
    </w:p>
    <w:p w:rsidR="00EF413D" w:rsidP="000F0458" w:rsidRDefault="002B462C" w14:paraId="4E2C0C1F" w14:textId="196331B4">
      <w:pPr>
        <w:tabs>
          <w:tab w:val="left" w:pos="2160"/>
        </w:tabs>
      </w:pPr>
      <w:r>
        <w:tab/>
      </w:r>
      <w:r w:rsidR="00B70BEF">
        <w:t>**Final Maturity</w:t>
      </w:r>
    </w:p>
    <w:p w:rsidR="002D3B40" w:rsidP="000F0458" w:rsidRDefault="002D3B40" w14:paraId="0D7678BF" w14:textId="77777777">
      <w:pPr>
        <w:tabs>
          <w:tab w:val="left" w:pos="2160"/>
        </w:tabs>
      </w:pPr>
    </w:p>
    <w:p w:rsidR="00464813" w:rsidP="000F0458" w:rsidRDefault="00464813" w14:paraId="54E66F0B" w14:textId="77777777">
      <w:pPr>
        <w:tabs>
          <w:tab w:val="left" w:pos="2160"/>
        </w:tabs>
      </w:pP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00460D19" w:rsidTr="00045607" w14:paraId="217E6AF8" w14:textId="77777777">
        <w:tc>
          <w:tcPr>
            <w:tcW w:w="5310" w:type="dxa"/>
            <w:gridSpan w:val="2"/>
            <w:vAlign w:val="bottom"/>
          </w:tcPr>
          <w:p w:rsidR="00E26FDD" w:rsidP="00C75F12" w:rsidRDefault="00C967C5" w14:paraId="66785E78" w14:textId="77777777">
            <w:pPr>
              <w:jc w:val="center"/>
            </w:pPr>
            <w:r>
              <w:br w:type="page"/>
            </w:r>
          </w:p>
          <w:p w:rsidRPr="000F0458" w:rsidR="00460D19" w:rsidP="00E16EE2" w:rsidRDefault="00460D19" w14:paraId="71BAACA7" w14:textId="60BD0CEF">
            <w:pPr>
              <w:jc w:val="center"/>
              <w:rPr>
                <w:b/>
              </w:rPr>
            </w:pPr>
            <w:r>
              <w:rPr>
                <w:b/>
              </w:rPr>
              <w:t>$</w:t>
            </w:r>
            <w:r w:rsidR="00E16EE2">
              <w:rPr>
                <w:b/>
              </w:rPr>
              <w:t>10</w:t>
            </w:r>
            <w:r w:rsidR="007B4F65">
              <w:rPr>
                <w:b/>
              </w:rPr>
              <w:t>,155,000</w:t>
            </w:r>
          </w:p>
        </w:tc>
      </w:tr>
      <w:tr w:rsidR="00460D19" w:rsidTr="00045607" w14:paraId="1E6AFDD8" w14:textId="77777777">
        <w:tc>
          <w:tcPr>
            <w:tcW w:w="5310" w:type="dxa"/>
            <w:gridSpan w:val="2"/>
            <w:vAlign w:val="bottom"/>
          </w:tcPr>
          <w:p w:rsidRPr="000F0458" w:rsidR="00460D19" w:rsidP="002D7A4F" w:rsidRDefault="008169BA" w14:paraId="09DA7FF1" w14:textId="708FA91D">
            <w:pPr>
              <w:jc w:val="center"/>
              <w:rPr>
                <w:b/>
              </w:rPr>
            </w:pPr>
            <w:bookmarkStart w:name="ElPgBr26" w:id="244"/>
            <w:bookmarkEnd w:id="244"/>
            <w:r>
              <w:rPr>
                <w:b/>
              </w:rPr>
              <w:t>20</w:t>
            </w:r>
            <w:r w:rsidR="007B4F65">
              <w:rPr>
                <w:b/>
              </w:rPr>
              <w:t>44</w:t>
            </w:r>
            <w:r w:rsidR="00134514">
              <w:rPr>
                <w:b/>
              </w:rPr>
              <w:t xml:space="preserve"> </w:t>
            </w:r>
            <w:r w:rsidR="00763372">
              <w:rPr>
                <w:b/>
              </w:rPr>
              <w:t>C-1 Term Bond</w:t>
            </w:r>
            <w:r w:rsidR="00404699">
              <w:rPr>
                <w:b/>
              </w:rPr>
              <w:t>s</w:t>
            </w:r>
          </w:p>
        </w:tc>
      </w:tr>
      <w:tr w:rsidR="00460D19" w:rsidTr="00045607" w14:paraId="22BB824D" w14:textId="77777777">
        <w:tc>
          <w:tcPr>
            <w:tcW w:w="2610" w:type="dxa"/>
            <w:vAlign w:val="bottom"/>
          </w:tcPr>
          <w:p w:rsidR="00460D19" w:rsidP="00045607" w:rsidRDefault="00460D19" w14:paraId="09991147" w14:textId="58FBAFA3">
            <w:pPr>
              <w:jc w:val="center"/>
            </w:pPr>
            <w:r w:rsidRPr="000F0458">
              <w:rPr>
                <w:u w:val="single"/>
              </w:rPr>
              <w:t>Date</w:t>
            </w:r>
          </w:p>
        </w:tc>
        <w:tc>
          <w:tcPr>
            <w:tcW w:w="2700" w:type="dxa"/>
            <w:vAlign w:val="bottom"/>
          </w:tcPr>
          <w:p w:rsidR="00460D19" w:rsidP="00045607" w:rsidRDefault="00460D19" w14:paraId="5038810C" w14:textId="45662394">
            <w:pPr>
              <w:jc w:val="center"/>
            </w:pPr>
            <w:r w:rsidRPr="000F0458">
              <w:rPr>
                <w:u w:val="single"/>
              </w:rPr>
              <w:t>Amount</w:t>
            </w:r>
            <w:r>
              <w:t xml:space="preserve"> </w:t>
            </w:r>
          </w:p>
        </w:tc>
      </w:tr>
      <w:tr w:rsidR="00E16EE2" w:rsidTr="00C75F12" w14:paraId="61CBE129" w14:textId="77777777">
        <w:tc>
          <w:tcPr>
            <w:tcW w:w="2610" w:type="dxa"/>
            <w:vAlign w:val="bottom"/>
          </w:tcPr>
          <w:p w:rsidRPr="007B4F65" w:rsidR="00E16EE2" w:rsidP="00E16EE2" w:rsidRDefault="00E16EE2" w14:paraId="0E828EC1" w14:textId="44491D08">
            <w:pPr>
              <w:tabs>
                <w:tab w:val="decimal" w:pos="870"/>
              </w:tabs>
              <w:jc w:val="left"/>
            </w:pPr>
            <w:r w:rsidRPr="007B4F65">
              <w:rPr>
                <w:color w:val="000000"/>
              </w:rPr>
              <w:t>1/1/2040</w:t>
            </w:r>
          </w:p>
        </w:tc>
        <w:tc>
          <w:tcPr>
            <w:tcW w:w="2700" w:type="dxa"/>
            <w:tcBorders>
              <w:top w:val="nil"/>
              <w:left w:val="nil"/>
              <w:bottom w:val="nil"/>
              <w:right w:val="nil"/>
            </w:tcBorders>
            <w:shd w:val="clear" w:color="auto" w:fill="auto"/>
            <w:vAlign w:val="bottom"/>
          </w:tcPr>
          <w:p w:rsidRPr="00E16EE2" w:rsidR="00E16EE2" w:rsidP="00E16EE2" w:rsidRDefault="00E16EE2" w14:paraId="41AB403B" w14:textId="3CBB613E">
            <w:pPr>
              <w:pStyle w:val="E-mailSignature"/>
              <w:tabs>
                <w:tab w:val="decimal" w:pos="1590"/>
              </w:tabs>
            </w:pPr>
            <w:r>
              <w:rPr>
                <w:color w:val="000000"/>
              </w:rPr>
              <w:t>$</w:t>
            </w:r>
            <w:r w:rsidRPr="00E16EE2">
              <w:rPr>
                <w:color w:val="000000"/>
              </w:rPr>
              <w:t>855,000</w:t>
            </w:r>
          </w:p>
        </w:tc>
      </w:tr>
      <w:tr w:rsidR="00E16EE2" w:rsidTr="00C75F12" w14:paraId="7342465F" w14:textId="77777777">
        <w:tc>
          <w:tcPr>
            <w:tcW w:w="2610" w:type="dxa"/>
            <w:vAlign w:val="bottom"/>
          </w:tcPr>
          <w:p w:rsidRPr="007B4F65" w:rsidR="00E16EE2" w:rsidP="00E16EE2" w:rsidRDefault="00E16EE2" w14:paraId="6589D7E8" w14:textId="43EB9CB7">
            <w:pPr>
              <w:tabs>
                <w:tab w:val="decimal" w:pos="870"/>
              </w:tabs>
              <w:jc w:val="left"/>
            </w:pPr>
            <w:r w:rsidRPr="007B4F65">
              <w:rPr>
                <w:color w:val="000000"/>
              </w:rPr>
              <w:t>7/1/2040</w:t>
            </w:r>
          </w:p>
        </w:tc>
        <w:tc>
          <w:tcPr>
            <w:tcW w:w="2700" w:type="dxa"/>
            <w:tcBorders>
              <w:top w:val="nil"/>
              <w:left w:val="nil"/>
              <w:bottom w:val="nil"/>
              <w:right w:val="nil"/>
            </w:tcBorders>
            <w:shd w:val="clear" w:color="auto" w:fill="auto"/>
            <w:vAlign w:val="bottom"/>
          </w:tcPr>
          <w:p w:rsidRPr="00E16EE2" w:rsidR="00E16EE2" w:rsidP="00E16EE2" w:rsidRDefault="00E16EE2" w14:paraId="742CBC57" w14:textId="75AAC8EE">
            <w:pPr>
              <w:pStyle w:val="E-mailSignature"/>
              <w:tabs>
                <w:tab w:val="decimal" w:pos="1590"/>
              </w:tabs>
            </w:pPr>
            <w:r w:rsidRPr="00E16EE2">
              <w:rPr>
                <w:color w:val="000000"/>
              </w:rPr>
              <w:t>890,000</w:t>
            </w:r>
          </w:p>
        </w:tc>
      </w:tr>
      <w:tr w:rsidR="00E16EE2" w:rsidTr="00C75F12" w14:paraId="1E0060A3" w14:textId="77777777">
        <w:tc>
          <w:tcPr>
            <w:tcW w:w="2610" w:type="dxa"/>
            <w:vAlign w:val="bottom"/>
          </w:tcPr>
          <w:p w:rsidRPr="007B4F65" w:rsidR="00E16EE2" w:rsidP="00E16EE2" w:rsidRDefault="00E16EE2" w14:paraId="50929296" w14:textId="40E7E608">
            <w:pPr>
              <w:tabs>
                <w:tab w:val="decimal" w:pos="870"/>
              </w:tabs>
              <w:jc w:val="left"/>
            </w:pPr>
            <w:r w:rsidRPr="007B4F65">
              <w:rPr>
                <w:color w:val="000000"/>
              </w:rPr>
              <w:t>1/1/2041</w:t>
            </w:r>
          </w:p>
        </w:tc>
        <w:tc>
          <w:tcPr>
            <w:tcW w:w="2700" w:type="dxa"/>
            <w:tcBorders>
              <w:top w:val="nil"/>
              <w:left w:val="nil"/>
              <w:bottom w:val="nil"/>
              <w:right w:val="nil"/>
            </w:tcBorders>
            <w:shd w:val="clear" w:color="auto" w:fill="auto"/>
            <w:vAlign w:val="bottom"/>
          </w:tcPr>
          <w:p w:rsidRPr="00E16EE2" w:rsidR="00E16EE2" w:rsidP="00E16EE2" w:rsidRDefault="00E16EE2" w14:paraId="220E69DF" w14:textId="672AE5C7">
            <w:pPr>
              <w:tabs>
                <w:tab w:val="decimal" w:pos="1590"/>
              </w:tabs>
              <w:jc w:val="left"/>
            </w:pPr>
            <w:r w:rsidRPr="00E16EE2">
              <w:rPr>
                <w:color w:val="000000"/>
              </w:rPr>
              <w:t>925,000</w:t>
            </w:r>
          </w:p>
        </w:tc>
      </w:tr>
      <w:tr w:rsidR="00E16EE2" w:rsidTr="00C75F12" w14:paraId="1FE513EC" w14:textId="77777777">
        <w:tc>
          <w:tcPr>
            <w:tcW w:w="2610" w:type="dxa"/>
            <w:vAlign w:val="bottom"/>
          </w:tcPr>
          <w:p w:rsidRPr="007B4F65" w:rsidR="00E16EE2" w:rsidP="00E16EE2" w:rsidRDefault="00E16EE2" w14:paraId="0F8811C7" w14:textId="1B709AAC">
            <w:pPr>
              <w:tabs>
                <w:tab w:val="decimal" w:pos="870"/>
              </w:tabs>
              <w:jc w:val="left"/>
            </w:pPr>
            <w:r w:rsidRPr="007B4F65">
              <w:rPr>
                <w:color w:val="000000"/>
              </w:rPr>
              <w:t>7/1/2041</w:t>
            </w:r>
          </w:p>
        </w:tc>
        <w:tc>
          <w:tcPr>
            <w:tcW w:w="2700" w:type="dxa"/>
            <w:tcBorders>
              <w:top w:val="nil"/>
              <w:left w:val="nil"/>
              <w:bottom w:val="nil"/>
              <w:right w:val="nil"/>
            </w:tcBorders>
            <w:shd w:val="clear" w:color="auto" w:fill="auto"/>
            <w:vAlign w:val="bottom"/>
          </w:tcPr>
          <w:p w:rsidRPr="00E16EE2" w:rsidR="00E16EE2" w:rsidP="00E16EE2" w:rsidRDefault="00E16EE2" w14:paraId="721EBA7C" w14:textId="5B8A9174">
            <w:pPr>
              <w:tabs>
                <w:tab w:val="decimal" w:pos="1590"/>
              </w:tabs>
              <w:jc w:val="left"/>
            </w:pPr>
            <w:r w:rsidRPr="00E16EE2">
              <w:rPr>
                <w:color w:val="000000"/>
              </w:rPr>
              <w:t>955,000</w:t>
            </w:r>
          </w:p>
        </w:tc>
      </w:tr>
      <w:tr w:rsidR="00E16EE2" w:rsidTr="00C75F12" w14:paraId="716E956D" w14:textId="77777777">
        <w:tc>
          <w:tcPr>
            <w:tcW w:w="2610" w:type="dxa"/>
            <w:vAlign w:val="bottom"/>
          </w:tcPr>
          <w:p w:rsidRPr="007B4F65" w:rsidR="00E16EE2" w:rsidP="00E16EE2" w:rsidRDefault="00E16EE2" w14:paraId="3239F55D" w14:textId="49EA8330">
            <w:pPr>
              <w:tabs>
                <w:tab w:val="decimal" w:pos="870"/>
              </w:tabs>
              <w:jc w:val="left"/>
            </w:pPr>
            <w:r w:rsidRPr="007B4F65">
              <w:rPr>
                <w:color w:val="000000"/>
              </w:rPr>
              <w:t>1/1/2042</w:t>
            </w:r>
          </w:p>
        </w:tc>
        <w:tc>
          <w:tcPr>
            <w:tcW w:w="2700" w:type="dxa"/>
            <w:tcBorders>
              <w:top w:val="nil"/>
              <w:left w:val="nil"/>
              <w:bottom w:val="nil"/>
              <w:right w:val="nil"/>
            </w:tcBorders>
            <w:shd w:val="clear" w:color="auto" w:fill="auto"/>
            <w:vAlign w:val="bottom"/>
          </w:tcPr>
          <w:p w:rsidRPr="00E16EE2" w:rsidR="00E16EE2" w:rsidP="00E16EE2" w:rsidRDefault="00E16EE2" w14:paraId="7486C633" w14:textId="50D0D3F0">
            <w:pPr>
              <w:tabs>
                <w:tab w:val="decimal" w:pos="1590"/>
              </w:tabs>
              <w:jc w:val="left"/>
            </w:pPr>
            <w:r w:rsidRPr="00E16EE2">
              <w:rPr>
                <w:color w:val="000000"/>
              </w:rPr>
              <w:t>995,000</w:t>
            </w:r>
          </w:p>
        </w:tc>
      </w:tr>
      <w:tr w:rsidR="00E16EE2" w:rsidTr="00C75F12" w14:paraId="091DC251" w14:textId="77777777">
        <w:tc>
          <w:tcPr>
            <w:tcW w:w="2610" w:type="dxa"/>
            <w:vAlign w:val="bottom"/>
          </w:tcPr>
          <w:p w:rsidRPr="007B4F65" w:rsidR="00E16EE2" w:rsidP="00E16EE2" w:rsidRDefault="00E16EE2" w14:paraId="3A675D06" w14:textId="44B7A5F3">
            <w:pPr>
              <w:tabs>
                <w:tab w:val="decimal" w:pos="870"/>
              </w:tabs>
              <w:jc w:val="left"/>
            </w:pPr>
            <w:r w:rsidRPr="007B4F65">
              <w:rPr>
                <w:color w:val="000000"/>
              </w:rPr>
              <w:t>7/1/2042</w:t>
            </w:r>
          </w:p>
        </w:tc>
        <w:tc>
          <w:tcPr>
            <w:tcW w:w="2700" w:type="dxa"/>
            <w:tcBorders>
              <w:top w:val="nil"/>
              <w:left w:val="nil"/>
              <w:bottom w:val="nil"/>
              <w:right w:val="nil"/>
            </w:tcBorders>
            <w:shd w:val="clear" w:color="auto" w:fill="auto"/>
            <w:vAlign w:val="bottom"/>
          </w:tcPr>
          <w:p w:rsidRPr="00E16EE2" w:rsidR="00E16EE2" w:rsidP="00E16EE2" w:rsidRDefault="00E16EE2" w14:paraId="2A6894B6" w14:textId="47757740">
            <w:pPr>
              <w:tabs>
                <w:tab w:val="decimal" w:pos="1590"/>
              </w:tabs>
              <w:jc w:val="left"/>
            </w:pPr>
            <w:r w:rsidRPr="00E16EE2">
              <w:rPr>
                <w:color w:val="000000"/>
              </w:rPr>
              <w:t>1,025,000</w:t>
            </w:r>
          </w:p>
        </w:tc>
      </w:tr>
      <w:tr w:rsidR="00E16EE2" w:rsidTr="00C75F12" w14:paraId="333E7260" w14:textId="77777777">
        <w:tc>
          <w:tcPr>
            <w:tcW w:w="2610" w:type="dxa"/>
            <w:vAlign w:val="bottom"/>
          </w:tcPr>
          <w:p w:rsidRPr="007B4F65" w:rsidR="00E16EE2" w:rsidP="00E16EE2" w:rsidRDefault="00E16EE2" w14:paraId="279F94E0" w14:textId="54662920">
            <w:pPr>
              <w:tabs>
                <w:tab w:val="decimal" w:pos="870"/>
              </w:tabs>
              <w:jc w:val="left"/>
            </w:pPr>
            <w:r w:rsidRPr="007B4F65">
              <w:rPr>
                <w:color w:val="000000"/>
              </w:rPr>
              <w:t>1/1/2043</w:t>
            </w:r>
          </w:p>
        </w:tc>
        <w:tc>
          <w:tcPr>
            <w:tcW w:w="2700" w:type="dxa"/>
            <w:tcBorders>
              <w:top w:val="nil"/>
              <w:left w:val="nil"/>
              <w:bottom w:val="nil"/>
              <w:right w:val="nil"/>
            </w:tcBorders>
            <w:shd w:val="clear" w:color="auto" w:fill="auto"/>
            <w:vAlign w:val="bottom"/>
          </w:tcPr>
          <w:p w:rsidRPr="00E16EE2" w:rsidR="00E16EE2" w:rsidP="00E16EE2" w:rsidRDefault="00E16EE2" w14:paraId="301F1391" w14:textId="633849DB">
            <w:pPr>
              <w:tabs>
                <w:tab w:val="decimal" w:pos="1590"/>
              </w:tabs>
              <w:jc w:val="left"/>
            </w:pPr>
            <w:r w:rsidRPr="00E16EE2">
              <w:rPr>
                <w:color w:val="000000"/>
              </w:rPr>
              <w:t>1,065,000</w:t>
            </w:r>
          </w:p>
        </w:tc>
      </w:tr>
      <w:tr w:rsidR="00E16EE2" w:rsidTr="00C75F12" w14:paraId="12528C85" w14:textId="77777777">
        <w:tc>
          <w:tcPr>
            <w:tcW w:w="2610" w:type="dxa"/>
            <w:vAlign w:val="bottom"/>
          </w:tcPr>
          <w:p w:rsidRPr="007B4F65" w:rsidR="00E16EE2" w:rsidP="00E16EE2" w:rsidRDefault="00E16EE2" w14:paraId="7DB69866" w14:textId="6E44A643">
            <w:pPr>
              <w:tabs>
                <w:tab w:val="decimal" w:pos="870"/>
              </w:tabs>
              <w:jc w:val="left"/>
            </w:pPr>
            <w:r w:rsidRPr="007B4F65">
              <w:rPr>
                <w:color w:val="000000"/>
              </w:rPr>
              <w:t>7/1/2043</w:t>
            </w:r>
          </w:p>
        </w:tc>
        <w:tc>
          <w:tcPr>
            <w:tcW w:w="2700" w:type="dxa"/>
            <w:tcBorders>
              <w:top w:val="nil"/>
              <w:left w:val="nil"/>
              <w:bottom w:val="nil"/>
              <w:right w:val="nil"/>
            </w:tcBorders>
            <w:shd w:val="clear" w:color="auto" w:fill="auto"/>
            <w:vAlign w:val="bottom"/>
          </w:tcPr>
          <w:p w:rsidRPr="00E16EE2" w:rsidR="00E16EE2" w:rsidP="00E16EE2" w:rsidRDefault="00E16EE2" w14:paraId="610184DA" w14:textId="2F0BCC1B">
            <w:pPr>
              <w:tabs>
                <w:tab w:val="decimal" w:pos="1590"/>
              </w:tabs>
              <w:jc w:val="left"/>
            </w:pPr>
            <w:r w:rsidRPr="00E16EE2">
              <w:rPr>
                <w:color w:val="000000"/>
              </w:rPr>
              <w:t>1,100,000</w:t>
            </w:r>
          </w:p>
        </w:tc>
      </w:tr>
      <w:tr w:rsidR="00E16EE2" w:rsidTr="00C75F12" w14:paraId="2845157F" w14:textId="77777777">
        <w:tc>
          <w:tcPr>
            <w:tcW w:w="2610" w:type="dxa"/>
            <w:vAlign w:val="bottom"/>
          </w:tcPr>
          <w:p w:rsidRPr="007B4F65" w:rsidR="00E16EE2" w:rsidP="00E16EE2" w:rsidRDefault="00E16EE2" w14:paraId="03E57E52" w14:textId="5AAB38EC">
            <w:pPr>
              <w:tabs>
                <w:tab w:val="decimal" w:pos="870"/>
              </w:tabs>
              <w:jc w:val="left"/>
            </w:pPr>
            <w:r w:rsidRPr="007B4F65">
              <w:rPr>
                <w:color w:val="000000"/>
              </w:rPr>
              <w:lastRenderedPageBreak/>
              <w:t>1/1/2044</w:t>
            </w:r>
          </w:p>
        </w:tc>
        <w:tc>
          <w:tcPr>
            <w:tcW w:w="2700" w:type="dxa"/>
            <w:tcBorders>
              <w:top w:val="nil"/>
              <w:left w:val="nil"/>
              <w:bottom w:val="nil"/>
              <w:right w:val="nil"/>
            </w:tcBorders>
            <w:shd w:val="clear" w:color="auto" w:fill="auto"/>
            <w:vAlign w:val="bottom"/>
          </w:tcPr>
          <w:p w:rsidRPr="00E16EE2" w:rsidR="00E16EE2" w:rsidP="00E16EE2" w:rsidRDefault="00E16EE2" w14:paraId="162BC584" w14:textId="48B3A22E">
            <w:pPr>
              <w:tabs>
                <w:tab w:val="decimal" w:pos="1590"/>
              </w:tabs>
              <w:jc w:val="left"/>
            </w:pPr>
            <w:r w:rsidRPr="00E16EE2">
              <w:rPr>
                <w:color w:val="000000"/>
              </w:rPr>
              <w:t>1,155,000</w:t>
            </w:r>
          </w:p>
        </w:tc>
      </w:tr>
      <w:tr w:rsidR="00E16EE2" w:rsidTr="00C75F12" w14:paraId="29A2A11B" w14:textId="77777777">
        <w:tc>
          <w:tcPr>
            <w:tcW w:w="2610" w:type="dxa"/>
            <w:vAlign w:val="bottom"/>
          </w:tcPr>
          <w:p w:rsidRPr="007B4F65" w:rsidR="00E16EE2" w:rsidP="00E16EE2" w:rsidRDefault="00E16EE2" w14:paraId="12376992" w14:textId="2AC6FC32">
            <w:pPr>
              <w:tabs>
                <w:tab w:val="decimal" w:pos="870"/>
              </w:tabs>
              <w:jc w:val="left"/>
            </w:pPr>
            <w:r w:rsidRPr="007B4F65">
              <w:rPr>
                <w:color w:val="000000"/>
              </w:rPr>
              <w:t>7/1/2044</w:t>
            </w:r>
            <w:r>
              <w:rPr>
                <w:color w:val="000000"/>
              </w:rPr>
              <w:t>**</w:t>
            </w:r>
          </w:p>
        </w:tc>
        <w:tc>
          <w:tcPr>
            <w:tcW w:w="2700" w:type="dxa"/>
            <w:tcBorders>
              <w:top w:val="nil"/>
              <w:left w:val="nil"/>
              <w:bottom w:val="nil"/>
              <w:right w:val="nil"/>
            </w:tcBorders>
            <w:shd w:val="clear" w:color="auto" w:fill="auto"/>
            <w:vAlign w:val="bottom"/>
          </w:tcPr>
          <w:p w:rsidRPr="00E16EE2" w:rsidR="00E16EE2" w:rsidP="00E16EE2" w:rsidRDefault="00E16EE2" w14:paraId="72D9D3E3" w14:textId="732B939D">
            <w:pPr>
              <w:tabs>
                <w:tab w:val="decimal" w:pos="1590"/>
              </w:tabs>
              <w:jc w:val="left"/>
              <w:rPr>
                <w:color w:val="000000"/>
              </w:rPr>
            </w:pPr>
            <w:r w:rsidRPr="00E16EE2">
              <w:rPr>
                <w:color w:val="000000"/>
              </w:rPr>
              <w:t>1,190,000</w:t>
            </w:r>
          </w:p>
        </w:tc>
      </w:tr>
    </w:tbl>
    <w:p w:rsidR="00460D19" w:rsidP="000F0458" w:rsidRDefault="00460D19" w14:paraId="7F0400AB" w14:textId="06656D8D">
      <w:pPr>
        <w:tabs>
          <w:tab w:val="left" w:pos="2160"/>
        </w:tabs>
      </w:pPr>
    </w:p>
    <w:p w:rsidR="00475883" w:rsidP="00460D19" w:rsidRDefault="00460D19" w14:paraId="23DF0CD2" w14:textId="652A778A">
      <w:pPr>
        <w:tabs>
          <w:tab w:val="left" w:pos="2160"/>
        </w:tabs>
      </w:pPr>
      <w:r>
        <w:tab/>
        <w:t>**Final Maturity</w:t>
      </w:r>
    </w:p>
    <w:p w:rsidR="0062004C" w:rsidP="00460D19" w:rsidRDefault="0062004C" w14:paraId="2938DC26" w14:textId="2AE8A445">
      <w:pPr>
        <w:tabs>
          <w:tab w:val="left" w:pos="2160"/>
        </w:tabs>
      </w:pP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007148B9" w:rsidTr="00C72F88" w14:paraId="08FA79A8" w14:textId="77777777">
        <w:tc>
          <w:tcPr>
            <w:tcW w:w="5310" w:type="dxa"/>
            <w:gridSpan w:val="2"/>
            <w:vAlign w:val="bottom"/>
          </w:tcPr>
          <w:p w:rsidRPr="000F0458" w:rsidR="007148B9" w:rsidP="00E16EE2" w:rsidRDefault="007148B9" w14:paraId="275BD4AB" w14:textId="0C4DD9E5">
            <w:pPr>
              <w:jc w:val="center"/>
              <w:rPr>
                <w:b/>
              </w:rPr>
            </w:pPr>
            <w:r>
              <w:br w:type="page"/>
            </w:r>
            <w:r>
              <w:rPr>
                <w:b/>
              </w:rPr>
              <w:t>$</w:t>
            </w:r>
            <w:r w:rsidR="00E16EE2">
              <w:rPr>
                <w:b/>
              </w:rPr>
              <w:t>5</w:t>
            </w:r>
            <w:r w:rsidR="007B4F65">
              <w:rPr>
                <w:b/>
              </w:rPr>
              <w:t>,000,000</w:t>
            </w:r>
          </w:p>
        </w:tc>
      </w:tr>
      <w:tr w:rsidR="007148B9" w:rsidTr="00C72F88" w14:paraId="5539484F" w14:textId="77777777">
        <w:tc>
          <w:tcPr>
            <w:tcW w:w="5310" w:type="dxa"/>
            <w:gridSpan w:val="2"/>
            <w:vAlign w:val="bottom"/>
          </w:tcPr>
          <w:p w:rsidRPr="000F0458" w:rsidR="007148B9" w:rsidP="00D85118" w:rsidRDefault="004C4C28" w14:paraId="0C19CF7B" w14:textId="13270F93">
            <w:pPr>
              <w:jc w:val="center"/>
              <w:rPr>
                <w:b/>
              </w:rPr>
            </w:pPr>
            <w:r>
              <w:rPr>
                <w:b/>
              </w:rPr>
              <w:t>20</w:t>
            </w:r>
            <w:r w:rsidR="007B4F65">
              <w:rPr>
                <w:b/>
              </w:rPr>
              <w:t xml:space="preserve">44 C-1 </w:t>
            </w:r>
            <w:r w:rsidR="00D85118">
              <w:rPr>
                <w:b/>
              </w:rPr>
              <w:t>Premium Term</w:t>
            </w:r>
            <w:r w:rsidR="00763372">
              <w:rPr>
                <w:b/>
              </w:rPr>
              <w:t xml:space="preserve"> Bond</w:t>
            </w:r>
            <w:r w:rsidR="00340B04">
              <w:rPr>
                <w:b/>
              </w:rPr>
              <w:t>s</w:t>
            </w:r>
          </w:p>
        </w:tc>
      </w:tr>
      <w:tr w:rsidR="007148B9" w:rsidTr="00C72F88" w14:paraId="7200A28F" w14:textId="77777777">
        <w:tc>
          <w:tcPr>
            <w:tcW w:w="2610" w:type="dxa"/>
            <w:vAlign w:val="bottom"/>
          </w:tcPr>
          <w:p w:rsidR="007148B9" w:rsidP="00C72F88" w:rsidRDefault="007148B9" w14:paraId="1197DDC0" w14:textId="55D1EEF4">
            <w:pPr>
              <w:jc w:val="center"/>
            </w:pPr>
            <w:r w:rsidRPr="000F0458">
              <w:rPr>
                <w:u w:val="single"/>
              </w:rPr>
              <w:t>Date</w:t>
            </w:r>
          </w:p>
        </w:tc>
        <w:tc>
          <w:tcPr>
            <w:tcW w:w="2700" w:type="dxa"/>
            <w:vAlign w:val="bottom"/>
          </w:tcPr>
          <w:p w:rsidR="007148B9" w:rsidP="00C72F88" w:rsidRDefault="007148B9" w14:paraId="0A22BEDC" w14:textId="17596752">
            <w:pPr>
              <w:jc w:val="center"/>
            </w:pPr>
            <w:r w:rsidRPr="000F0458">
              <w:rPr>
                <w:u w:val="single"/>
              </w:rPr>
              <w:t>Amount</w:t>
            </w:r>
            <w:r>
              <w:t xml:space="preserve"> </w:t>
            </w:r>
          </w:p>
        </w:tc>
      </w:tr>
      <w:tr w:rsidR="00E16EE2" w:rsidTr="00C75F12" w14:paraId="0CD45A73" w14:textId="77777777">
        <w:tc>
          <w:tcPr>
            <w:tcW w:w="2610" w:type="dxa"/>
            <w:tcBorders>
              <w:top w:val="nil"/>
              <w:left w:val="nil"/>
              <w:bottom w:val="nil"/>
              <w:right w:val="nil"/>
            </w:tcBorders>
            <w:shd w:val="clear" w:color="auto" w:fill="auto"/>
            <w:vAlign w:val="bottom"/>
          </w:tcPr>
          <w:p w:rsidRPr="007B4F65" w:rsidR="00E16EE2" w:rsidP="00E16EE2" w:rsidRDefault="00E16EE2" w14:paraId="1D694156" w14:textId="25D9D4A3">
            <w:pPr>
              <w:tabs>
                <w:tab w:val="decimal" w:pos="870"/>
              </w:tabs>
              <w:jc w:val="left"/>
            </w:pPr>
            <w:r w:rsidRPr="007B4F65">
              <w:rPr>
                <w:color w:val="000000"/>
              </w:rPr>
              <w:t>1/1/2040</w:t>
            </w:r>
          </w:p>
        </w:tc>
        <w:tc>
          <w:tcPr>
            <w:tcW w:w="2700" w:type="dxa"/>
            <w:tcBorders>
              <w:top w:val="nil"/>
              <w:left w:val="nil"/>
              <w:bottom w:val="nil"/>
              <w:right w:val="nil"/>
            </w:tcBorders>
            <w:shd w:val="clear" w:color="auto" w:fill="auto"/>
            <w:vAlign w:val="bottom"/>
          </w:tcPr>
          <w:p w:rsidRPr="00E16EE2" w:rsidR="00E16EE2" w:rsidP="00E16EE2" w:rsidRDefault="00E16EE2" w14:paraId="69FC3D9B" w14:textId="7C0970CE">
            <w:pPr>
              <w:tabs>
                <w:tab w:val="decimal" w:pos="1590"/>
              </w:tabs>
              <w:jc w:val="left"/>
              <w:rPr>
                <w:u w:val="single"/>
              </w:rPr>
            </w:pPr>
            <w:r>
              <w:rPr>
                <w:color w:val="000000"/>
              </w:rPr>
              <w:t>$</w:t>
            </w:r>
            <w:r w:rsidRPr="00E16EE2">
              <w:rPr>
                <w:color w:val="000000"/>
              </w:rPr>
              <w:t>425,000</w:t>
            </w:r>
          </w:p>
        </w:tc>
      </w:tr>
      <w:tr w:rsidR="00E16EE2" w:rsidTr="00C75F12" w14:paraId="1DF89CA0" w14:textId="77777777">
        <w:tc>
          <w:tcPr>
            <w:tcW w:w="2610" w:type="dxa"/>
            <w:tcBorders>
              <w:top w:val="nil"/>
              <w:left w:val="nil"/>
              <w:bottom w:val="nil"/>
              <w:right w:val="nil"/>
            </w:tcBorders>
            <w:shd w:val="clear" w:color="auto" w:fill="auto"/>
            <w:vAlign w:val="bottom"/>
          </w:tcPr>
          <w:p w:rsidRPr="007B4F65" w:rsidR="00E16EE2" w:rsidP="00E16EE2" w:rsidRDefault="00E16EE2" w14:paraId="499E99E9" w14:textId="30BF3E18">
            <w:pPr>
              <w:tabs>
                <w:tab w:val="decimal" w:pos="870"/>
              </w:tabs>
              <w:jc w:val="left"/>
            </w:pPr>
            <w:r w:rsidRPr="007B4F65">
              <w:rPr>
                <w:color w:val="000000"/>
              </w:rPr>
              <w:t>7/1/2040</w:t>
            </w:r>
          </w:p>
        </w:tc>
        <w:tc>
          <w:tcPr>
            <w:tcW w:w="2700" w:type="dxa"/>
            <w:tcBorders>
              <w:top w:val="nil"/>
              <w:left w:val="nil"/>
              <w:bottom w:val="nil"/>
              <w:right w:val="nil"/>
            </w:tcBorders>
            <w:shd w:val="clear" w:color="auto" w:fill="auto"/>
            <w:vAlign w:val="bottom"/>
          </w:tcPr>
          <w:p w:rsidRPr="00E16EE2" w:rsidR="00E16EE2" w:rsidP="00E16EE2" w:rsidRDefault="00E16EE2" w14:paraId="648358F5" w14:textId="1E612188">
            <w:pPr>
              <w:tabs>
                <w:tab w:val="decimal" w:pos="1590"/>
              </w:tabs>
              <w:jc w:val="left"/>
            </w:pPr>
            <w:r w:rsidRPr="00E16EE2">
              <w:rPr>
                <w:color w:val="000000"/>
              </w:rPr>
              <w:t>440,000</w:t>
            </w:r>
          </w:p>
        </w:tc>
      </w:tr>
      <w:tr w:rsidR="00E16EE2" w:rsidTr="00C75F12" w14:paraId="67AB5D59" w14:textId="77777777">
        <w:tc>
          <w:tcPr>
            <w:tcW w:w="2610" w:type="dxa"/>
            <w:tcBorders>
              <w:top w:val="nil"/>
              <w:left w:val="nil"/>
              <w:bottom w:val="nil"/>
              <w:right w:val="nil"/>
            </w:tcBorders>
            <w:shd w:val="clear" w:color="auto" w:fill="auto"/>
            <w:vAlign w:val="bottom"/>
          </w:tcPr>
          <w:p w:rsidRPr="007B4F65" w:rsidR="00E16EE2" w:rsidP="00E16EE2" w:rsidRDefault="00E16EE2" w14:paraId="659D75FF" w14:textId="33BDE022">
            <w:pPr>
              <w:tabs>
                <w:tab w:val="decimal" w:pos="870"/>
              </w:tabs>
              <w:jc w:val="left"/>
            </w:pPr>
            <w:r w:rsidRPr="007B4F65">
              <w:rPr>
                <w:color w:val="000000"/>
              </w:rPr>
              <w:t>1/1/2041</w:t>
            </w:r>
          </w:p>
        </w:tc>
        <w:tc>
          <w:tcPr>
            <w:tcW w:w="2700" w:type="dxa"/>
            <w:tcBorders>
              <w:top w:val="nil"/>
              <w:left w:val="nil"/>
              <w:bottom w:val="nil"/>
              <w:right w:val="nil"/>
            </w:tcBorders>
            <w:shd w:val="clear" w:color="auto" w:fill="auto"/>
            <w:vAlign w:val="bottom"/>
          </w:tcPr>
          <w:p w:rsidRPr="00E16EE2" w:rsidR="00E16EE2" w:rsidP="00E16EE2" w:rsidRDefault="00E16EE2" w14:paraId="64C4A99A" w14:textId="1062DEE7">
            <w:pPr>
              <w:tabs>
                <w:tab w:val="decimal" w:pos="1590"/>
              </w:tabs>
              <w:jc w:val="left"/>
            </w:pPr>
            <w:r w:rsidRPr="00E16EE2">
              <w:rPr>
                <w:color w:val="000000"/>
              </w:rPr>
              <w:t>455,000</w:t>
            </w:r>
          </w:p>
        </w:tc>
      </w:tr>
      <w:tr w:rsidR="00E16EE2" w:rsidTr="00C75F12" w14:paraId="62D08ADA" w14:textId="77777777">
        <w:tc>
          <w:tcPr>
            <w:tcW w:w="2610" w:type="dxa"/>
            <w:tcBorders>
              <w:top w:val="nil"/>
              <w:left w:val="nil"/>
              <w:bottom w:val="nil"/>
              <w:right w:val="nil"/>
            </w:tcBorders>
            <w:shd w:val="clear" w:color="auto" w:fill="auto"/>
            <w:vAlign w:val="bottom"/>
          </w:tcPr>
          <w:p w:rsidRPr="007B4F65" w:rsidR="00E16EE2" w:rsidP="00E16EE2" w:rsidRDefault="00E16EE2" w14:paraId="3FAED72F" w14:textId="164C41C9">
            <w:pPr>
              <w:tabs>
                <w:tab w:val="decimal" w:pos="870"/>
              </w:tabs>
              <w:jc w:val="left"/>
            </w:pPr>
            <w:r w:rsidRPr="007B4F65">
              <w:rPr>
                <w:color w:val="000000"/>
              </w:rPr>
              <w:t>7/1/2041</w:t>
            </w:r>
          </w:p>
        </w:tc>
        <w:tc>
          <w:tcPr>
            <w:tcW w:w="2700" w:type="dxa"/>
            <w:tcBorders>
              <w:top w:val="nil"/>
              <w:left w:val="nil"/>
              <w:bottom w:val="nil"/>
              <w:right w:val="nil"/>
            </w:tcBorders>
            <w:shd w:val="clear" w:color="auto" w:fill="auto"/>
            <w:vAlign w:val="bottom"/>
          </w:tcPr>
          <w:p w:rsidRPr="00E16EE2" w:rsidR="00E16EE2" w:rsidP="00E16EE2" w:rsidRDefault="00E16EE2" w14:paraId="3181FCEB" w14:textId="7FD883DA">
            <w:pPr>
              <w:tabs>
                <w:tab w:val="decimal" w:pos="1590"/>
              </w:tabs>
              <w:jc w:val="left"/>
            </w:pPr>
            <w:r w:rsidRPr="00E16EE2">
              <w:rPr>
                <w:color w:val="000000"/>
              </w:rPr>
              <w:t>470,000</w:t>
            </w:r>
          </w:p>
        </w:tc>
      </w:tr>
      <w:tr w:rsidR="00E16EE2" w:rsidTr="00C75F12" w14:paraId="1904AB73" w14:textId="77777777">
        <w:tc>
          <w:tcPr>
            <w:tcW w:w="2610" w:type="dxa"/>
            <w:tcBorders>
              <w:top w:val="nil"/>
              <w:left w:val="nil"/>
              <w:bottom w:val="nil"/>
              <w:right w:val="nil"/>
            </w:tcBorders>
            <w:shd w:val="clear" w:color="auto" w:fill="auto"/>
            <w:vAlign w:val="bottom"/>
          </w:tcPr>
          <w:p w:rsidRPr="007B4F65" w:rsidR="00E16EE2" w:rsidP="00E16EE2" w:rsidRDefault="00E16EE2" w14:paraId="194EE10D" w14:textId="06846FCC">
            <w:pPr>
              <w:tabs>
                <w:tab w:val="decimal" w:pos="870"/>
              </w:tabs>
              <w:jc w:val="left"/>
            </w:pPr>
            <w:r w:rsidRPr="007B4F65">
              <w:rPr>
                <w:color w:val="000000"/>
              </w:rPr>
              <w:t>1/1/2042</w:t>
            </w:r>
          </w:p>
        </w:tc>
        <w:tc>
          <w:tcPr>
            <w:tcW w:w="2700" w:type="dxa"/>
            <w:tcBorders>
              <w:top w:val="nil"/>
              <w:left w:val="nil"/>
              <w:bottom w:val="nil"/>
              <w:right w:val="nil"/>
            </w:tcBorders>
            <w:shd w:val="clear" w:color="auto" w:fill="auto"/>
            <w:vAlign w:val="bottom"/>
          </w:tcPr>
          <w:p w:rsidRPr="00E16EE2" w:rsidR="00E16EE2" w:rsidP="00E16EE2" w:rsidRDefault="00E16EE2" w14:paraId="021C76C2" w14:textId="3580DAC5">
            <w:pPr>
              <w:tabs>
                <w:tab w:val="decimal" w:pos="1590"/>
              </w:tabs>
              <w:jc w:val="left"/>
            </w:pPr>
            <w:r w:rsidRPr="00E16EE2">
              <w:rPr>
                <w:color w:val="000000"/>
              </w:rPr>
              <w:t>485,000</w:t>
            </w:r>
          </w:p>
        </w:tc>
      </w:tr>
      <w:tr w:rsidR="00E16EE2" w:rsidTr="00C75F12" w14:paraId="2DE60E1E" w14:textId="77777777">
        <w:tc>
          <w:tcPr>
            <w:tcW w:w="2610" w:type="dxa"/>
            <w:tcBorders>
              <w:top w:val="nil"/>
              <w:left w:val="nil"/>
              <w:bottom w:val="nil"/>
              <w:right w:val="nil"/>
            </w:tcBorders>
            <w:shd w:val="clear" w:color="auto" w:fill="auto"/>
            <w:vAlign w:val="bottom"/>
          </w:tcPr>
          <w:p w:rsidRPr="007B4F65" w:rsidR="00E16EE2" w:rsidP="00E16EE2" w:rsidRDefault="00E16EE2" w14:paraId="34290875" w14:textId="21C1AC4B">
            <w:pPr>
              <w:tabs>
                <w:tab w:val="decimal" w:pos="870"/>
              </w:tabs>
              <w:jc w:val="left"/>
            </w:pPr>
            <w:r w:rsidRPr="007B4F65">
              <w:rPr>
                <w:color w:val="000000"/>
              </w:rPr>
              <w:t>7/1/2042</w:t>
            </w:r>
          </w:p>
        </w:tc>
        <w:tc>
          <w:tcPr>
            <w:tcW w:w="2700" w:type="dxa"/>
            <w:tcBorders>
              <w:top w:val="nil"/>
              <w:left w:val="nil"/>
              <w:bottom w:val="nil"/>
              <w:right w:val="nil"/>
            </w:tcBorders>
            <w:shd w:val="clear" w:color="auto" w:fill="auto"/>
            <w:vAlign w:val="bottom"/>
          </w:tcPr>
          <w:p w:rsidRPr="00E16EE2" w:rsidR="00E16EE2" w:rsidP="00E16EE2" w:rsidRDefault="00E16EE2" w14:paraId="25364447" w14:textId="0BB83FF7">
            <w:pPr>
              <w:tabs>
                <w:tab w:val="decimal" w:pos="1590"/>
              </w:tabs>
              <w:jc w:val="left"/>
            </w:pPr>
            <w:r w:rsidRPr="00E16EE2">
              <w:rPr>
                <w:color w:val="000000"/>
              </w:rPr>
              <w:t>510,000</w:t>
            </w:r>
          </w:p>
        </w:tc>
      </w:tr>
      <w:tr w:rsidR="00E16EE2" w:rsidTr="00C75F12" w14:paraId="21BA8CB7" w14:textId="77777777">
        <w:tc>
          <w:tcPr>
            <w:tcW w:w="2610" w:type="dxa"/>
            <w:tcBorders>
              <w:top w:val="nil"/>
              <w:left w:val="nil"/>
              <w:bottom w:val="nil"/>
              <w:right w:val="nil"/>
            </w:tcBorders>
            <w:shd w:val="clear" w:color="auto" w:fill="auto"/>
            <w:vAlign w:val="bottom"/>
          </w:tcPr>
          <w:p w:rsidRPr="007B4F65" w:rsidR="00E16EE2" w:rsidP="00E16EE2" w:rsidRDefault="00E16EE2" w14:paraId="0191DABD" w14:textId="1DFB8227">
            <w:pPr>
              <w:tabs>
                <w:tab w:val="decimal" w:pos="870"/>
              </w:tabs>
              <w:jc w:val="left"/>
            </w:pPr>
            <w:r w:rsidRPr="007B4F65">
              <w:rPr>
                <w:color w:val="000000"/>
              </w:rPr>
              <w:t>1/1/2043</w:t>
            </w:r>
          </w:p>
        </w:tc>
        <w:tc>
          <w:tcPr>
            <w:tcW w:w="2700" w:type="dxa"/>
            <w:tcBorders>
              <w:top w:val="nil"/>
              <w:left w:val="nil"/>
              <w:bottom w:val="nil"/>
              <w:right w:val="nil"/>
            </w:tcBorders>
            <w:shd w:val="clear" w:color="auto" w:fill="auto"/>
            <w:vAlign w:val="bottom"/>
          </w:tcPr>
          <w:p w:rsidRPr="00E16EE2" w:rsidR="00E16EE2" w:rsidP="00E16EE2" w:rsidRDefault="00E16EE2" w14:paraId="5381482B" w14:textId="1BA27096">
            <w:pPr>
              <w:tabs>
                <w:tab w:val="decimal" w:pos="1590"/>
              </w:tabs>
              <w:jc w:val="left"/>
            </w:pPr>
            <w:r w:rsidRPr="00E16EE2">
              <w:rPr>
                <w:color w:val="000000"/>
              </w:rPr>
              <w:t>525,000</w:t>
            </w:r>
          </w:p>
        </w:tc>
      </w:tr>
      <w:tr w:rsidR="00E16EE2" w:rsidTr="00C75F12" w14:paraId="3E6B02DC" w14:textId="77777777">
        <w:tc>
          <w:tcPr>
            <w:tcW w:w="2610" w:type="dxa"/>
            <w:tcBorders>
              <w:top w:val="nil"/>
              <w:left w:val="nil"/>
              <w:bottom w:val="nil"/>
              <w:right w:val="nil"/>
            </w:tcBorders>
            <w:shd w:val="clear" w:color="auto" w:fill="auto"/>
            <w:vAlign w:val="bottom"/>
          </w:tcPr>
          <w:p w:rsidRPr="007B4F65" w:rsidR="00E16EE2" w:rsidP="00E16EE2" w:rsidRDefault="00E16EE2" w14:paraId="16CF0514" w14:textId="54BCE1E4">
            <w:pPr>
              <w:tabs>
                <w:tab w:val="decimal" w:pos="870"/>
              </w:tabs>
              <w:jc w:val="left"/>
            </w:pPr>
            <w:r w:rsidRPr="007B4F65">
              <w:rPr>
                <w:color w:val="000000"/>
              </w:rPr>
              <w:t>7/1/2043</w:t>
            </w:r>
          </w:p>
        </w:tc>
        <w:tc>
          <w:tcPr>
            <w:tcW w:w="2700" w:type="dxa"/>
            <w:tcBorders>
              <w:top w:val="nil"/>
              <w:left w:val="nil"/>
              <w:bottom w:val="nil"/>
              <w:right w:val="nil"/>
            </w:tcBorders>
            <w:shd w:val="clear" w:color="auto" w:fill="auto"/>
            <w:vAlign w:val="bottom"/>
          </w:tcPr>
          <w:p w:rsidRPr="00E16EE2" w:rsidR="00E16EE2" w:rsidP="00E16EE2" w:rsidRDefault="00E16EE2" w14:paraId="1F028312" w14:textId="637EAF9C">
            <w:pPr>
              <w:tabs>
                <w:tab w:val="decimal" w:pos="1590"/>
              </w:tabs>
              <w:jc w:val="left"/>
            </w:pPr>
            <w:r w:rsidRPr="00E16EE2">
              <w:rPr>
                <w:color w:val="000000"/>
              </w:rPr>
              <w:t>545,000</w:t>
            </w:r>
          </w:p>
        </w:tc>
      </w:tr>
      <w:tr w:rsidR="00E16EE2" w:rsidTr="00C75F12" w14:paraId="7F7DE65C" w14:textId="77777777">
        <w:tc>
          <w:tcPr>
            <w:tcW w:w="2610" w:type="dxa"/>
            <w:tcBorders>
              <w:top w:val="nil"/>
              <w:left w:val="nil"/>
              <w:bottom w:val="nil"/>
              <w:right w:val="nil"/>
            </w:tcBorders>
            <w:shd w:val="clear" w:color="auto" w:fill="auto"/>
            <w:vAlign w:val="bottom"/>
          </w:tcPr>
          <w:p w:rsidRPr="007B4F65" w:rsidR="00E16EE2" w:rsidP="00E16EE2" w:rsidRDefault="00E16EE2" w14:paraId="49276D66" w14:textId="6D32CBDB">
            <w:pPr>
              <w:tabs>
                <w:tab w:val="decimal" w:pos="870"/>
              </w:tabs>
              <w:jc w:val="left"/>
            </w:pPr>
            <w:r w:rsidRPr="007B4F65">
              <w:rPr>
                <w:color w:val="000000"/>
              </w:rPr>
              <w:t>1/1/2044</w:t>
            </w:r>
          </w:p>
        </w:tc>
        <w:tc>
          <w:tcPr>
            <w:tcW w:w="2700" w:type="dxa"/>
            <w:tcBorders>
              <w:top w:val="nil"/>
              <w:left w:val="nil"/>
              <w:bottom w:val="nil"/>
              <w:right w:val="nil"/>
            </w:tcBorders>
            <w:shd w:val="clear" w:color="auto" w:fill="auto"/>
            <w:vAlign w:val="bottom"/>
          </w:tcPr>
          <w:p w:rsidRPr="00E16EE2" w:rsidR="00E16EE2" w:rsidP="00E16EE2" w:rsidRDefault="00E16EE2" w14:paraId="089CB950" w14:textId="136114C9">
            <w:pPr>
              <w:tabs>
                <w:tab w:val="decimal" w:pos="1590"/>
              </w:tabs>
              <w:jc w:val="left"/>
            </w:pPr>
            <w:r w:rsidRPr="00E16EE2">
              <w:rPr>
                <w:color w:val="000000"/>
              </w:rPr>
              <w:t>560,000</w:t>
            </w:r>
          </w:p>
        </w:tc>
      </w:tr>
      <w:tr w:rsidR="00E16EE2" w:rsidTr="00C75F12" w14:paraId="5DFB9D40" w14:textId="77777777">
        <w:tc>
          <w:tcPr>
            <w:tcW w:w="2610" w:type="dxa"/>
            <w:tcBorders>
              <w:top w:val="nil"/>
              <w:left w:val="nil"/>
              <w:bottom w:val="nil"/>
              <w:right w:val="nil"/>
            </w:tcBorders>
            <w:shd w:val="clear" w:color="auto" w:fill="auto"/>
            <w:vAlign w:val="bottom"/>
          </w:tcPr>
          <w:p w:rsidRPr="007B4F65" w:rsidR="00E16EE2" w:rsidP="00E16EE2" w:rsidRDefault="00E16EE2" w14:paraId="72CF9BDC" w14:textId="542EFE36">
            <w:pPr>
              <w:tabs>
                <w:tab w:val="decimal" w:pos="870"/>
              </w:tabs>
              <w:jc w:val="left"/>
            </w:pPr>
            <w:r w:rsidRPr="007B4F65">
              <w:rPr>
                <w:color w:val="000000"/>
              </w:rPr>
              <w:t>7/1/2044**</w:t>
            </w:r>
          </w:p>
        </w:tc>
        <w:tc>
          <w:tcPr>
            <w:tcW w:w="2700" w:type="dxa"/>
            <w:tcBorders>
              <w:top w:val="nil"/>
              <w:left w:val="nil"/>
              <w:bottom w:val="nil"/>
              <w:right w:val="nil"/>
            </w:tcBorders>
            <w:shd w:val="clear" w:color="auto" w:fill="auto"/>
            <w:vAlign w:val="bottom"/>
          </w:tcPr>
          <w:p w:rsidRPr="00E16EE2" w:rsidR="00E16EE2" w:rsidP="00E16EE2" w:rsidRDefault="00E16EE2" w14:paraId="219B4D92" w14:textId="2349FE26">
            <w:pPr>
              <w:tabs>
                <w:tab w:val="decimal" w:pos="1590"/>
              </w:tabs>
              <w:jc w:val="left"/>
            </w:pPr>
            <w:r w:rsidRPr="00E16EE2">
              <w:rPr>
                <w:color w:val="000000"/>
              </w:rPr>
              <w:t>585,000</w:t>
            </w:r>
          </w:p>
        </w:tc>
      </w:tr>
    </w:tbl>
    <w:p w:rsidR="007148B9" w:rsidP="007148B9" w:rsidRDefault="007148B9" w14:paraId="06BD04A6" w14:textId="77777777">
      <w:pPr>
        <w:tabs>
          <w:tab w:val="left" w:pos="2160"/>
        </w:tabs>
      </w:pPr>
    </w:p>
    <w:p w:rsidR="007148B9" w:rsidP="007148B9" w:rsidRDefault="007148B9" w14:paraId="1C67FBA5" w14:textId="77777777">
      <w:pPr>
        <w:tabs>
          <w:tab w:val="left" w:pos="2160"/>
        </w:tabs>
      </w:pPr>
      <w:r>
        <w:tab/>
        <w:t>**Final Maturity</w:t>
      </w: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007B4F65" w:rsidTr="005134B7" w14:paraId="3670A1B8" w14:textId="77777777">
        <w:tc>
          <w:tcPr>
            <w:tcW w:w="5310" w:type="dxa"/>
            <w:gridSpan w:val="2"/>
            <w:vAlign w:val="bottom"/>
          </w:tcPr>
          <w:p w:rsidRPr="000F0458" w:rsidR="007B4F65" w:rsidP="007B4F65" w:rsidRDefault="00E16EE2" w14:paraId="60ABB5F7" w14:textId="49359FC4">
            <w:pPr>
              <w:jc w:val="center"/>
              <w:rPr>
                <w:b/>
              </w:rPr>
            </w:pPr>
            <w:r>
              <w:rPr>
                <w:b/>
              </w:rPr>
              <w:t>$21,785,000</w:t>
            </w:r>
          </w:p>
        </w:tc>
      </w:tr>
      <w:tr w:rsidR="007B4F65" w:rsidTr="005134B7" w14:paraId="79CE36E9" w14:textId="77777777">
        <w:tc>
          <w:tcPr>
            <w:tcW w:w="5310" w:type="dxa"/>
            <w:gridSpan w:val="2"/>
            <w:vAlign w:val="bottom"/>
          </w:tcPr>
          <w:p w:rsidRPr="000F0458" w:rsidR="007B4F65" w:rsidP="007B4F65" w:rsidRDefault="00E16EE2" w14:paraId="19F8D348" w14:textId="0BF8DCBC">
            <w:pPr>
              <w:jc w:val="center"/>
              <w:rPr>
                <w:b/>
              </w:rPr>
            </w:pPr>
            <w:r>
              <w:rPr>
                <w:b/>
              </w:rPr>
              <w:t>2049 C-1 Term Bonds</w:t>
            </w:r>
          </w:p>
        </w:tc>
      </w:tr>
      <w:tr w:rsidR="007B4F65" w:rsidTr="005134B7" w14:paraId="321AB40F" w14:textId="77777777">
        <w:tc>
          <w:tcPr>
            <w:tcW w:w="2610" w:type="dxa"/>
            <w:vAlign w:val="bottom"/>
          </w:tcPr>
          <w:p w:rsidR="007B4F65" w:rsidP="005134B7" w:rsidRDefault="007B4F65" w14:paraId="771D8CF7" w14:textId="598C9035">
            <w:pPr>
              <w:jc w:val="center"/>
            </w:pPr>
            <w:r w:rsidRPr="000F0458">
              <w:rPr>
                <w:u w:val="single"/>
              </w:rPr>
              <w:t>Date</w:t>
            </w:r>
          </w:p>
        </w:tc>
        <w:tc>
          <w:tcPr>
            <w:tcW w:w="2700" w:type="dxa"/>
            <w:vAlign w:val="bottom"/>
          </w:tcPr>
          <w:p w:rsidR="007B4F65" w:rsidP="005134B7" w:rsidRDefault="007B4F65" w14:paraId="43B5D78A" w14:textId="67541FF8">
            <w:pPr>
              <w:jc w:val="center"/>
            </w:pPr>
            <w:r w:rsidRPr="000F0458">
              <w:rPr>
                <w:u w:val="single"/>
              </w:rPr>
              <w:t>Amount</w:t>
            </w:r>
          </w:p>
        </w:tc>
      </w:tr>
      <w:tr w:rsidR="00E16EE2" w:rsidTr="005134B7" w14:paraId="0F3760B3" w14:textId="77777777">
        <w:tc>
          <w:tcPr>
            <w:tcW w:w="2610" w:type="dxa"/>
            <w:vAlign w:val="bottom"/>
          </w:tcPr>
          <w:p w:rsidRPr="007B4F65" w:rsidR="00E16EE2" w:rsidP="00E16EE2" w:rsidRDefault="00E16EE2" w14:paraId="457A5EA4" w14:textId="13BE297C">
            <w:pPr>
              <w:tabs>
                <w:tab w:val="decimal" w:pos="960"/>
              </w:tabs>
              <w:jc w:val="left"/>
            </w:pPr>
            <w:r w:rsidRPr="007B4F65">
              <w:rPr>
                <w:color w:val="000000"/>
              </w:rPr>
              <w:t>1/1/2045</w:t>
            </w:r>
          </w:p>
        </w:tc>
        <w:tc>
          <w:tcPr>
            <w:tcW w:w="2700" w:type="dxa"/>
            <w:tcBorders>
              <w:top w:val="nil"/>
              <w:left w:val="nil"/>
              <w:bottom w:val="nil"/>
              <w:right w:val="nil"/>
            </w:tcBorders>
            <w:shd w:val="clear" w:color="auto" w:fill="auto"/>
            <w:vAlign w:val="bottom"/>
          </w:tcPr>
          <w:p w:rsidRPr="00E16EE2" w:rsidR="00E16EE2" w:rsidP="00E16EE2" w:rsidRDefault="00E16EE2" w14:paraId="028DA674" w14:textId="058A607D">
            <w:pPr>
              <w:tabs>
                <w:tab w:val="decimal" w:pos="1590"/>
              </w:tabs>
              <w:jc w:val="left"/>
            </w:pPr>
            <w:r>
              <w:rPr>
                <w:color w:val="000000"/>
              </w:rPr>
              <w:t>$</w:t>
            </w:r>
            <w:r w:rsidRPr="00E16EE2">
              <w:rPr>
                <w:color w:val="000000"/>
              </w:rPr>
              <w:t>1,845,000</w:t>
            </w:r>
          </w:p>
        </w:tc>
      </w:tr>
      <w:tr w:rsidR="00E16EE2" w:rsidTr="005134B7" w14:paraId="6E21DE13" w14:textId="77777777">
        <w:tc>
          <w:tcPr>
            <w:tcW w:w="2610" w:type="dxa"/>
            <w:vAlign w:val="bottom"/>
          </w:tcPr>
          <w:p w:rsidRPr="007B4F65" w:rsidR="00E16EE2" w:rsidP="00E16EE2" w:rsidRDefault="00E16EE2" w14:paraId="5A855B1D" w14:textId="19C09150">
            <w:pPr>
              <w:tabs>
                <w:tab w:val="decimal" w:pos="960"/>
              </w:tabs>
              <w:jc w:val="left"/>
            </w:pPr>
            <w:r w:rsidRPr="007B4F65">
              <w:rPr>
                <w:color w:val="000000"/>
              </w:rPr>
              <w:t>7/1/2045</w:t>
            </w:r>
          </w:p>
        </w:tc>
        <w:tc>
          <w:tcPr>
            <w:tcW w:w="2700" w:type="dxa"/>
            <w:tcBorders>
              <w:top w:val="nil"/>
              <w:left w:val="nil"/>
              <w:bottom w:val="nil"/>
              <w:right w:val="nil"/>
            </w:tcBorders>
            <w:shd w:val="clear" w:color="auto" w:fill="auto"/>
            <w:vAlign w:val="bottom"/>
          </w:tcPr>
          <w:p w:rsidRPr="00E16EE2" w:rsidR="00E16EE2" w:rsidP="00E16EE2" w:rsidRDefault="00E16EE2" w14:paraId="49055F32" w14:textId="7DB784A3">
            <w:pPr>
              <w:tabs>
                <w:tab w:val="decimal" w:pos="1590"/>
              </w:tabs>
              <w:jc w:val="left"/>
            </w:pPr>
            <w:r w:rsidRPr="00E16EE2">
              <w:rPr>
                <w:color w:val="000000"/>
              </w:rPr>
              <w:t>1,905,000</w:t>
            </w:r>
          </w:p>
        </w:tc>
      </w:tr>
      <w:tr w:rsidR="00E16EE2" w:rsidTr="005134B7" w14:paraId="04FE02CF" w14:textId="77777777">
        <w:tc>
          <w:tcPr>
            <w:tcW w:w="2610" w:type="dxa"/>
            <w:vAlign w:val="bottom"/>
          </w:tcPr>
          <w:p w:rsidRPr="007B4F65" w:rsidR="00E16EE2" w:rsidP="00E16EE2" w:rsidRDefault="00E16EE2" w14:paraId="245161BC" w14:textId="33C262E8">
            <w:pPr>
              <w:tabs>
                <w:tab w:val="decimal" w:pos="960"/>
              </w:tabs>
              <w:jc w:val="left"/>
            </w:pPr>
            <w:r w:rsidRPr="007B4F65">
              <w:rPr>
                <w:color w:val="000000"/>
              </w:rPr>
              <w:t>1/1/2046</w:t>
            </w:r>
          </w:p>
        </w:tc>
        <w:tc>
          <w:tcPr>
            <w:tcW w:w="2700" w:type="dxa"/>
            <w:tcBorders>
              <w:top w:val="nil"/>
              <w:left w:val="nil"/>
              <w:bottom w:val="nil"/>
              <w:right w:val="nil"/>
            </w:tcBorders>
            <w:shd w:val="clear" w:color="auto" w:fill="auto"/>
            <w:vAlign w:val="bottom"/>
          </w:tcPr>
          <w:p w:rsidRPr="00E16EE2" w:rsidR="00E16EE2" w:rsidP="00E16EE2" w:rsidRDefault="00E16EE2" w14:paraId="611F3340" w14:textId="32A4E0AC">
            <w:pPr>
              <w:tabs>
                <w:tab w:val="decimal" w:pos="1590"/>
              </w:tabs>
              <w:jc w:val="left"/>
            </w:pPr>
            <w:r w:rsidRPr="00E16EE2">
              <w:rPr>
                <w:color w:val="000000"/>
              </w:rPr>
              <w:t>1,980,000</w:t>
            </w:r>
          </w:p>
        </w:tc>
      </w:tr>
      <w:tr w:rsidR="00E16EE2" w:rsidTr="005134B7" w14:paraId="3F8AD90C" w14:textId="77777777">
        <w:tc>
          <w:tcPr>
            <w:tcW w:w="2610" w:type="dxa"/>
            <w:vAlign w:val="bottom"/>
          </w:tcPr>
          <w:p w:rsidRPr="007B4F65" w:rsidR="00E16EE2" w:rsidP="00E16EE2" w:rsidRDefault="00E16EE2" w14:paraId="1FBE6989" w14:textId="4CF80AF8">
            <w:pPr>
              <w:tabs>
                <w:tab w:val="decimal" w:pos="960"/>
              </w:tabs>
              <w:jc w:val="left"/>
            </w:pPr>
            <w:r w:rsidRPr="007B4F65">
              <w:rPr>
                <w:color w:val="000000"/>
              </w:rPr>
              <w:t>7/1/2046</w:t>
            </w:r>
          </w:p>
        </w:tc>
        <w:tc>
          <w:tcPr>
            <w:tcW w:w="2700" w:type="dxa"/>
            <w:tcBorders>
              <w:top w:val="nil"/>
              <w:left w:val="nil"/>
              <w:bottom w:val="nil"/>
              <w:right w:val="nil"/>
            </w:tcBorders>
            <w:shd w:val="clear" w:color="auto" w:fill="auto"/>
            <w:vAlign w:val="bottom"/>
          </w:tcPr>
          <w:p w:rsidRPr="00E16EE2" w:rsidR="00E16EE2" w:rsidP="00E16EE2" w:rsidRDefault="00E16EE2" w14:paraId="66E3784C" w14:textId="4EEC3663">
            <w:pPr>
              <w:tabs>
                <w:tab w:val="decimal" w:pos="1590"/>
              </w:tabs>
              <w:jc w:val="left"/>
            </w:pPr>
            <w:r w:rsidRPr="00E16EE2">
              <w:rPr>
                <w:color w:val="000000"/>
              </w:rPr>
              <w:t>2,050,000</w:t>
            </w:r>
          </w:p>
        </w:tc>
      </w:tr>
      <w:tr w:rsidR="00E16EE2" w:rsidTr="005134B7" w14:paraId="7ABD4893" w14:textId="77777777">
        <w:tc>
          <w:tcPr>
            <w:tcW w:w="2610" w:type="dxa"/>
            <w:vAlign w:val="bottom"/>
          </w:tcPr>
          <w:p w:rsidRPr="007B4F65" w:rsidR="00E16EE2" w:rsidP="00E16EE2" w:rsidRDefault="00E16EE2" w14:paraId="4CB5683E" w14:textId="6D4E6F3A">
            <w:pPr>
              <w:tabs>
                <w:tab w:val="decimal" w:pos="960"/>
              </w:tabs>
              <w:jc w:val="left"/>
            </w:pPr>
            <w:r w:rsidRPr="007B4F65">
              <w:rPr>
                <w:color w:val="000000"/>
              </w:rPr>
              <w:t>1/1/2047</w:t>
            </w:r>
          </w:p>
        </w:tc>
        <w:tc>
          <w:tcPr>
            <w:tcW w:w="2700" w:type="dxa"/>
            <w:tcBorders>
              <w:top w:val="nil"/>
              <w:left w:val="nil"/>
              <w:bottom w:val="nil"/>
              <w:right w:val="nil"/>
            </w:tcBorders>
            <w:shd w:val="clear" w:color="auto" w:fill="auto"/>
            <w:vAlign w:val="bottom"/>
          </w:tcPr>
          <w:p w:rsidRPr="00E16EE2" w:rsidR="00E16EE2" w:rsidP="00E16EE2" w:rsidRDefault="00E16EE2" w14:paraId="666CE5EB" w14:textId="35F024DA">
            <w:pPr>
              <w:tabs>
                <w:tab w:val="decimal" w:pos="1590"/>
              </w:tabs>
              <w:jc w:val="left"/>
              <w:rPr>
                <w:color w:val="000000"/>
              </w:rPr>
            </w:pPr>
            <w:r w:rsidRPr="00E16EE2">
              <w:rPr>
                <w:color w:val="000000"/>
              </w:rPr>
              <w:t>2,130,000</w:t>
            </w:r>
          </w:p>
        </w:tc>
      </w:tr>
      <w:tr w:rsidR="00E16EE2" w:rsidTr="005134B7" w14:paraId="00907362" w14:textId="77777777">
        <w:tc>
          <w:tcPr>
            <w:tcW w:w="2610" w:type="dxa"/>
            <w:vAlign w:val="bottom"/>
          </w:tcPr>
          <w:p w:rsidRPr="007B4F65" w:rsidR="00E16EE2" w:rsidP="00E16EE2" w:rsidRDefault="00E16EE2" w14:paraId="3B04E405" w14:textId="750DEEEA">
            <w:pPr>
              <w:tabs>
                <w:tab w:val="decimal" w:pos="960"/>
              </w:tabs>
              <w:jc w:val="left"/>
              <w:rPr>
                <w:color w:val="000000"/>
              </w:rPr>
            </w:pPr>
            <w:r w:rsidRPr="007B4F65">
              <w:rPr>
                <w:color w:val="000000"/>
              </w:rPr>
              <w:t>7/1/2047</w:t>
            </w:r>
          </w:p>
        </w:tc>
        <w:tc>
          <w:tcPr>
            <w:tcW w:w="2700" w:type="dxa"/>
            <w:tcBorders>
              <w:top w:val="nil"/>
              <w:left w:val="nil"/>
              <w:bottom w:val="nil"/>
              <w:right w:val="nil"/>
            </w:tcBorders>
            <w:shd w:val="clear" w:color="auto" w:fill="auto"/>
            <w:vAlign w:val="bottom"/>
          </w:tcPr>
          <w:p w:rsidRPr="00E16EE2" w:rsidR="00E16EE2" w:rsidP="00E16EE2" w:rsidRDefault="00E16EE2" w14:paraId="45AC5D9F" w14:textId="3D27F7EC">
            <w:pPr>
              <w:tabs>
                <w:tab w:val="decimal" w:pos="1590"/>
              </w:tabs>
              <w:jc w:val="left"/>
              <w:rPr>
                <w:color w:val="000000"/>
              </w:rPr>
            </w:pPr>
            <w:r w:rsidRPr="00E16EE2">
              <w:rPr>
                <w:color w:val="000000"/>
              </w:rPr>
              <w:t>2,205,000</w:t>
            </w:r>
          </w:p>
        </w:tc>
      </w:tr>
      <w:tr w:rsidR="00E16EE2" w:rsidTr="005134B7" w14:paraId="69A53C89" w14:textId="77777777">
        <w:tc>
          <w:tcPr>
            <w:tcW w:w="2610" w:type="dxa"/>
            <w:vAlign w:val="bottom"/>
          </w:tcPr>
          <w:p w:rsidRPr="007B4F65" w:rsidR="00E16EE2" w:rsidP="00E16EE2" w:rsidRDefault="00E16EE2" w14:paraId="0FCA6B55" w14:textId="3293881C">
            <w:pPr>
              <w:tabs>
                <w:tab w:val="decimal" w:pos="960"/>
              </w:tabs>
              <w:jc w:val="left"/>
              <w:rPr>
                <w:color w:val="000000"/>
              </w:rPr>
            </w:pPr>
            <w:r w:rsidRPr="007B4F65">
              <w:rPr>
                <w:color w:val="000000"/>
              </w:rPr>
              <w:t>1/1/2048</w:t>
            </w:r>
          </w:p>
        </w:tc>
        <w:tc>
          <w:tcPr>
            <w:tcW w:w="2700" w:type="dxa"/>
            <w:tcBorders>
              <w:top w:val="nil"/>
              <w:left w:val="nil"/>
              <w:bottom w:val="nil"/>
              <w:right w:val="nil"/>
            </w:tcBorders>
            <w:shd w:val="clear" w:color="auto" w:fill="auto"/>
            <w:vAlign w:val="bottom"/>
          </w:tcPr>
          <w:p w:rsidRPr="00E16EE2" w:rsidR="00E16EE2" w:rsidP="00E16EE2" w:rsidRDefault="00E16EE2" w14:paraId="63846861" w14:textId="746FAD58">
            <w:pPr>
              <w:tabs>
                <w:tab w:val="decimal" w:pos="1590"/>
              </w:tabs>
              <w:jc w:val="left"/>
              <w:rPr>
                <w:color w:val="000000"/>
              </w:rPr>
            </w:pPr>
            <w:r w:rsidRPr="00E16EE2">
              <w:rPr>
                <w:color w:val="000000"/>
              </w:rPr>
              <w:t>2,285,000</w:t>
            </w:r>
          </w:p>
        </w:tc>
      </w:tr>
      <w:tr w:rsidR="00E16EE2" w:rsidTr="005134B7" w14:paraId="59B17452" w14:textId="77777777">
        <w:tc>
          <w:tcPr>
            <w:tcW w:w="2610" w:type="dxa"/>
            <w:vAlign w:val="bottom"/>
          </w:tcPr>
          <w:p w:rsidRPr="007B4F65" w:rsidR="00E16EE2" w:rsidP="00E16EE2" w:rsidRDefault="00E16EE2" w14:paraId="5D7628F7" w14:textId="60D972CF">
            <w:pPr>
              <w:tabs>
                <w:tab w:val="decimal" w:pos="960"/>
              </w:tabs>
              <w:jc w:val="left"/>
              <w:rPr>
                <w:color w:val="000000"/>
              </w:rPr>
            </w:pPr>
            <w:r w:rsidRPr="007B4F65">
              <w:rPr>
                <w:color w:val="000000"/>
              </w:rPr>
              <w:t>7/1/2048</w:t>
            </w:r>
          </w:p>
        </w:tc>
        <w:tc>
          <w:tcPr>
            <w:tcW w:w="2700" w:type="dxa"/>
            <w:tcBorders>
              <w:top w:val="nil"/>
              <w:left w:val="nil"/>
              <w:bottom w:val="nil"/>
              <w:right w:val="nil"/>
            </w:tcBorders>
            <w:shd w:val="clear" w:color="auto" w:fill="auto"/>
            <w:vAlign w:val="bottom"/>
          </w:tcPr>
          <w:p w:rsidRPr="00E16EE2" w:rsidR="00E16EE2" w:rsidP="00E16EE2" w:rsidRDefault="00E16EE2" w14:paraId="190E6E7D" w14:textId="47C8729C">
            <w:pPr>
              <w:tabs>
                <w:tab w:val="decimal" w:pos="1590"/>
              </w:tabs>
              <w:jc w:val="left"/>
              <w:rPr>
                <w:color w:val="000000"/>
              </w:rPr>
            </w:pPr>
            <w:r w:rsidRPr="00E16EE2">
              <w:rPr>
                <w:color w:val="000000"/>
              </w:rPr>
              <w:t>2,375,000</w:t>
            </w:r>
          </w:p>
        </w:tc>
      </w:tr>
      <w:tr w:rsidR="00E16EE2" w:rsidTr="005134B7" w14:paraId="6AA1A4BC" w14:textId="77777777">
        <w:tc>
          <w:tcPr>
            <w:tcW w:w="2610" w:type="dxa"/>
            <w:vAlign w:val="bottom"/>
          </w:tcPr>
          <w:p w:rsidRPr="007B4F65" w:rsidR="00E16EE2" w:rsidP="00E16EE2" w:rsidRDefault="00E16EE2" w14:paraId="487076E5" w14:textId="11166AD6">
            <w:pPr>
              <w:tabs>
                <w:tab w:val="decimal" w:pos="960"/>
              </w:tabs>
              <w:jc w:val="left"/>
              <w:rPr>
                <w:color w:val="000000"/>
              </w:rPr>
            </w:pPr>
            <w:r w:rsidRPr="007B4F65">
              <w:rPr>
                <w:color w:val="000000"/>
              </w:rPr>
              <w:t>1/1/2049</w:t>
            </w:r>
          </w:p>
        </w:tc>
        <w:tc>
          <w:tcPr>
            <w:tcW w:w="2700" w:type="dxa"/>
            <w:tcBorders>
              <w:top w:val="nil"/>
              <w:left w:val="nil"/>
              <w:bottom w:val="nil"/>
              <w:right w:val="nil"/>
            </w:tcBorders>
            <w:shd w:val="clear" w:color="auto" w:fill="auto"/>
            <w:vAlign w:val="bottom"/>
          </w:tcPr>
          <w:p w:rsidRPr="00E16EE2" w:rsidR="00E16EE2" w:rsidP="00E16EE2" w:rsidRDefault="00E16EE2" w14:paraId="1D8DF94C" w14:textId="40B5AD23">
            <w:pPr>
              <w:tabs>
                <w:tab w:val="decimal" w:pos="1590"/>
              </w:tabs>
              <w:jc w:val="left"/>
              <w:rPr>
                <w:color w:val="000000"/>
              </w:rPr>
            </w:pPr>
            <w:r w:rsidRPr="00E16EE2">
              <w:rPr>
                <w:color w:val="000000"/>
              </w:rPr>
              <w:t>2,460,000</w:t>
            </w:r>
          </w:p>
        </w:tc>
      </w:tr>
      <w:tr w:rsidR="00E16EE2" w:rsidTr="005134B7" w14:paraId="4A7537C3" w14:textId="77777777">
        <w:tc>
          <w:tcPr>
            <w:tcW w:w="2610" w:type="dxa"/>
            <w:vAlign w:val="bottom"/>
          </w:tcPr>
          <w:p w:rsidRPr="007B4F65" w:rsidR="00E16EE2" w:rsidP="00E16EE2" w:rsidRDefault="00E16EE2" w14:paraId="4A96384C" w14:textId="61BC9BA8">
            <w:pPr>
              <w:tabs>
                <w:tab w:val="decimal" w:pos="960"/>
              </w:tabs>
              <w:jc w:val="left"/>
            </w:pPr>
            <w:r w:rsidRPr="007B4F65">
              <w:rPr>
                <w:color w:val="000000"/>
              </w:rPr>
              <w:t>7/1/2049**</w:t>
            </w:r>
          </w:p>
        </w:tc>
        <w:tc>
          <w:tcPr>
            <w:tcW w:w="2700" w:type="dxa"/>
            <w:tcBorders>
              <w:top w:val="nil"/>
              <w:left w:val="nil"/>
              <w:bottom w:val="nil"/>
              <w:right w:val="nil"/>
            </w:tcBorders>
            <w:shd w:val="clear" w:color="auto" w:fill="auto"/>
            <w:vAlign w:val="bottom"/>
          </w:tcPr>
          <w:p w:rsidRPr="00E16EE2" w:rsidR="00E16EE2" w:rsidP="00E16EE2" w:rsidRDefault="00E16EE2" w14:paraId="7FFA900D" w14:textId="244C131F">
            <w:pPr>
              <w:tabs>
                <w:tab w:val="decimal" w:pos="1590"/>
              </w:tabs>
              <w:jc w:val="left"/>
              <w:rPr>
                <w:color w:val="000000"/>
              </w:rPr>
            </w:pPr>
            <w:r w:rsidRPr="00E16EE2">
              <w:rPr>
                <w:color w:val="000000"/>
              </w:rPr>
              <w:t>2,550,000</w:t>
            </w:r>
          </w:p>
        </w:tc>
      </w:tr>
    </w:tbl>
    <w:p w:rsidR="007B4F65" w:rsidP="007B4F65" w:rsidRDefault="007B4F65" w14:paraId="0DE90331" w14:textId="77777777">
      <w:pPr>
        <w:tabs>
          <w:tab w:val="left" w:pos="2160"/>
        </w:tabs>
      </w:pPr>
      <w:r>
        <w:tab/>
      </w:r>
    </w:p>
    <w:p w:rsidR="007B4F65" w:rsidP="007B4F65" w:rsidRDefault="007B4F65" w14:paraId="4F18939C" w14:textId="6449AA2D">
      <w:pPr>
        <w:tabs>
          <w:tab w:val="left" w:pos="2160"/>
        </w:tabs>
      </w:pPr>
      <w:r>
        <w:tab/>
        <w:t>**Final Maturity</w:t>
      </w:r>
      <w:r w:rsidR="00E16EE2">
        <w:tab/>
      </w: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007B4F65" w:rsidTr="005134B7" w14:paraId="7CA82CD7" w14:textId="77777777">
        <w:tc>
          <w:tcPr>
            <w:tcW w:w="5310" w:type="dxa"/>
            <w:gridSpan w:val="2"/>
            <w:vAlign w:val="bottom"/>
          </w:tcPr>
          <w:p w:rsidR="007B4F65" w:rsidP="005134B7" w:rsidRDefault="007B4F65" w14:paraId="25BC903D" w14:textId="77777777">
            <w:pPr>
              <w:jc w:val="center"/>
            </w:pPr>
            <w:r>
              <w:br w:type="page"/>
            </w:r>
          </w:p>
          <w:p w:rsidRPr="000F0458" w:rsidR="007B4F65" w:rsidP="00E16EE2" w:rsidRDefault="007B4F65" w14:paraId="4DF64B00" w14:textId="2583D138">
            <w:pPr>
              <w:jc w:val="center"/>
              <w:rPr>
                <w:b/>
              </w:rPr>
            </w:pPr>
            <w:r>
              <w:rPr>
                <w:b/>
              </w:rPr>
              <w:t>$</w:t>
            </w:r>
            <w:r w:rsidR="00CC07D3">
              <w:rPr>
                <w:b/>
              </w:rPr>
              <w:t>51</w:t>
            </w:r>
            <w:r w:rsidR="00D85118">
              <w:rPr>
                <w:b/>
              </w:rPr>
              <w:t>,</w:t>
            </w:r>
            <w:r w:rsidR="00E16EE2">
              <w:rPr>
                <w:b/>
              </w:rPr>
              <w:t>185</w:t>
            </w:r>
            <w:r w:rsidR="00D85118">
              <w:rPr>
                <w:b/>
              </w:rPr>
              <w:t>,000</w:t>
            </w:r>
          </w:p>
        </w:tc>
      </w:tr>
      <w:tr w:rsidR="007B4F65" w:rsidTr="005134B7" w14:paraId="0F003991" w14:textId="77777777">
        <w:tc>
          <w:tcPr>
            <w:tcW w:w="5310" w:type="dxa"/>
            <w:gridSpan w:val="2"/>
            <w:vAlign w:val="bottom"/>
          </w:tcPr>
          <w:p w:rsidRPr="000F0458" w:rsidR="007B4F65" w:rsidP="00D85118" w:rsidRDefault="007B4F65" w14:paraId="5ACD3F3F" w14:textId="4605D324">
            <w:pPr>
              <w:jc w:val="center"/>
              <w:rPr>
                <w:b/>
              </w:rPr>
            </w:pPr>
            <w:r>
              <w:rPr>
                <w:b/>
              </w:rPr>
              <w:t>20</w:t>
            </w:r>
            <w:r w:rsidR="00D85118">
              <w:rPr>
                <w:b/>
              </w:rPr>
              <w:t>54</w:t>
            </w:r>
            <w:r>
              <w:rPr>
                <w:b/>
              </w:rPr>
              <w:t xml:space="preserve"> C-1 Term Bonds</w:t>
            </w:r>
          </w:p>
        </w:tc>
      </w:tr>
      <w:tr w:rsidR="007B4F65" w:rsidTr="005134B7" w14:paraId="364EF045" w14:textId="77777777">
        <w:tc>
          <w:tcPr>
            <w:tcW w:w="2610" w:type="dxa"/>
            <w:vAlign w:val="bottom"/>
          </w:tcPr>
          <w:p w:rsidR="007B4F65" w:rsidP="005134B7" w:rsidRDefault="007B4F65" w14:paraId="16AD35D0" w14:textId="7D0936B7">
            <w:pPr>
              <w:jc w:val="center"/>
            </w:pPr>
            <w:r w:rsidRPr="000F0458">
              <w:rPr>
                <w:u w:val="single"/>
              </w:rPr>
              <w:t>Date</w:t>
            </w:r>
          </w:p>
        </w:tc>
        <w:tc>
          <w:tcPr>
            <w:tcW w:w="2700" w:type="dxa"/>
            <w:vAlign w:val="bottom"/>
          </w:tcPr>
          <w:p w:rsidR="007B4F65" w:rsidP="005134B7" w:rsidRDefault="007B4F65" w14:paraId="0DF620A4" w14:textId="75913607">
            <w:pPr>
              <w:jc w:val="center"/>
            </w:pPr>
            <w:r w:rsidRPr="000F0458">
              <w:rPr>
                <w:u w:val="single"/>
              </w:rPr>
              <w:t>Amount</w:t>
            </w:r>
            <w:r>
              <w:t xml:space="preserve"> </w:t>
            </w:r>
          </w:p>
        </w:tc>
      </w:tr>
      <w:tr w:rsidR="00E16EE2" w:rsidTr="005134B7" w14:paraId="386F37D1" w14:textId="77777777">
        <w:tc>
          <w:tcPr>
            <w:tcW w:w="2610" w:type="dxa"/>
            <w:vAlign w:val="bottom"/>
          </w:tcPr>
          <w:p w:rsidRPr="00A1604D" w:rsidR="00E16EE2" w:rsidP="00E16EE2" w:rsidRDefault="00E16EE2" w14:paraId="0D6465DB" w14:textId="14F11CD0">
            <w:pPr>
              <w:tabs>
                <w:tab w:val="decimal" w:pos="870"/>
              </w:tabs>
              <w:jc w:val="left"/>
            </w:pPr>
            <w:r w:rsidRPr="00A1604D">
              <w:rPr>
                <w:color w:val="000000"/>
              </w:rPr>
              <w:t>1/1/2050</w:t>
            </w:r>
          </w:p>
        </w:tc>
        <w:tc>
          <w:tcPr>
            <w:tcW w:w="2700" w:type="dxa"/>
            <w:tcBorders>
              <w:top w:val="nil"/>
              <w:left w:val="nil"/>
              <w:bottom w:val="nil"/>
              <w:right w:val="nil"/>
            </w:tcBorders>
            <w:shd w:val="clear" w:color="auto" w:fill="auto"/>
            <w:vAlign w:val="bottom"/>
          </w:tcPr>
          <w:p w:rsidRPr="00E16EE2" w:rsidR="00E16EE2" w:rsidP="00E16EE2" w:rsidRDefault="00E16EE2" w14:paraId="5FA42D6A" w14:textId="2CA42AF4">
            <w:pPr>
              <w:pStyle w:val="E-mailSignature"/>
              <w:tabs>
                <w:tab w:val="decimal" w:pos="1590"/>
              </w:tabs>
            </w:pPr>
            <w:r>
              <w:rPr>
                <w:color w:val="000000"/>
              </w:rPr>
              <w:t>$</w:t>
            </w:r>
            <w:r w:rsidRPr="00E16EE2">
              <w:rPr>
                <w:color w:val="000000"/>
              </w:rPr>
              <w:t>4,595,000</w:t>
            </w:r>
          </w:p>
        </w:tc>
      </w:tr>
      <w:tr w:rsidR="00E16EE2" w:rsidTr="005134B7" w14:paraId="6A814B9C" w14:textId="77777777">
        <w:tc>
          <w:tcPr>
            <w:tcW w:w="2610" w:type="dxa"/>
            <w:vAlign w:val="bottom"/>
          </w:tcPr>
          <w:p w:rsidRPr="00A1604D" w:rsidR="00E16EE2" w:rsidP="00E16EE2" w:rsidRDefault="00E16EE2" w14:paraId="1DBD0D84" w14:textId="56A2B2D1">
            <w:pPr>
              <w:tabs>
                <w:tab w:val="decimal" w:pos="870"/>
              </w:tabs>
              <w:jc w:val="left"/>
            </w:pPr>
            <w:r w:rsidRPr="00A1604D">
              <w:rPr>
                <w:color w:val="000000"/>
              </w:rPr>
              <w:t>7/1/2050</w:t>
            </w:r>
          </w:p>
        </w:tc>
        <w:tc>
          <w:tcPr>
            <w:tcW w:w="2700" w:type="dxa"/>
            <w:tcBorders>
              <w:top w:val="nil"/>
              <w:left w:val="nil"/>
              <w:bottom w:val="nil"/>
              <w:right w:val="nil"/>
            </w:tcBorders>
            <w:shd w:val="clear" w:color="auto" w:fill="auto"/>
            <w:vAlign w:val="bottom"/>
          </w:tcPr>
          <w:p w:rsidRPr="00E16EE2" w:rsidR="00E16EE2" w:rsidP="00E16EE2" w:rsidRDefault="00E16EE2" w14:paraId="78BC4A74" w14:textId="4BA2B954">
            <w:pPr>
              <w:pStyle w:val="E-mailSignature"/>
              <w:tabs>
                <w:tab w:val="decimal" w:pos="1590"/>
              </w:tabs>
            </w:pPr>
            <w:r w:rsidRPr="00E16EE2">
              <w:rPr>
                <w:color w:val="000000"/>
              </w:rPr>
              <w:t>4,710,000</w:t>
            </w:r>
          </w:p>
        </w:tc>
      </w:tr>
      <w:tr w:rsidR="00E16EE2" w:rsidTr="005134B7" w14:paraId="1C8AB524" w14:textId="77777777">
        <w:tc>
          <w:tcPr>
            <w:tcW w:w="2610" w:type="dxa"/>
            <w:vAlign w:val="bottom"/>
          </w:tcPr>
          <w:p w:rsidRPr="00A1604D" w:rsidR="00E16EE2" w:rsidP="00E16EE2" w:rsidRDefault="00E16EE2" w14:paraId="7D3E8918" w14:textId="7C99BC7D">
            <w:pPr>
              <w:tabs>
                <w:tab w:val="decimal" w:pos="870"/>
              </w:tabs>
              <w:jc w:val="left"/>
            </w:pPr>
            <w:r w:rsidRPr="00A1604D">
              <w:rPr>
                <w:color w:val="000000"/>
              </w:rPr>
              <w:t>1/1/2051</w:t>
            </w:r>
          </w:p>
        </w:tc>
        <w:tc>
          <w:tcPr>
            <w:tcW w:w="2700" w:type="dxa"/>
            <w:tcBorders>
              <w:top w:val="nil"/>
              <w:left w:val="nil"/>
              <w:bottom w:val="nil"/>
              <w:right w:val="nil"/>
            </w:tcBorders>
            <w:shd w:val="clear" w:color="auto" w:fill="auto"/>
            <w:vAlign w:val="bottom"/>
          </w:tcPr>
          <w:p w:rsidRPr="00E16EE2" w:rsidR="00E16EE2" w:rsidP="00E16EE2" w:rsidRDefault="00E16EE2" w14:paraId="631E4D5C" w14:textId="474A7A7B">
            <w:pPr>
              <w:tabs>
                <w:tab w:val="decimal" w:pos="1590"/>
              </w:tabs>
              <w:jc w:val="left"/>
            </w:pPr>
            <w:r w:rsidRPr="00E16EE2">
              <w:rPr>
                <w:color w:val="000000"/>
              </w:rPr>
              <w:t>4,815,000</w:t>
            </w:r>
          </w:p>
        </w:tc>
      </w:tr>
      <w:tr w:rsidR="00E16EE2" w:rsidTr="005134B7" w14:paraId="6527A43A" w14:textId="77777777">
        <w:tc>
          <w:tcPr>
            <w:tcW w:w="2610" w:type="dxa"/>
            <w:vAlign w:val="bottom"/>
          </w:tcPr>
          <w:p w:rsidRPr="00A1604D" w:rsidR="00E16EE2" w:rsidP="00E16EE2" w:rsidRDefault="00E16EE2" w14:paraId="1053DD14" w14:textId="41056534">
            <w:pPr>
              <w:tabs>
                <w:tab w:val="decimal" w:pos="870"/>
              </w:tabs>
              <w:jc w:val="left"/>
            </w:pPr>
            <w:r w:rsidRPr="00A1604D">
              <w:rPr>
                <w:color w:val="000000"/>
              </w:rPr>
              <w:t>7/1/2051</w:t>
            </w:r>
          </w:p>
        </w:tc>
        <w:tc>
          <w:tcPr>
            <w:tcW w:w="2700" w:type="dxa"/>
            <w:tcBorders>
              <w:top w:val="nil"/>
              <w:left w:val="nil"/>
              <w:bottom w:val="nil"/>
              <w:right w:val="nil"/>
            </w:tcBorders>
            <w:shd w:val="clear" w:color="auto" w:fill="auto"/>
            <w:vAlign w:val="bottom"/>
          </w:tcPr>
          <w:p w:rsidRPr="00E16EE2" w:rsidR="00E16EE2" w:rsidP="00E16EE2" w:rsidRDefault="00E16EE2" w14:paraId="7C55082D" w14:textId="13ABD005">
            <w:pPr>
              <w:tabs>
                <w:tab w:val="decimal" w:pos="1590"/>
              </w:tabs>
              <w:jc w:val="left"/>
            </w:pPr>
            <w:r w:rsidRPr="00E16EE2">
              <w:rPr>
                <w:color w:val="000000"/>
              </w:rPr>
              <w:t>4,935,000</w:t>
            </w:r>
          </w:p>
        </w:tc>
      </w:tr>
      <w:tr w:rsidR="00E16EE2" w:rsidTr="005134B7" w14:paraId="460AEE11" w14:textId="77777777">
        <w:tc>
          <w:tcPr>
            <w:tcW w:w="2610" w:type="dxa"/>
            <w:vAlign w:val="bottom"/>
          </w:tcPr>
          <w:p w:rsidRPr="00A1604D" w:rsidR="00E16EE2" w:rsidP="00E16EE2" w:rsidRDefault="00E16EE2" w14:paraId="3CD424E7" w14:textId="64B6E526">
            <w:pPr>
              <w:tabs>
                <w:tab w:val="decimal" w:pos="870"/>
              </w:tabs>
              <w:jc w:val="left"/>
            </w:pPr>
            <w:r w:rsidRPr="00A1604D">
              <w:rPr>
                <w:color w:val="000000"/>
              </w:rPr>
              <w:t>1/1/2052</w:t>
            </w:r>
          </w:p>
        </w:tc>
        <w:tc>
          <w:tcPr>
            <w:tcW w:w="2700" w:type="dxa"/>
            <w:tcBorders>
              <w:top w:val="nil"/>
              <w:left w:val="nil"/>
              <w:bottom w:val="nil"/>
              <w:right w:val="nil"/>
            </w:tcBorders>
            <w:shd w:val="clear" w:color="auto" w:fill="auto"/>
            <w:vAlign w:val="bottom"/>
          </w:tcPr>
          <w:p w:rsidRPr="00E16EE2" w:rsidR="00E16EE2" w:rsidP="00E16EE2" w:rsidRDefault="00E16EE2" w14:paraId="319897F9" w14:textId="6C3A9B1C">
            <w:pPr>
              <w:tabs>
                <w:tab w:val="decimal" w:pos="1590"/>
              </w:tabs>
              <w:jc w:val="left"/>
            </w:pPr>
            <w:r w:rsidRPr="00E16EE2">
              <w:rPr>
                <w:color w:val="000000"/>
              </w:rPr>
              <w:t>5,050,000</w:t>
            </w:r>
          </w:p>
        </w:tc>
      </w:tr>
      <w:tr w:rsidR="00E16EE2" w:rsidTr="005134B7" w14:paraId="3FC2973A" w14:textId="77777777">
        <w:tc>
          <w:tcPr>
            <w:tcW w:w="2610" w:type="dxa"/>
            <w:vAlign w:val="bottom"/>
          </w:tcPr>
          <w:p w:rsidRPr="00A1604D" w:rsidR="00E16EE2" w:rsidP="00E16EE2" w:rsidRDefault="00E16EE2" w14:paraId="2C5BEE60" w14:textId="29879C96">
            <w:pPr>
              <w:tabs>
                <w:tab w:val="decimal" w:pos="870"/>
              </w:tabs>
              <w:jc w:val="left"/>
            </w:pPr>
            <w:r w:rsidRPr="00A1604D">
              <w:rPr>
                <w:color w:val="000000"/>
              </w:rPr>
              <w:t>7/1/2052</w:t>
            </w:r>
          </w:p>
        </w:tc>
        <w:tc>
          <w:tcPr>
            <w:tcW w:w="2700" w:type="dxa"/>
            <w:tcBorders>
              <w:top w:val="nil"/>
              <w:left w:val="nil"/>
              <w:bottom w:val="nil"/>
              <w:right w:val="nil"/>
            </w:tcBorders>
            <w:shd w:val="clear" w:color="auto" w:fill="auto"/>
            <w:vAlign w:val="bottom"/>
          </w:tcPr>
          <w:p w:rsidRPr="00E16EE2" w:rsidR="00E16EE2" w:rsidP="00E16EE2" w:rsidRDefault="00E16EE2" w14:paraId="5DD49770" w14:textId="5DF4972E">
            <w:pPr>
              <w:tabs>
                <w:tab w:val="decimal" w:pos="1590"/>
              </w:tabs>
              <w:jc w:val="left"/>
            </w:pPr>
            <w:r w:rsidRPr="00E16EE2">
              <w:rPr>
                <w:color w:val="000000"/>
              </w:rPr>
              <w:t>5,170,000</w:t>
            </w:r>
          </w:p>
        </w:tc>
      </w:tr>
      <w:tr w:rsidR="00E16EE2" w:rsidTr="005134B7" w14:paraId="3C8F9CC9" w14:textId="77777777">
        <w:tc>
          <w:tcPr>
            <w:tcW w:w="2610" w:type="dxa"/>
            <w:vAlign w:val="bottom"/>
          </w:tcPr>
          <w:p w:rsidRPr="00A1604D" w:rsidR="00E16EE2" w:rsidP="00E16EE2" w:rsidRDefault="00E16EE2" w14:paraId="2730695C" w14:textId="50634D33">
            <w:pPr>
              <w:tabs>
                <w:tab w:val="decimal" w:pos="870"/>
              </w:tabs>
              <w:jc w:val="left"/>
            </w:pPr>
            <w:r w:rsidRPr="00A1604D">
              <w:rPr>
                <w:color w:val="000000"/>
              </w:rPr>
              <w:t>1/1/2053</w:t>
            </w:r>
          </w:p>
        </w:tc>
        <w:tc>
          <w:tcPr>
            <w:tcW w:w="2700" w:type="dxa"/>
            <w:tcBorders>
              <w:top w:val="nil"/>
              <w:left w:val="nil"/>
              <w:bottom w:val="nil"/>
              <w:right w:val="nil"/>
            </w:tcBorders>
            <w:shd w:val="clear" w:color="auto" w:fill="auto"/>
            <w:vAlign w:val="bottom"/>
          </w:tcPr>
          <w:p w:rsidRPr="00E16EE2" w:rsidR="00E16EE2" w:rsidP="00E16EE2" w:rsidRDefault="00E16EE2" w14:paraId="0746A75F" w14:textId="62749778">
            <w:pPr>
              <w:tabs>
                <w:tab w:val="decimal" w:pos="1590"/>
              </w:tabs>
              <w:jc w:val="left"/>
            </w:pPr>
            <w:r w:rsidRPr="00E16EE2">
              <w:rPr>
                <w:color w:val="000000"/>
              </w:rPr>
              <w:t>5,285,000</w:t>
            </w:r>
          </w:p>
        </w:tc>
      </w:tr>
      <w:tr w:rsidR="00E16EE2" w:rsidTr="005134B7" w14:paraId="1FBF6F7C" w14:textId="77777777">
        <w:tc>
          <w:tcPr>
            <w:tcW w:w="2610" w:type="dxa"/>
            <w:vAlign w:val="bottom"/>
          </w:tcPr>
          <w:p w:rsidRPr="00A1604D" w:rsidR="00E16EE2" w:rsidP="00E16EE2" w:rsidRDefault="00E16EE2" w14:paraId="6C7EAA7A" w14:textId="5FA36534">
            <w:pPr>
              <w:tabs>
                <w:tab w:val="decimal" w:pos="870"/>
              </w:tabs>
              <w:jc w:val="left"/>
            </w:pPr>
            <w:r w:rsidRPr="00A1604D">
              <w:rPr>
                <w:color w:val="000000"/>
              </w:rPr>
              <w:t>7/1/2053</w:t>
            </w:r>
          </w:p>
        </w:tc>
        <w:tc>
          <w:tcPr>
            <w:tcW w:w="2700" w:type="dxa"/>
            <w:tcBorders>
              <w:top w:val="nil"/>
              <w:left w:val="nil"/>
              <w:bottom w:val="nil"/>
              <w:right w:val="nil"/>
            </w:tcBorders>
            <w:shd w:val="clear" w:color="auto" w:fill="auto"/>
            <w:vAlign w:val="bottom"/>
          </w:tcPr>
          <w:p w:rsidRPr="00E16EE2" w:rsidR="00E16EE2" w:rsidP="00E16EE2" w:rsidRDefault="00E16EE2" w14:paraId="525EF3E5" w14:textId="14F12D1C">
            <w:pPr>
              <w:tabs>
                <w:tab w:val="decimal" w:pos="1590"/>
              </w:tabs>
              <w:jc w:val="left"/>
            </w:pPr>
            <w:r w:rsidRPr="00E16EE2">
              <w:rPr>
                <w:color w:val="000000"/>
              </w:rPr>
              <w:t>5,410,000</w:t>
            </w:r>
          </w:p>
        </w:tc>
      </w:tr>
      <w:tr w:rsidR="00E16EE2" w:rsidTr="005134B7" w14:paraId="72760EDC" w14:textId="77777777">
        <w:tc>
          <w:tcPr>
            <w:tcW w:w="2610" w:type="dxa"/>
            <w:vAlign w:val="bottom"/>
          </w:tcPr>
          <w:p w:rsidRPr="00A1604D" w:rsidR="00E16EE2" w:rsidP="00E16EE2" w:rsidRDefault="00E16EE2" w14:paraId="0E24B2FB" w14:textId="1817BEDF">
            <w:pPr>
              <w:tabs>
                <w:tab w:val="decimal" w:pos="870"/>
              </w:tabs>
              <w:jc w:val="left"/>
            </w:pPr>
            <w:r w:rsidRPr="00A1604D">
              <w:rPr>
                <w:color w:val="000000"/>
              </w:rPr>
              <w:t>1/1/2054</w:t>
            </w:r>
          </w:p>
        </w:tc>
        <w:tc>
          <w:tcPr>
            <w:tcW w:w="2700" w:type="dxa"/>
            <w:tcBorders>
              <w:top w:val="nil"/>
              <w:left w:val="nil"/>
              <w:bottom w:val="nil"/>
              <w:right w:val="nil"/>
            </w:tcBorders>
            <w:shd w:val="clear" w:color="auto" w:fill="auto"/>
            <w:vAlign w:val="bottom"/>
          </w:tcPr>
          <w:p w:rsidRPr="00E16EE2" w:rsidR="00E16EE2" w:rsidP="00E16EE2" w:rsidRDefault="00E16EE2" w14:paraId="30F2ECE0" w14:textId="04B6D9A9">
            <w:pPr>
              <w:tabs>
                <w:tab w:val="decimal" w:pos="1590"/>
              </w:tabs>
              <w:jc w:val="left"/>
            </w:pPr>
            <w:r w:rsidRPr="00E16EE2">
              <w:rPr>
                <w:color w:val="000000"/>
              </w:rPr>
              <w:t>5,545,000</w:t>
            </w:r>
          </w:p>
        </w:tc>
      </w:tr>
      <w:tr w:rsidR="00E16EE2" w:rsidTr="005134B7" w14:paraId="179505A6" w14:textId="77777777">
        <w:tc>
          <w:tcPr>
            <w:tcW w:w="2610" w:type="dxa"/>
            <w:vAlign w:val="bottom"/>
          </w:tcPr>
          <w:p w:rsidRPr="00A1604D" w:rsidR="00E16EE2" w:rsidP="00E16EE2" w:rsidRDefault="00E16EE2" w14:paraId="362504AF" w14:textId="47B9D732">
            <w:pPr>
              <w:tabs>
                <w:tab w:val="decimal" w:pos="870"/>
              </w:tabs>
              <w:jc w:val="left"/>
            </w:pPr>
            <w:r w:rsidRPr="00A1604D">
              <w:rPr>
                <w:color w:val="000000"/>
              </w:rPr>
              <w:t>7/1/2054</w:t>
            </w:r>
            <w:r>
              <w:rPr>
                <w:color w:val="000000"/>
              </w:rPr>
              <w:t>**</w:t>
            </w:r>
          </w:p>
        </w:tc>
        <w:tc>
          <w:tcPr>
            <w:tcW w:w="2700" w:type="dxa"/>
            <w:tcBorders>
              <w:top w:val="nil"/>
              <w:left w:val="nil"/>
              <w:bottom w:val="nil"/>
              <w:right w:val="nil"/>
            </w:tcBorders>
            <w:shd w:val="clear" w:color="auto" w:fill="auto"/>
            <w:vAlign w:val="bottom"/>
          </w:tcPr>
          <w:p w:rsidRPr="00E16EE2" w:rsidR="00E16EE2" w:rsidP="00E16EE2" w:rsidRDefault="00E16EE2" w14:paraId="453183AB" w14:textId="37DE1235">
            <w:pPr>
              <w:tabs>
                <w:tab w:val="decimal" w:pos="1590"/>
              </w:tabs>
              <w:jc w:val="left"/>
              <w:rPr>
                <w:color w:val="000000"/>
              </w:rPr>
            </w:pPr>
            <w:r w:rsidRPr="00E16EE2">
              <w:rPr>
                <w:color w:val="000000"/>
              </w:rPr>
              <w:t>5,670,000</w:t>
            </w:r>
          </w:p>
        </w:tc>
      </w:tr>
    </w:tbl>
    <w:p w:rsidR="007B4F65" w:rsidP="007B4F65" w:rsidRDefault="007B4F65" w14:paraId="4B067291" w14:textId="77777777">
      <w:pPr>
        <w:tabs>
          <w:tab w:val="left" w:pos="2160"/>
        </w:tabs>
      </w:pPr>
    </w:p>
    <w:p w:rsidR="007B4F65" w:rsidP="007B4F65" w:rsidRDefault="007B4F65" w14:paraId="51660688" w14:textId="77777777">
      <w:pPr>
        <w:tabs>
          <w:tab w:val="left" w:pos="2160"/>
        </w:tabs>
      </w:pPr>
      <w:r>
        <w:tab/>
        <w:t>**Final Maturity</w:t>
      </w:r>
    </w:p>
    <w:p w:rsidR="007148B9" w:rsidP="00460D19" w:rsidRDefault="007148B9" w14:paraId="39F2BF5D" w14:textId="446A739B">
      <w:pPr>
        <w:tabs>
          <w:tab w:val="left" w:pos="2160"/>
        </w:tabs>
      </w:pPr>
    </w:p>
    <w:p w:rsidR="0048289B" w:rsidP="000F0458" w:rsidRDefault="0048289B" w14:paraId="7F75979F" w14:textId="30E07FE7">
      <w:pPr>
        <w:tabs>
          <w:tab w:val="left" w:pos="2160"/>
        </w:tabs>
      </w:pPr>
    </w:p>
    <w:p w:rsidR="0048289B" w:rsidP="0048289B" w:rsidRDefault="0048289B" w14:paraId="46CE772D" w14:textId="2CAED206">
      <w:pPr>
        <w:pStyle w:val="BodyTextFirstIndent"/>
        <w:spacing w:after="120"/>
      </w:pPr>
      <w:r w:rsidRPr="00000499">
        <w:t xml:space="preserve">The </w:t>
      </w:r>
      <w:r w:rsidR="001A2855">
        <w:t xml:space="preserve">2024 Series C-2 Bonds due July 1, 2039 (the </w:t>
      </w:r>
      <w:r w:rsidR="00E1605B">
        <w:t>“</w:t>
      </w:r>
      <w:r w:rsidRPr="00E1605B" w:rsidR="001A2855">
        <w:rPr>
          <w:i/>
        </w:rPr>
        <w:t>2039 C-2 Term Bonds</w:t>
      </w:r>
      <w:r w:rsidR="001A2855">
        <w:t>”), the 2024 Series C-2 Bonds due July 1, 2044 (the “</w:t>
      </w:r>
      <w:r w:rsidRPr="00E1605B" w:rsidR="001A2855">
        <w:rPr>
          <w:i/>
        </w:rPr>
        <w:t>2044 C-2 Term Bonds</w:t>
      </w:r>
      <w:r w:rsidR="001A2855">
        <w:t>”), the 2024 Series C-2 Bonds due July 1, 2048 (the “</w:t>
      </w:r>
      <w:r w:rsidRPr="00E1605B" w:rsidR="001A2855">
        <w:rPr>
          <w:i/>
        </w:rPr>
        <w:t>2048 C-2 Term Bonds</w:t>
      </w:r>
      <w:r w:rsidR="001A2855">
        <w:t xml:space="preserve">”), and the </w:t>
      </w:r>
      <w:r w:rsidR="00A1322C">
        <w:t>2024C-2</w:t>
      </w:r>
      <w:r w:rsidRPr="004549DE" w:rsidR="00475E8D">
        <w:t xml:space="preserve"> PAC Bonds</w:t>
      </w:r>
      <w:r w:rsidRPr="00000499" w:rsidR="00475E8D">
        <w:t xml:space="preserve"> </w:t>
      </w:r>
      <w:r w:rsidR="00475E8D">
        <w:t>(</w:t>
      </w:r>
      <w:r w:rsidR="00E1605B">
        <w:t xml:space="preserve">collectively, with the 2039 C-2 Term Bonds, the 2044 C-2 Term Bonds, and the 2048 </w:t>
      </w:r>
      <w:r w:rsidR="00E1605B">
        <w:lastRenderedPageBreak/>
        <w:t xml:space="preserve">C-2 Term Bonds, </w:t>
      </w:r>
      <w:r w:rsidRPr="00000499">
        <w:t xml:space="preserve">the </w:t>
      </w:r>
      <w:r>
        <w:t>“</w:t>
      </w:r>
      <w:r w:rsidR="00C7294C">
        <w:rPr>
          <w:i/>
        </w:rPr>
        <w:t>2024 Series C</w:t>
      </w:r>
      <w:r>
        <w:rPr>
          <w:i/>
        </w:rPr>
        <w:t>-</w:t>
      </w:r>
      <w:r w:rsidR="00DE6E8C">
        <w:rPr>
          <w:i/>
        </w:rPr>
        <w:t>2</w:t>
      </w:r>
      <w:r w:rsidRPr="00000499">
        <w:rPr>
          <w:i/>
        </w:rPr>
        <w:t xml:space="preserve"> Term Bonds</w:t>
      </w:r>
      <w:r>
        <w:t>”</w:t>
      </w:r>
      <w:r w:rsidR="00FF50E2">
        <w:t xml:space="preserve">, and together with the </w:t>
      </w:r>
      <w:r w:rsidR="00C7294C">
        <w:t>2024 Series C</w:t>
      </w:r>
      <w:r w:rsidR="00FF50E2">
        <w:t>-1 Term Bonds, the “</w:t>
      </w:r>
      <w:r w:rsidR="00C7294C">
        <w:rPr>
          <w:i/>
        </w:rPr>
        <w:t>2024 Series C</w:t>
      </w:r>
      <w:r w:rsidRPr="00FF50E2" w:rsidR="00FF50E2">
        <w:rPr>
          <w:i/>
        </w:rPr>
        <w:t xml:space="preserve"> Term Bonds</w:t>
      </w:r>
      <w:r w:rsidR="00FF50E2">
        <w:t>”</w:t>
      </w:r>
      <w:r w:rsidRPr="00000499">
        <w:t>), are subject to mandatory redemption in part on January 1 and July 1 of the respective years</w:t>
      </w:r>
      <w:r w:rsidRPr="00B34407">
        <w:t xml:space="preserve"> shown below at a redemption price equal to 100% of the principal amount of such </w:t>
      </w:r>
      <w:r w:rsidR="00C7294C">
        <w:t>2024 Series C</w:t>
      </w:r>
      <w:r>
        <w:t>-</w:t>
      </w:r>
      <w:r w:rsidR="00297BFB">
        <w:t>2</w:t>
      </w:r>
      <w:r>
        <w:t xml:space="preserve"> Term Bonds</w:t>
      </w:r>
      <w:r w:rsidRPr="00B34407">
        <w:t xml:space="preserve"> being redeemed, plus accrued and unpaid interest thereon to the redemption date (without premium), from mandatory sinking fund payments which are required to be made in amounts sufficient to redeem (or pay at maturity in the case of the final mandatory sinking fund payment) such </w:t>
      </w:r>
      <w:r w:rsidR="00C7294C">
        <w:t>2024 Series C</w:t>
      </w:r>
      <w:r>
        <w:t>-</w:t>
      </w:r>
      <w:r w:rsidR="00297BFB">
        <w:t>2</w:t>
      </w:r>
      <w:r>
        <w:t xml:space="preserve"> Term Bonds</w:t>
      </w:r>
      <w:r w:rsidRPr="00B34407">
        <w:t xml:space="preserve"> in the principal amounts (or in such lesser principal amount as may result from prior redemption or purchase by the Authority), as follows:</w:t>
      </w:r>
    </w:p>
    <w:p w:rsidRPr="003E694E" w:rsidR="00E1605B" w:rsidP="00E1605B" w:rsidRDefault="00E1605B" w14:paraId="7A8A32F5" w14:textId="77777777">
      <w:pPr>
        <w:pStyle w:val="BodyTextFirstIndent"/>
        <w:spacing w:after="120"/>
      </w:pP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Pr="003E694E" w:rsidR="00E1605B" w:rsidTr="00873F6B" w14:paraId="67FEA87B" w14:textId="77777777">
        <w:tc>
          <w:tcPr>
            <w:tcW w:w="5310" w:type="dxa"/>
            <w:gridSpan w:val="2"/>
            <w:vAlign w:val="bottom"/>
          </w:tcPr>
          <w:p w:rsidRPr="003E694E" w:rsidR="00E1605B" w:rsidP="00E1605B" w:rsidRDefault="00E1605B" w14:paraId="22D1DC57" w14:textId="0AAAD865">
            <w:pPr>
              <w:jc w:val="center"/>
              <w:rPr>
                <w:b/>
              </w:rPr>
            </w:pPr>
            <w:r w:rsidRPr="003E694E">
              <w:rPr>
                <w:b/>
              </w:rPr>
              <w:t>$</w:t>
            </w:r>
            <w:r>
              <w:rPr>
                <w:b/>
              </w:rPr>
              <w:t>8,670,000</w:t>
            </w:r>
          </w:p>
        </w:tc>
      </w:tr>
      <w:tr w:rsidRPr="003E694E" w:rsidR="00E1605B" w:rsidTr="00873F6B" w14:paraId="1D13803D" w14:textId="77777777">
        <w:tc>
          <w:tcPr>
            <w:tcW w:w="5310" w:type="dxa"/>
            <w:gridSpan w:val="2"/>
            <w:vAlign w:val="bottom"/>
          </w:tcPr>
          <w:p w:rsidRPr="003E694E" w:rsidR="00E1605B" w:rsidP="00061B8A" w:rsidRDefault="00E1605B" w14:paraId="2F925D56" w14:textId="5AAFD530">
            <w:pPr>
              <w:jc w:val="center"/>
              <w:rPr>
                <w:b/>
              </w:rPr>
            </w:pPr>
            <w:r>
              <w:rPr>
                <w:b/>
              </w:rPr>
              <w:t>2039</w:t>
            </w:r>
            <w:r w:rsidRPr="003E694E">
              <w:rPr>
                <w:b/>
              </w:rPr>
              <w:t xml:space="preserve"> </w:t>
            </w:r>
            <w:r>
              <w:rPr>
                <w:b/>
              </w:rPr>
              <w:t>C-2</w:t>
            </w:r>
            <w:r w:rsidRPr="003E694E">
              <w:rPr>
                <w:b/>
              </w:rPr>
              <w:t xml:space="preserve"> Term Bonds</w:t>
            </w:r>
          </w:p>
        </w:tc>
      </w:tr>
      <w:tr w:rsidRPr="003E694E" w:rsidR="00E1605B" w:rsidTr="00873F6B" w14:paraId="265DD232" w14:textId="77777777">
        <w:tc>
          <w:tcPr>
            <w:tcW w:w="2610" w:type="dxa"/>
            <w:vAlign w:val="bottom"/>
          </w:tcPr>
          <w:p w:rsidRPr="003E694E" w:rsidR="00E1605B" w:rsidP="00873F6B" w:rsidRDefault="00E1605B" w14:paraId="102B6F64" w14:textId="685DE257">
            <w:pPr>
              <w:jc w:val="center"/>
            </w:pPr>
            <w:r w:rsidRPr="003E694E">
              <w:rPr>
                <w:u w:val="single"/>
              </w:rPr>
              <w:t>Date</w:t>
            </w:r>
          </w:p>
        </w:tc>
        <w:tc>
          <w:tcPr>
            <w:tcW w:w="2700" w:type="dxa"/>
            <w:vAlign w:val="bottom"/>
          </w:tcPr>
          <w:p w:rsidRPr="003E694E" w:rsidR="00E1605B" w:rsidP="00873F6B" w:rsidRDefault="00E1605B" w14:paraId="6D5D10E3" w14:textId="3532E32F">
            <w:pPr>
              <w:jc w:val="center"/>
            </w:pPr>
            <w:r w:rsidRPr="003E694E">
              <w:rPr>
                <w:u w:val="single"/>
              </w:rPr>
              <w:t>Amount</w:t>
            </w:r>
          </w:p>
        </w:tc>
      </w:tr>
      <w:tr w:rsidRPr="003E694E" w:rsidR="00E1605B" w:rsidTr="00873F6B" w14:paraId="20CF782F" w14:textId="77777777">
        <w:tc>
          <w:tcPr>
            <w:tcW w:w="2610" w:type="dxa"/>
            <w:vAlign w:val="bottom"/>
          </w:tcPr>
          <w:p w:rsidRPr="003F2CD5" w:rsidR="00E1605B" w:rsidP="00E1605B" w:rsidRDefault="00E1605B" w14:paraId="78559A35" w14:textId="77777777">
            <w:pPr>
              <w:tabs>
                <w:tab w:val="decimal" w:pos="960"/>
              </w:tabs>
              <w:jc w:val="left"/>
            </w:pPr>
            <w:r w:rsidRPr="003F2CD5">
              <w:rPr>
                <w:color w:val="000000"/>
              </w:rPr>
              <w:t>1/1/2036</w:t>
            </w:r>
          </w:p>
        </w:tc>
        <w:tc>
          <w:tcPr>
            <w:tcW w:w="2700" w:type="dxa"/>
            <w:tcBorders>
              <w:top w:val="nil"/>
              <w:left w:val="nil"/>
              <w:bottom w:val="nil"/>
              <w:right w:val="nil"/>
            </w:tcBorders>
            <w:shd w:val="clear" w:color="auto" w:fill="auto"/>
            <w:vAlign w:val="bottom"/>
          </w:tcPr>
          <w:p w:rsidRPr="00E1605B" w:rsidR="00E1605B" w:rsidP="00E1605B" w:rsidRDefault="00E1605B" w14:paraId="0709DF7D" w14:textId="23250CE1">
            <w:pPr>
              <w:tabs>
                <w:tab w:val="decimal" w:pos="1590"/>
              </w:tabs>
              <w:jc w:val="left"/>
            </w:pPr>
            <w:r>
              <w:rPr>
                <w:color w:val="000000"/>
              </w:rPr>
              <w:t>$</w:t>
            </w:r>
            <w:r w:rsidRPr="00E1605B">
              <w:rPr>
                <w:color w:val="000000"/>
              </w:rPr>
              <w:t>950,000</w:t>
            </w:r>
          </w:p>
        </w:tc>
      </w:tr>
      <w:tr w:rsidRPr="003E694E" w:rsidR="00E1605B" w:rsidTr="00873F6B" w14:paraId="22571E11" w14:textId="77777777">
        <w:tc>
          <w:tcPr>
            <w:tcW w:w="2610" w:type="dxa"/>
            <w:vAlign w:val="bottom"/>
          </w:tcPr>
          <w:p w:rsidRPr="003F2CD5" w:rsidR="00E1605B" w:rsidP="00E1605B" w:rsidRDefault="00E1605B" w14:paraId="52425846" w14:textId="77777777">
            <w:pPr>
              <w:tabs>
                <w:tab w:val="decimal" w:pos="960"/>
              </w:tabs>
              <w:jc w:val="left"/>
            </w:pPr>
            <w:r w:rsidRPr="003F2CD5">
              <w:rPr>
                <w:color w:val="000000"/>
              </w:rPr>
              <w:t>7/1/2036</w:t>
            </w:r>
          </w:p>
        </w:tc>
        <w:tc>
          <w:tcPr>
            <w:tcW w:w="2700" w:type="dxa"/>
            <w:tcBorders>
              <w:top w:val="nil"/>
              <w:left w:val="nil"/>
              <w:bottom w:val="nil"/>
              <w:right w:val="nil"/>
            </w:tcBorders>
            <w:shd w:val="clear" w:color="auto" w:fill="auto"/>
            <w:vAlign w:val="bottom"/>
          </w:tcPr>
          <w:p w:rsidRPr="00E1605B" w:rsidR="00E1605B" w:rsidP="00E1605B" w:rsidRDefault="00E1605B" w14:paraId="56414DEB" w14:textId="1EC32B4D">
            <w:pPr>
              <w:tabs>
                <w:tab w:val="decimal" w:pos="1590"/>
              </w:tabs>
              <w:jc w:val="left"/>
            </w:pPr>
            <w:r w:rsidRPr="00E1605B">
              <w:rPr>
                <w:color w:val="000000"/>
              </w:rPr>
              <w:t>985,000</w:t>
            </w:r>
          </w:p>
        </w:tc>
      </w:tr>
      <w:tr w:rsidRPr="003E694E" w:rsidR="00E1605B" w:rsidTr="00873F6B" w14:paraId="5E5BA464" w14:textId="77777777">
        <w:tc>
          <w:tcPr>
            <w:tcW w:w="2610" w:type="dxa"/>
            <w:vAlign w:val="bottom"/>
          </w:tcPr>
          <w:p w:rsidRPr="003F2CD5" w:rsidR="00E1605B" w:rsidP="00E1605B" w:rsidRDefault="00E1605B" w14:paraId="03294906" w14:textId="77777777">
            <w:pPr>
              <w:tabs>
                <w:tab w:val="decimal" w:pos="960"/>
              </w:tabs>
              <w:jc w:val="left"/>
            </w:pPr>
            <w:r w:rsidRPr="003F2CD5">
              <w:rPr>
                <w:color w:val="000000"/>
              </w:rPr>
              <w:t>1/1/2037</w:t>
            </w:r>
          </w:p>
        </w:tc>
        <w:tc>
          <w:tcPr>
            <w:tcW w:w="2700" w:type="dxa"/>
            <w:tcBorders>
              <w:top w:val="nil"/>
              <w:left w:val="nil"/>
              <w:bottom w:val="nil"/>
              <w:right w:val="nil"/>
            </w:tcBorders>
            <w:shd w:val="clear" w:color="auto" w:fill="auto"/>
            <w:vAlign w:val="bottom"/>
          </w:tcPr>
          <w:p w:rsidRPr="00E1605B" w:rsidR="00E1605B" w:rsidP="00E1605B" w:rsidRDefault="00E1605B" w14:paraId="61E30C4C" w14:textId="6314E9FC">
            <w:pPr>
              <w:tabs>
                <w:tab w:val="decimal" w:pos="1590"/>
              </w:tabs>
              <w:jc w:val="left"/>
            </w:pPr>
            <w:r w:rsidRPr="00E1605B">
              <w:rPr>
                <w:color w:val="000000"/>
              </w:rPr>
              <w:t>1,025,000</w:t>
            </w:r>
          </w:p>
        </w:tc>
      </w:tr>
      <w:tr w:rsidRPr="003E694E" w:rsidR="00E1605B" w:rsidTr="00873F6B" w14:paraId="3B98CD09" w14:textId="77777777">
        <w:tc>
          <w:tcPr>
            <w:tcW w:w="2610" w:type="dxa"/>
            <w:vAlign w:val="bottom"/>
          </w:tcPr>
          <w:p w:rsidRPr="003F2CD5" w:rsidR="00E1605B" w:rsidP="00E1605B" w:rsidRDefault="00E1605B" w14:paraId="7CBE6691" w14:textId="77777777">
            <w:pPr>
              <w:tabs>
                <w:tab w:val="decimal" w:pos="960"/>
              </w:tabs>
              <w:jc w:val="left"/>
            </w:pPr>
            <w:r w:rsidRPr="003F2CD5">
              <w:rPr>
                <w:color w:val="000000"/>
              </w:rPr>
              <w:t>7/1/2037</w:t>
            </w:r>
          </w:p>
        </w:tc>
        <w:tc>
          <w:tcPr>
            <w:tcW w:w="2700" w:type="dxa"/>
            <w:tcBorders>
              <w:top w:val="nil"/>
              <w:left w:val="nil"/>
              <w:bottom w:val="nil"/>
              <w:right w:val="nil"/>
            </w:tcBorders>
            <w:shd w:val="clear" w:color="auto" w:fill="auto"/>
            <w:vAlign w:val="bottom"/>
          </w:tcPr>
          <w:p w:rsidRPr="00E1605B" w:rsidR="00E1605B" w:rsidP="00E1605B" w:rsidRDefault="00E1605B" w14:paraId="2F71CB80" w14:textId="157B5C44">
            <w:pPr>
              <w:tabs>
                <w:tab w:val="decimal" w:pos="1590"/>
              </w:tabs>
              <w:jc w:val="left"/>
            </w:pPr>
            <w:r w:rsidRPr="00E1605B">
              <w:rPr>
                <w:color w:val="000000"/>
              </w:rPr>
              <w:t>1,060,000</w:t>
            </w:r>
          </w:p>
        </w:tc>
      </w:tr>
      <w:tr w:rsidRPr="003E694E" w:rsidR="00E1605B" w:rsidTr="00873F6B" w14:paraId="3741E7C9" w14:textId="77777777">
        <w:tc>
          <w:tcPr>
            <w:tcW w:w="2610" w:type="dxa"/>
            <w:vAlign w:val="bottom"/>
          </w:tcPr>
          <w:p w:rsidRPr="003F2CD5" w:rsidR="00E1605B" w:rsidP="00E1605B" w:rsidRDefault="00E1605B" w14:paraId="6FFE9C72" w14:textId="77777777">
            <w:pPr>
              <w:tabs>
                <w:tab w:val="decimal" w:pos="960"/>
              </w:tabs>
              <w:jc w:val="left"/>
            </w:pPr>
            <w:r w:rsidRPr="003F2CD5">
              <w:rPr>
                <w:color w:val="000000"/>
              </w:rPr>
              <w:t>1/1/2038</w:t>
            </w:r>
          </w:p>
        </w:tc>
        <w:tc>
          <w:tcPr>
            <w:tcW w:w="2700" w:type="dxa"/>
            <w:tcBorders>
              <w:top w:val="nil"/>
              <w:left w:val="nil"/>
              <w:bottom w:val="nil"/>
              <w:right w:val="nil"/>
            </w:tcBorders>
            <w:shd w:val="clear" w:color="auto" w:fill="auto"/>
            <w:vAlign w:val="bottom"/>
          </w:tcPr>
          <w:p w:rsidRPr="00E1605B" w:rsidR="00E1605B" w:rsidP="00E1605B" w:rsidRDefault="00E1605B" w14:paraId="15C4BAE0" w14:textId="6CB06A21">
            <w:pPr>
              <w:tabs>
                <w:tab w:val="decimal" w:pos="1590"/>
              </w:tabs>
              <w:jc w:val="left"/>
            </w:pPr>
            <w:r w:rsidRPr="00E1605B">
              <w:rPr>
                <w:color w:val="000000"/>
              </w:rPr>
              <w:t>1,100,000</w:t>
            </w:r>
          </w:p>
        </w:tc>
      </w:tr>
      <w:tr w:rsidRPr="003E694E" w:rsidR="00E1605B" w:rsidTr="00873F6B" w14:paraId="115D8BC3" w14:textId="77777777">
        <w:tc>
          <w:tcPr>
            <w:tcW w:w="2610" w:type="dxa"/>
            <w:vAlign w:val="bottom"/>
          </w:tcPr>
          <w:p w:rsidRPr="003F2CD5" w:rsidR="00E1605B" w:rsidP="00E1605B" w:rsidRDefault="00E1605B" w14:paraId="7665DDA3" w14:textId="77777777">
            <w:pPr>
              <w:tabs>
                <w:tab w:val="decimal" w:pos="960"/>
              </w:tabs>
              <w:jc w:val="left"/>
            </w:pPr>
            <w:r w:rsidRPr="003F2CD5">
              <w:rPr>
                <w:color w:val="000000"/>
              </w:rPr>
              <w:t>7/1/2038</w:t>
            </w:r>
          </w:p>
        </w:tc>
        <w:tc>
          <w:tcPr>
            <w:tcW w:w="2700" w:type="dxa"/>
            <w:tcBorders>
              <w:top w:val="nil"/>
              <w:left w:val="nil"/>
              <w:bottom w:val="nil"/>
              <w:right w:val="nil"/>
            </w:tcBorders>
            <w:shd w:val="clear" w:color="auto" w:fill="auto"/>
            <w:vAlign w:val="bottom"/>
          </w:tcPr>
          <w:p w:rsidRPr="00E1605B" w:rsidR="00E1605B" w:rsidP="00E1605B" w:rsidRDefault="00E1605B" w14:paraId="3CF4AB54" w14:textId="45E2A69E">
            <w:pPr>
              <w:tabs>
                <w:tab w:val="decimal" w:pos="1590"/>
              </w:tabs>
              <w:jc w:val="left"/>
              <w:rPr>
                <w:color w:val="000000"/>
              </w:rPr>
            </w:pPr>
            <w:r w:rsidRPr="00E1605B">
              <w:rPr>
                <w:color w:val="000000"/>
              </w:rPr>
              <w:t>1,140,000</w:t>
            </w:r>
          </w:p>
        </w:tc>
      </w:tr>
      <w:tr w:rsidRPr="003E694E" w:rsidR="00E1605B" w:rsidTr="00873F6B" w14:paraId="12B216A6" w14:textId="77777777">
        <w:tc>
          <w:tcPr>
            <w:tcW w:w="2610" w:type="dxa"/>
            <w:vAlign w:val="bottom"/>
          </w:tcPr>
          <w:p w:rsidRPr="003F2CD5" w:rsidR="00E1605B" w:rsidP="00E1605B" w:rsidRDefault="00E1605B" w14:paraId="4CC76DF0" w14:textId="77777777">
            <w:pPr>
              <w:tabs>
                <w:tab w:val="decimal" w:pos="960"/>
              </w:tabs>
              <w:jc w:val="left"/>
            </w:pPr>
            <w:r w:rsidRPr="003F2CD5">
              <w:rPr>
                <w:color w:val="000000"/>
              </w:rPr>
              <w:t>1/1/2039</w:t>
            </w:r>
          </w:p>
        </w:tc>
        <w:tc>
          <w:tcPr>
            <w:tcW w:w="2700" w:type="dxa"/>
            <w:tcBorders>
              <w:top w:val="nil"/>
              <w:left w:val="nil"/>
              <w:bottom w:val="nil"/>
              <w:right w:val="nil"/>
            </w:tcBorders>
            <w:shd w:val="clear" w:color="auto" w:fill="auto"/>
            <w:vAlign w:val="bottom"/>
          </w:tcPr>
          <w:p w:rsidRPr="00E1605B" w:rsidR="00E1605B" w:rsidP="00E1605B" w:rsidRDefault="00E1605B" w14:paraId="19D16F93" w14:textId="7299634D">
            <w:pPr>
              <w:tabs>
                <w:tab w:val="decimal" w:pos="1590"/>
              </w:tabs>
              <w:jc w:val="left"/>
              <w:rPr>
                <w:color w:val="000000"/>
              </w:rPr>
            </w:pPr>
            <w:r w:rsidRPr="00E1605B">
              <w:rPr>
                <w:color w:val="000000"/>
              </w:rPr>
              <w:t>1,185,000</w:t>
            </w:r>
          </w:p>
        </w:tc>
      </w:tr>
      <w:tr w:rsidRPr="003E694E" w:rsidR="00E1605B" w:rsidTr="00873F6B" w14:paraId="4CD2F0B8" w14:textId="77777777">
        <w:tc>
          <w:tcPr>
            <w:tcW w:w="2610" w:type="dxa"/>
            <w:vAlign w:val="bottom"/>
          </w:tcPr>
          <w:p w:rsidRPr="003F2CD5" w:rsidR="00E1605B" w:rsidP="00E1605B" w:rsidRDefault="00E1605B" w14:paraId="551B9347" w14:textId="77777777">
            <w:pPr>
              <w:tabs>
                <w:tab w:val="decimal" w:pos="960"/>
              </w:tabs>
              <w:jc w:val="left"/>
            </w:pPr>
            <w:r w:rsidRPr="003F2CD5">
              <w:rPr>
                <w:color w:val="000000"/>
              </w:rPr>
              <w:t>7/1/2039**</w:t>
            </w:r>
          </w:p>
        </w:tc>
        <w:tc>
          <w:tcPr>
            <w:tcW w:w="2700" w:type="dxa"/>
            <w:tcBorders>
              <w:top w:val="nil"/>
              <w:left w:val="nil"/>
              <w:bottom w:val="nil"/>
              <w:right w:val="nil"/>
            </w:tcBorders>
            <w:shd w:val="clear" w:color="auto" w:fill="auto"/>
            <w:vAlign w:val="bottom"/>
          </w:tcPr>
          <w:p w:rsidRPr="00E1605B" w:rsidR="00E1605B" w:rsidP="00E1605B" w:rsidRDefault="00E1605B" w14:paraId="1DEDF4BE" w14:textId="2BA95C69">
            <w:pPr>
              <w:tabs>
                <w:tab w:val="decimal" w:pos="1590"/>
              </w:tabs>
              <w:jc w:val="left"/>
            </w:pPr>
            <w:r w:rsidRPr="00E1605B">
              <w:rPr>
                <w:color w:val="000000"/>
              </w:rPr>
              <w:t>1,225,000</w:t>
            </w:r>
          </w:p>
        </w:tc>
      </w:tr>
    </w:tbl>
    <w:p w:rsidRPr="003E694E" w:rsidR="00E1605B" w:rsidP="00E1605B" w:rsidRDefault="00E1605B" w14:paraId="53699890" w14:textId="77777777">
      <w:pPr>
        <w:tabs>
          <w:tab w:val="left" w:pos="2160"/>
        </w:tabs>
      </w:pPr>
      <w:r w:rsidRPr="003E694E">
        <w:tab/>
      </w:r>
    </w:p>
    <w:p w:rsidRPr="003E694E" w:rsidR="00E1605B" w:rsidP="00E1605B" w:rsidRDefault="00E1605B" w14:paraId="150E9E5D" w14:textId="77777777">
      <w:pPr>
        <w:tabs>
          <w:tab w:val="left" w:pos="2160"/>
        </w:tabs>
      </w:pPr>
      <w:r w:rsidRPr="003E694E">
        <w:tab/>
        <w:t>**Final Maturity</w:t>
      </w:r>
      <w:r w:rsidRPr="003E694E">
        <w:tab/>
      </w:r>
    </w:p>
    <w:p w:rsidR="00E1605B" w:rsidP="00E1605B" w:rsidRDefault="00E1605B" w14:paraId="6CDE054A" w14:textId="77777777">
      <w:pPr>
        <w:tabs>
          <w:tab w:val="left" w:pos="2160"/>
        </w:tabs>
      </w:pPr>
      <w:r>
        <w:tab/>
      </w:r>
    </w:p>
    <w:p w:rsidR="00E1605B" w:rsidP="00E1605B" w:rsidRDefault="00E1605B" w14:paraId="1C7DC7DE" w14:textId="77777777">
      <w:pPr>
        <w:tabs>
          <w:tab w:val="left" w:pos="2160"/>
        </w:tabs>
      </w:pP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Pr="003E694E" w:rsidR="00E1605B" w:rsidTr="00873F6B" w14:paraId="052F0709" w14:textId="77777777">
        <w:tc>
          <w:tcPr>
            <w:tcW w:w="5310" w:type="dxa"/>
            <w:gridSpan w:val="2"/>
            <w:vAlign w:val="bottom"/>
          </w:tcPr>
          <w:p w:rsidRPr="00133216" w:rsidR="00E1605B" w:rsidP="00E1605B" w:rsidRDefault="00E1605B" w14:paraId="20695D5A" w14:textId="61838ED1">
            <w:pPr>
              <w:pStyle w:val="abodytextbold"/>
              <w:keepNext w:val="0"/>
              <w:spacing w:after="0"/>
              <w:jc w:val="center"/>
              <w:rPr>
                <w:bCs w:val="0"/>
              </w:rPr>
            </w:pPr>
            <w:r w:rsidRPr="003E694E">
              <w:t>$</w:t>
            </w:r>
            <w:r>
              <w:t>15,095,000</w:t>
            </w:r>
          </w:p>
        </w:tc>
      </w:tr>
      <w:tr w:rsidRPr="003E694E" w:rsidR="00E1605B" w:rsidTr="00873F6B" w14:paraId="0A623232" w14:textId="77777777">
        <w:tc>
          <w:tcPr>
            <w:tcW w:w="5310" w:type="dxa"/>
            <w:gridSpan w:val="2"/>
            <w:vAlign w:val="bottom"/>
          </w:tcPr>
          <w:p w:rsidRPr="00133216" w:rsidR="00E1605B" w:rsidP="00E1605B" w:rsidRDefault="00E1605B" w14:paraId="782DA6BA" w14:textId="2341D26E">
            <w:pPr>
              <w:pStyle w:val="aendof"/>
              <w:spacing w:before="0"/>
              <w:rPr>
                <w:b/>
              </w:rPr>
            </w:pPr>
            <w:r>
              <w:rPr>
                <w:b/>
              </w:rPr>
              <w:t>2044</w:t>
            </w:r>
            <w:r w:rsidRPr="003E694E">
              <w:rPr>
                <w:b/>
              </w:rPr>
              <w:t xml:space="preserve"> </w:t>
            </w:r>
            <w:r>
              <w:rPr>
                <w:b/>
              </w:rPr>
              <w:t>C-2</w:t>
            </w:r>
            <w:r w:rsidR="00061B8A">
              <w:rPr>
                <w:b/>
              </w:rPr>
              <w:t xml:space="preserve"> Term Bonds</w:t>
            </w:r>
          </w:p>
        </w:tc>
      </w:tr>
      <w:tr w:rsidRPr="003E694E" w:rsidR="00E1605B" w:rsidTr="00873F6B" w14:paraId="5F30205C" w14:textId="77777777">
        <w:tc>
          <w:tcPr>
            <w:tcW w:w="2610" w:type="dxa"/>
            <w:vAlign w:val="bottom"/>
          </w:tcPr>
          <w:p w:rsidRPr="003E694E" w:rsidR="00E1605B" w:rsidP="00873F6B" w:rsidRDefault="00E1605B" w14:paraId="742C6F1E" w14:textId="14B6041E">
            <w:pPr>
              <w:jc w:val="center"/>
            </w:pPr>
            <w:r w:rsidRPr="003E694E">
              <w:rPr>
                <w:u w:val="single"/>
              </w:rPr>
              <w:t>Date</w:t>
            </w:r>
          </w:p>
        </w:tc>
        <w:tc>
          <w:tcPr>
            <w:tcW w:w="2700" w:type="dxa"/>
            <w:vAlign w:val="bottom"/>
          </w:tcPr>
          <w:p w:rsidRPr="003E694E" w:rsidR="00E1605B" w:rsidP="00873F6B" w:rsidRDefault="00E1605B" w14:paraId="67AFD2A0" w14:textId="7A7000D5">
            <w:pPr>
              <w:jc w:val="center"/>
            </w:pPr>
            <w:r w:rsidRPr="003E694E">
              <w:rPr>
                <w:u w:val="single"/>
              </w:rPr>
              <w:t>Amount</w:t>
            </w:r>
            <w:r w:rsidRPr="003E694E">
              <w:t xml:space="preserve"> </w:t>
            </w:r>
          </w:p>
        </w:tc>
      </w:tr>
      <w:tr w:rsidRPr="003E694E" w:rsidR="00E1605B" w:rsidTr="00873F6B" w14:paraId="79A5CFE9" w14:textId="77777777">
        <w:tc>
          <w:tcPr>
            <w:tcW w:w="2610" w:type="dxa"/>
            <w:vAlign w:val="bottom"/>
          </w:tcPr>
          <w:p w:rsidRPr="003F2CD5" w:rsidR="00E1605B" w:rsidP="00E1605B" w:rsidRDefault="00E1605B" w14:paraId="54565A43" w14:textId="77777777">
            <w:pPr>
              <w:tabs>
                <w:tab w:val="decimal" w:pos="870"/>
              </w:tabs>
              <w:jc w:val="left"/>
            </w:pPr>
            <w:r w:rsidRPr="003F2CD5">
              <w:rPr>
                <w:color w:val="000000"/>
              </w:rPr>
              <w:t>1/1/2040</w:t>
            </w:r>
          </w:p>
        </w:tc>
        <w:tc>
          <w:tcPr>
            <w:tcW w:w="2700" w:type="dxa"/>
            <w:tcBorders>
              <w:top w:val="nil"/>
              <w:left w:val="nil"/>
              <w:bottom w:val="nil"/>
              <w:right w:val="nil"/>
            </w:tcBorders>
            <w:shd w:val="clear" w:color="auto" w:fill="auto"/>
            <w:vAlign w:val="bottom"/>
          </w:tcPr>
          <w:p w:rsidRPr="00E1605B" w:rsidR="00E1605B" w:rsidP="00E1605B" w:rsidRDefault="00E1605B" w14:paraId="0FD1AB50" w14:textId="5C9A6E4A">
            <w:pPr>
              <w:tabs>
                <w:tab w:val="decimal" w:pos="1590"/>
              </w:tabs>
              <w:jc w:val="left"/>
              <w:rPr>
                <w:u w:val="single"/>
              </w:rPr>
            </w:pPr>
            <w:r>
              <w:rPr>
                <w:color w:val="000000"/>
              </w:rPr>
              <w:t>$</w:t>
            </w:r>
            <w:r w:rsidRPr="00E1605B">
              <w:rPr>
                <w:color w:val="000000"/>
              </w:rPr>
              <w:t>1,275,000</w:t>
            </w:r>
          </w:p>
        </w:tc>
      </w:tr>
      <w:tr w:rsidRPr="003E694E" w:rsidR="00E1605B" w:rsidTr="00873F6B" w14:paraId="57CC8A2E" w14:textId="77777777">
        <w:tc>
          <w:tcPr>
            <w:tcW w:w="2610" w:type="dxa"/>
            <w:vAlign w:val="bottom"/>
          </w:tcPr>
          <w:p w:rsidRPr="003F2CD5" w:rsidR="00E1605B" w:rsidP="00E1605B" w:rsidRDefault="00E1605B" w14:paraId="69261228" w14:textId="77777777">
            <w:pPr>
              <w:tabs>
                <w:tab w:val="decimal" w:pos="870"/>
              </w:tabs>
              <w:jc w:val="left"/>
            </w:pPr>
            <w:r w:rsidRPr="003F2CD5">
              <w:rPr>
                <w:color w:val="000000"/>
              </w:rPr>
              <w:t>7/1/2040</w:t>
            </w:r>
          </w:p>
        </w:tc>
        <w:tc>
          <w:tcPr>
            <w:tcW w:w="2700" w:type="dxa"/>
            <w:tcBorders>
              <w:top w:val="nil"/>
              <w:left w:val="nil"/>
              <w:bottom w:val="nil"/>
              <w:right w:val="nil"/>
            </w:tcBorders>
            <w:shd w:val="clear" w:color="auto" w:fill="auto"/>
            <w:vAlign w:val="bottom"/>
          </w:tcPr>
          <w:p w:rsidRPr="00E1605B" w:rsidR="00E1605B" w:rsidP="00E1605B" w:rsidRDefault="00E1605B" w14:paraId="749373C0" w14:textId="1831BA19">
            <w:pPr>
              <w:tabs>
                <w:tab w:val="decimal" w:pos="1590"/>
              </w:tabs>
              <w:jc w:val="left"/>
            </w:pPr>
            <w:r w:rsidRPr="00E1605B">
              <w:rPr>
                <w:color w:val="000000"/>
              </w:rPr>
              <w:t>1,320,000</w:t>
            </w:r>
          </w:p>
        </w:tc>
      </w:tr>
      <w:tr w:rsidRPr="003E694E" w:rsidR="00E1605B" w:rsidTr="00873F6B" w14:paraId="5AEBD8A5" w14:textId="77777777">
        <w:tc>
          <w:tcPr>
            <w:tcW w:w="2610" w:type="dxa"/>
            <w:vAlign w:val="bottom"/>
          </w:tcPr>
          <w:p w:rsidRPr="003F2CD5" w:rsidR="00E1605B" w:rsidP="00E1605B" w:rsidRDefault="00E1605B" w14:paraId="5CDDE33F" w14:textId="77777777">
            <w:pPr>
              <w:tabs>
                <w:tab w:val="decimal" w:pos="870"/>
              </w:tabs>
              <w:jc w:val="left"/>
            </w:pPr>
            <w:r w:rsidRPr="003F2CD5">
              <w:rPr>
                <w:color w:val="000000"/>
              </w:rPr>
              <w:t>1/1/2041</w:t>
            </w:r>
          </w:p>
        </w:tc>
        <w:tc>
          <w:tcPr>
            <w:tcW w:w="2700" w:type="dxa"/>
            <w:tcBorders>
              <w:top w:val="nil"/>
              <w:left w:val="nil"/>
              <w:bottom w:val="nil"/>
              <w:right w:val="nil"/>
            </w:tcBorders>
            <w:shd w:val="clear" w:color="auto" w:fill="auto"/>
            <w:vAlign w:val="bottom"/>
          </w:tcPr>
          <w:p w:rsidRPr="00E1605B" w:rsidR="00E1605B" w:rsidP="00E1605B" w:rsidRDefault="00E1605B" w14:paraId="4763CE3D" w14:textId="5EE896A7">
            <w:pPr>
              <w:tabs>
                <w:tab w:val="decimal" w:pos="1590"/>
              </w:tabs>
              <w:jc w:val="left"/>
            </w:pPr>
            <w:r w:rsidRPr="00E1605B">
              <w:rPr>
                <w:color w:val="000000"/>
              </w:rPr>
              <w:t>1,370,000</w:t>
            </w:r>
          </w:p>
        </w:tc>
      </w:tr>
      <w:tr w:rsidRPr="003E694E" w:rsidR="00E1605B" w:rsidTr="00873F6B" w14:paraId="62E3CC2B" w14:textId="77777777">
        <w:tc>
          <w:tcPr>
            <w:tcW w:w="2610" w:type="dxa"/>
            <w:vAlign w:val="bottom"/>
          </w:tcPr>
          <w:p w:rsidRPr="003F2CD5" w:rsidR="00E1605B" w:rsidP="00E1605B" w:rsidRDefault="00E1605B" w14:paraId="24E30DA8" w14:textId="77777777">
            <w:pPr>
              <w:tabs>
                <w:tab w:val="decimal" w:pos="870"/>
              </w:tabs>
              <w:jc w:val="left"/>
            </w:pPr>
            <w:r w:rsidRPr="003F2CD5">
              <w:rPr>
                <w:color w:val="000000"/>
              </w:rPr>
              <w:t>7/1/2041</w:t>
            </w:r>
          </w:p>
        </w:tc>
        <w:tc>
          <w:tcPr>
            <w:tcW w:w="2700" w:type="dxa"/>
            <w:tcBorders>
              <w:top w:val="nil"/>
              <w:left w:val="nil"/>
              <w:bottom w:val="nil"/>
              <w:right w:val="nil"/>
            </w:tcBorders>
            <w:shd w:val="clear" w:color="auto" w:fill="auto"/>
            <w:vAlign w:val="bottom"/>
          </w:tcPr>
          <w:p w:rsidRPr="00E1605B" w:rsidR="00E1605B" w:rsidP="00E1605B" w:rsidRDefault="00E1605B" w14:paraId="358FA619" w14:textId="3C1137D0">
            <w:pPr>
              <w:tabs>
                <w:tab w:val="decimal" w:pos="1590"/>
              </w:tabs>
              <w:jc w:val="left"/>
            </w:pPr>
            <w:r w:rsidRPr="00E1605B">
              <w:rPr>
                <w:color w:val="000000"/>
              </w:rPr>
              <w:t>1,420,000</w:t>
            </w:r>
          </w:p>
        </w:tc>
      </w:tr>
      <w:tr w:rsidRPr="003E694E" w:rsidR="00E1605B" w:rsidTr="00873F6B" w14:paraId="1C2145D3" w14:textId="77777777">
        <w:tc>
          <w:tcPr>
            <w:tcW w:w="2610" w:type="dxa"/>
            <w:vAlign w:val="bottom"/>
          </w:tcPr>
          <w:p w:rsidRPr="003F2CD5" w:rsidR="00E1605B" w:rsidP="00E1605B" w:rsidRDefault="00E1605B" w14:paraId="581C8B93" w14:textId="77777777">
            <w:pPr>
              <w:tabs>
                <w:tab w:val="decimal" w:pos="870"/>
              </w:tabs>
              <w:jc w:val="left"/>
            </w:pPr>
            <w:r w:rsidRPr="003F2CD5">
              <w:rPr>
                <w:color w:val="000000"/>
              </w:rPr>
              <w:t>1/1/2042</w:t>
            </w:r>
          </w:p>
        </w:tc>
        <w:tc>
          <w:tcPr>
            <w:tcW w:w="2700" w:type="dxa"/>
            <w:tcBorders>
              <w:top w:val="nil"/>
              <w:left w:val="nil"/>
              <w:bottom w:val="nil"/>
              <w:right w:val="nil"/>
            </w:tcBorders>
            <w:shd w:val="clear" w:color="auto" w:fill="auto"/>
            <w:vAlign w:val="bottom"/>
          </w:tcPr>
          <w:p w:rsidRPr="00E1605B" w:rsidR="00E1605B" w:rsidP="00E1605B" w:rsidRDefault="00E1605B" w14:paraId="5A236D34" w14:textId="6B5EBC6F">
            <w:pPr>
              <w:tabs>
                <w:tab w:val="decimal" w:pos="1590"/>
              </w:tabs>
              <w:jc w:val="left"/>
            </w:pPr>
            <w:r w:rsidRPr="00E1605B">
              <w:rPr>
                <w:color w:val="000000"/>
              </w:rPr>
              <w:t>1,475,000</w:t>
            </w:r>
          </w:p>
        </w:tc>
      </w:tr>
      <w:tr w:rsidRPr="003E694E" w:rsidR="00E1605B" w:rsidTr="00873F6B" w14:paraId="64605E26" w14:textId="77777777">
        <w:tc>
          <w:tcPr>
            <w:tcW w:w="2610" w:type="dxa"/>
            <w:vAlign w:val="bottom"/>
          </w:tcPr>
          <w:p w:rsidRPr="003F2CD5" w:rsidR="00E1605B" w:rsidP="00E1605B" w:rsidRDefault="00E1605B" w14:paraId="438072A3" w14:textId="77777777">
            <w:pPr>
              <w:tabs>
                <w:tab w:val="decimal" w:pos="870"/>
              </w:tabs>
              <w:jc w:val="left"/>
            </w:pPr>
            <w:r w:rsidRPr="003F2CD5">
              <w:rPr>
                <w:color w:val="000000"/>
              </w:rPr>
              <w:t>7/1/2042</w:t>
            </w:r>
          </w:p>
        </w:tc>
        <w:tc>
          <w:tcPr>
            <w:tcW w:w="2700" w:type="dxa"/>
            <w:tcBorders>
              <w:top w:val="nil"/>
              <w:left w:val="nil"/>
              <w:bottom w:val="nil"/>
              <w:right w:val="nil"/>
            </w:tcBorders>
            <w:shd w:val="clear" w:color="auto" w:fill="auto"/>
            <w:vAlign w:val="bottom"/>
          </w:tcPr>
          <w:p w:rsidRPr="00E1605B" w:rsidR="00E1605B" w:rsidP="00E1605B" w:rsidRDefault="00E1605B" w14:paraId="31BABFE4" w14:textId="5816BCBA">
            <w:pPr>
              <w:tabs>
                <w:tab w:val="decimal" w:pos="1590"/>
              </w:tabs>
              <w:jc w:val="left"/>
            </w:pPr>
            <w:r w:rsidRPr="00E1605B">
              <w:rPr>
                <w:color w:val="000000"/>
              </w:rPr>
              <w:t>1,530,000</w:t>
            </w:r>
          </w:p>
        </w:tc>
      </w:tr>
      <w:tr w:rsidRPr="003E694E" w:rsidR="00E1605B" w:rsidTr="00873F6B" w14:paraId="70221030" w14:textId="77777777">
        <w:tc>
          <w:tcPr>
            <w:tcW w:w="2610" w:type="dxa"/>
            <w:vAlign w:val="bottom"/>
          </w:tcPr>
          <w:p w:rsidRPr="003F2CD5" w:rsidR="00E1605B" w:rsidP="00E1605B" w:rsidRDefault="00E1605B" w14:paraId="6008CD37" w14:textId="77777777">
            <w:pPr>
              <w:tabs>
                <w:tab w:val="decimal" w:pos="870"/>
              </w:tabs>
              <w:jc w:val="left"/>
            </w:pPr>
            <w:r w:rsidRPr="003F2CD5">
              <w:rPr>
                <w:color w:val="000000"/>
              </w:rPr>
              <w:t>1/1/2043</w:t>
            </w:r>
          </w:p>
        </w:tc>
        <w:tc>
          <w:tcPr>
            <w:tcW w:w="2700" w:type="dxa"/>
            <w:tcBorders>
              <w:top w:val="nil"/>
              <w:left w:val="nil"/>
              <w:bottom w:val="nil"/>
              <w:right w:val="nil"/>
            </w:tcBorders>
            <w:shd w:val="clear" w:color="auto" w:fill="auto"/>
            <w:vAlign w:val="bottom"/>
          </w:tcPr>
          <w:p w:rsidRPr="00E1605B" w:rsidR="00E1605B" w:rsidP="00E1605B" w:rsidRDefault="00E1605B" w14:paraId="4CB5A905" w14:textId="3CB56B4A">
            <w:pPr>
              <w:tabs>
                <w:tab w:val="decimal" w:pos="1590"/>
              </w:tabs>
              <w:jc w:val="left"/>
            </w:pPr>
            <w:r w:rsidRPr="00E1605B">
              <w:rPr>
                <w:color w:val="000000"/>
              </w:rPr>
              <w:t>1,585,000</w:t>
            </w:r>
          </w:p>
        </w:tc>
      </w:tr>
      <w:tr w:rsidRPr="003E694E" w:rsidR="00E1605B" w:rsidTr="00873F6B" w14:paraId="5E03C454" w14:textId="77777777">
        <w:tc>
          <w:tcPr>
            <w:tcW w:w="2610" w:type="dxa"/>
            <w:vAlign w:val="bottom"/>
          </w:tcPr>
          <w:p w:rsidRPr="003F2CD5" w:rsidR="00E1605B" w:rsidP="00E1605B" w:rsidRDefault="00E1605B" w14:paraId="65D3E670" w14:textId="77777777">
            <w:pPr>
              <w:tabs>
                <w:tab w:val="decimal" w:pos="870"/>
              </w:tabs>
              <w:jc w:val="left"/>
            </w:pPr>
            <w:r w:rsidRPr="003F2CD5">
              <w:rPr>
                <w:color w:val="000000"/>
              </w:rPr>
              <w:t>7/1/2043</w:t>
            </w:r>
          </w:p>
        </w:tc>
        <w:tc>
          <w:tcPr>
            <w:tcW w:w="2700" w:type="dxa"/>
            <w:tcBorders>
              <w:top w:val="nil"/>
              <w:left w:val="nil"/>
              <w:bottom w:val="nil"/>
              <w:right w:val="nil"/>
            </w:tcBorders>
            <w:shd w:val="clear" w:color="auto" w:fill="auto"/>
            <w:vAlign w:val="bottom"/>
          </w:tcPr>
          <w:p w:rsidRPr="00E1605B" w:rsidR="00E1605B" w:rsidP="00E1605B" w:rsidRDefault="00E1605B" w14:paraId="0D3C5133" w14:textId="6E978D23">
            <w:pPr>
              <w:tabs>
                <w:tab w:val="decimal" w:pos="1590"/>
              </w:tabs>
              <w:jc w:val="left"/>
            </w:pPr>
            <w:r w:rsidRPr="00E1605B">
              <w:rPr>
                <w:color w:val="000000"/>
              </w:rPr>
              <w:t>1,645,000</w:t>
            </w:r>
          </w:p>
        </w:tc>
      </w:tr>
      <w:tr w:rsidRPr="003E694E" w:rsidR="00E1605B" w:rsidTr="00873F6B" w14:paraId="6C4D0ACB" w14:textId="77777777">
        <w:tc>
          <w:tcPr>
            <w:tcW w:w="2610" w:type="dxa"/>
            <w:vAlign w:val="bottom"/>
          </w:tcPr>
          <w:p w:rsidRPr="003F2CD5" w:rsidR="00E1605B" w:rsidP="00E1605B" w:rsidRDefault="00E1605B" w14:paraId="518FAA33" w14:textId="77777777">
            <w:pPr>
              <w:tabs>
                <w:tab w:val="decimal" w:pos="870"/>
              </w:tabs>
              <w:jc w:val="left"/>
            </w:pPr>
            <w:r w:rsidRPr="003F2CD5">
              <w:rPr>
                <w:color w:val="000000"/>
              </w:rPr>
              <w:t>1/1/2044</w:t>
            </w:r>
          </w:p>
        </w:tc>
        <w:tc>
          <w:tcPr>
            <w:tcW w:w="2700" w:type="dxa"/>
            <w:tcBorders>
              <w:top w:val="nil"/>
              <w:left w:val="nil"/>
              <w:bottom w:val="nil"/>
              <w:right w:val="nil"/>
            </w:tcBorders>
            <w:shd w:val="clear" w:color="auto" w:fill="auto"/>
            <w:vAlign w:val="bottom"/>
          </w:tcPr>
          <w:p w:rsidRPr="00E1605B" w:rsidR="00E1605B" w:rsidP="00E1605B" w:rsidRDefault="00E1605B" w14:paraId="0F813EA5" w14:textId="0F2CDA5D">
            <w:pPr>
              <w:tabs>
                <w:tab w:val="decimal" w:pos="1590"/>
              </w:tabs>
              <w:jc w:val="left"/>
            </w:pPr>
            <w:r w:rsidRPr="00E1605B">
              <w:rPr>
                <w:color w:val="000000"/>
              </w:rPr>
              <w:t>1,705,000</w:t>
            </w:r>
          </w:p>
        </w:tc>
      </w:tr>
      <w:tr w:rsidRPr="003E694E" w:rsidR="00E1605B" w:rsidTr="00873F6B" w14:paraId="3C1213B2" w14:textId="77777777">
        <w:tc>
          <w:tcPr>
            <w:tcW w:w="2610" w:type="dxa"/>
            <w:vAlign w:val="bottom"/>
          </w:tcPr>
          <w:p w:rsidRPr="003F2CD5" w:rsidR="00E1605B" w:rsidP="00E1605B" w:rsidRDefault="00E1605B" w14:paraId="62A3F931" w14:textId="77777777">
            <w:pPr>
              <w:tabs>
                <w:tab w:val="decimal" w:pos="870"/>
              </w:tabs>
              <w:jc w:val="left"/>
            </w:pPr>
            <w:r w:rsidRPr="003F2CD5">
              <w:rPr>
                <w:color w:val="000000"/>
              </w:rPr>
              <w:t>7/1/2044**</w:t>
            </w:r>
          </w:p>
        </w:tc>
        <w:tc>
          <w:tcPr>
            <w:tcW w:w="2700" w:type="dxa"/>
            <w:tcBorders>
              <w:top w:val="nil"/>
              <w:left w:val="nil"/>
              <w:bottom w:val="nil"/>
              <w:right w:val="nil"/>
            </w:tcBorders>
            <w:shd w:val="clear" w:color="auto" w:fill="auto"/>
            <w:vAlign w:val="bottom"/>
          </w:tcPr>
          <w:p w:rsidRPr="00E1605B" w:rsidR="00E1605B" w:rsidP="00E1605B" w:rsidRDefault="00E1605B" w14:paraId="479BB8EC" w14:textId="18D6B235">
            <w:pPr>
              <w:tabs>
                <w:tab w:val="decimal" w:pos="1590"/>
              </w:tabs>
              <w:jc w:val="left"/>
            </w:pPr>
            <w:r w:rsidRPr="00E1605B">
              <w:rPr>
                <w:color w:val="000000"/>
              </w:rPr>
              <w:t>1,770,000</w:t>
            </w:r>
          </w:p>
        </w:tc>
      </w:tr>
    </w:tbl>
    <w:p w:rsidRPr="003E694E" w:rsidR="00E1605B" w:rsidP="00E1605B" w:rsidRDefault="00E1605B" w14:paraId="1C8A64F7" w14:textId="77777777">
      <w:pPr>
        <w:tabs>
          <w:tab w:val="left" w:pos="2160"/>
        </w:tabs>
      </w:pPr>
      <w:r w:rsidRPr="003E694E">
        <w:tab/>
      </w:r>
    </w:p>
    <w:p w:rsidRPr="003E694E" w:rsidR="00E1605B" w:rsidP="00E1605B" w:rsidRDefault="00E1605B" w14:paraId="04500E48" w14:textId="77777777">
      <w:pPr>
        <w:tabs>
          <w:tab w:val="left" w:pos="2160"/>
        </w:tabs>
      </w:pPr>
      <w:r w:rsidRPr="003E694E">
        <w:tab/>
        <w:t>**Final Maturity</w:t>
      </w:r>
    </w:p>
    <w:p w:rsidRPr="003E694E" w:rsidR="00E1605B" w:rsidP="00E1605B" w:rsidRDefault="00E1605B" w14:paraId="0E409CA0" w14:textId="77777777">
      <w:pPr>
        <w:tabs>
          <w:tab w:val="left" w:pos="2160"/>
        </w:tabs>
      </w:pPr>
    </w:p>
    <w:p w:rsidRPr="003E694E" w:rsidR="00E1605B" w:rsidP="00E1605B" w:rsidRDefault="00E1605B" w14:paraId="5FC57001" w14:textId="77777777">
      <w:pPr>
        <w:tabs>
          <w:tab w:val="left" w:pos="2160"/>
        </w:tabs>
      </w:pP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Pr="003E694E" w:rsidR="00E1605B" w:rsidTr="00873F6B" w14:paraId="63124618" w14:textId="77777777">
        <w:tc>
          <w:tcPr>
            <w:tcW w:w="5310" w:type="dxa"/>
            <w:gridSpan w:val="2"/>
            <w:vAlign w:val="bottom"/>
          </w:tcPr>
          <w:p w:rsidRPr="003E694E" w:rsidR="00E1605B" w:rsidP="00E1605B" w:rsidRDefault="00E1605B" w14:paraId="3466B3F3" w14:textId="0372FD0A">
            <w:pPr>
              <w:jc w:val="center"/>
              <w:rPr>
                <w:b/>
              </w:rPr>
            </w:pPr>
            <w:r w:rsidRPr="003E694E">
              <w:br w:type="page"/>
            </w:r>
            <w:r w:rsidRPr="003E694E">
              <w:rPr>
                <w:b/>
              </w:rPr>
              <w:t>$</w:t>
            </w:r>
            <w:r w:rsidR="00061B8A">
              <w:rPr>
                <w:b/>
              </w:rPr>
              <w:t>16,73</w:t>
            </w:r>
            <w:r>
              <w:rPr>
                <w:b/>
              </w:rPr>
              <w:t>0,000</w:t>
            </w:r>
          </w:p>
        </w:tc>
      </w:tr>
      <w:tr w:rsidRPr="003E694E" w:rsidR="00E1605B" w:rsidTr="00873F6B" w14:paraId="659AF6C1" w14:textId="77777777">
        <w:tc>
          <w:tcPr>
            <w:tcW w:w="5310" w:type="dxa"/>
            <w:gridSpan w:val="2"/>
            <w:vAlign w:val="bottom"/>
          </w:tcPr>
          <w:p w:rsidRPr="003E694E" w:rsidR="00E1605B" w:rsidP="00E1605B" w:rsidRDefault="00E1605B" w14:paraId="4F17F83C" w14:textId="758FE1F8">
            <w:pPr>
              <w:jc w:val="center"/>
              <w:rPr>
                <w:b/>
              </w:rPr>
            </w:pPr>
            <w:r>
              <w:rPr>
                <w:b/>
              </w:rPr>
              <w:t>2048</w:t>
            </w:r>
            <w:r w:rsidRPr="003E694E">
              <w:rPr>
                <w:b/>
              </w:rPr>
              <w:t xml:space="preserve"> </w:t>
            </w:r>
            <w:r>
              <w:rPr>
                <w:b/>
              </w:rPr>
              <w:t>C-2</w:t>
            </w:r>
            <w:r w:rsidRPr="003E694E">
              <w:rPr>
                <w:b/>
              </w:rPr>
              <w:t xml:space="preserve"> Term Bonds</w:t>
            </w:r>
          </w:p>
        </w:tc>
      </w:tr>
      <w:tr w:rsidRPr="003E694E" w:rsidR="00E1605B" w:rsidTr="00873F6B" w14:paraId="3E16050C" w14:textId="77777777">
        <w:tc>
          <w:tcPr>
            <w:tcW w:w="2610" w:type="dxa"/>
            <w:vAlign w:val="bottom"/>
          </w:tcPr>
          <w:p w:rsidRPr="003E694E" w:rsidR="00E1605B" w:rsidP="00873F6B" w:rsidRDefault="00E1605B" w14:paraId="04F9259B" w14:textId="34A26766">
            <w:pPr>
              <w:jc w:val="center"/>
            </w:pPr>
            <w:r w:rsidRPr="003E694E">
              <w:rPr>
                <w:u w:val="single"/>
              </w:rPr>
              <w:t>Date</w:t>
            </w:r>
          </w:p>
        </w:tc>
        <w:tc>
          <w:tcPr>
            <w:tcW w:w="2700" w:type="dxa"/>
            <w:vAlign w:val="bottom"/>
          </w:tcPr>
          <w:p w:rsidRPr="003E694E" w:rsidR="00E1605B" w:rsidP="00873F6B" w:rsidRDefault="00E1605B" w14:paraId="65245677" w14:textId="37FBDD53">
            <w:pPr>
              <w:jc w:val="center"/>
            </w:pPr>
            <w:r w:rsidRPr="003E694E">
              <w:rPr>
                <w:u w:val="single"/>
              </w:rPr>
              <w:t>Amount</w:t>
            </w:r>
            <w:r w:rsidRPr="003E694E">
              <w:t xml:space="preserve"> </w:t>
            </w:r>
          </w:p>
        </w:tc>
      </w:tr>
      <w:tr w:rsidRPr="003E694E" w:rsidR="00061B8A" w:rsidTr="00873F6B" w14:paraId="0B0B2DEA" w14:textId="77777777">
        <w:tc>
          <w:tcPr>
            <w:tcW w:w="2610" w:type="dxa"/>
            <w:vAlign w:val="bottom"/>
          </w:tcPr>
          <w:p w:rsidRPr="003F2CD5" w:rsidR="00061B8A" w:rsidP="00061B8A" w:rsidRDefault="00061B8A" w14:paraId="6DCC73D3" w14:textId="77777777">
            <w:pPr>
              <w:tabs>
                <w:tab w:val="decimal" w:pos="870"/>
              </w:tabs>
              <w:jc w:val="left"/>
            </w:pPr>
            <w:r w:rsidRPr="003F2CD5">
              <w:rPr>
                <w:color w:val="000000"/>
              </w:rPr>
              <w:t>1/1/2045</w:t>
            </w:r>
          </w:p>
        </w:tc>
        <w:tc>
          <w:tcPr>
            <w:tcW w:w="2700" w:type="dxa"/>
            <w:tcBorders>
              <w:top w:val="nil"/>
              <w:left w:val="nil"/>
              <w:bottom w:val="nil"/>
              <w:right w:val="nil"/>
            </w:tcBorders>
            <w:shd w:val="clear" w:color="auto" w:fill="auto"/>
            <w:vAlign w:val="bottom"/>
          </w:tcPr>
          <w:p w:rsidRPr="00061B8A" w:rsidR="00061B8A" w:rsidP="00061B8A" w:rsidRDefault="00061B8A" w14:paraId="57845705" w14:textId="3160258C">
            <w:pPr>
              <w:tabs>
                <w:tab w:val="decimal" w:pos="1590"/>
              </w:tabs>
              <w:jc w:val="left"/>
              <w:rPr>
                <w:u w:val="single"/>
              </w:rPr>
            </w:pPr>
            <w:r>
              <w:rPr>
                <w:color w:val="000000"/>
              </w:rPr>
              <w:t>$</w:t>
            </w:r>
            <w:r w:rsidRPr="00061B8A">
              <w:rPr>
                <w:color w:val="000000"/>
              </w:rPr>
              <w:t>1,805,000</w:t>
            </w:r>
          </w:p>
        </w:tc>
      </w:tr>
      <w:tr w:rsidRPr="003E694E" w:rsidR="00061B8A" w:rsidTr="00873F6B" w14:paraId="6C2C50A1" w14:textId="77777777">
        <w:tc>
          <w:tcPr>
            <w:tcW w:w="2610" w:type="dxa"/>
            <w:vAlign w:val="bottom"/>
          </w:tcPr>
          <w:p w:rsidRPr="003F2CD5" w:rsidR="00061B8A" w:rsidP="00061B8A" w:rsidRDefault="00061B8A" w14:paraId="46ED2E58" w14:textId="77777777">
            <w:pPr>
              <w:tabs>
                <w:tab w:val="decimal" w:pos="870"/>
              </w:tabs>
              <w:jc w:val="left"/>
            </w:pPr>
            <w:r w:rsidRPr="003F2CD5">
              <w:rPr>
                <w:color w:val="000000"/>
              </w:rPr>
              <w:t>7/1/2045</w:t>
            </w:r>
          </w:p>
        </w:tc>
        <w:tc>
          <w:tcPr>
            <w:tcW w:w="2700" w:type="dxa"/>
            <w:tcBorders>
              <w:top w:val="nil"/>
              <w:left w:val="nil"/>
              <w:bottom w:val="nil"/>
              <w:right w:val="nil"/>
            </w:tcBorders>
            <w:shd w:val="clear" w:color="auto" w:fill="auto"/>
            <w:vAlign w:val="bottom"/>
          </w:tcPr>
          <w:p w:rsidRPr="00061B8A" w:rsidR="00061B8A" w:rsidP="00061B8A" w:rsidRDefault="00061B8A" w14:paraId="1417B2A0" w14:textId="3A81EDE3">
            <w:pPr>
              <w:tabs>
                <w:tab w:val="decimal" w:pos="1590"/>
              </w:tabs>
              <w:jc w:val="left"/>
            </w:pPr>
            <w:r w:rsidRPr="00061B8A">
              <w:rPr>
                <w:color w:val="000000"/>
              </w:rPr>
              <w:t>1,875,000</w:t>
            </w:r>
          </w:p>
        </w:tc>
      </w:tr>
      <w:tr w:rsidRPr="003E694E" w:rsidR="00061B8A" w:rsidTr="00873F6B" w14:paraId="50B2FEB2" w14:textId="77777777">
        <w:tc>
          <w:tcPr>
            <w:tcW w:w="2610" w:type="dxa"/>
            <w:vAlign w:val="bottom"/>
          </w:tcPr>
          <w:p w:rsidRPr="003F2CD5" w:rsidR="00061B8A" w:rsidP="00061B8A" w:rsidRDefault="00061B8A" w14:paraId="7B1E2CA4" w14:textId="77777777">
            <w:pPr>
              <w:tabs>
                <w:tab w:val="decimal" w:pos="870"/>
              </w:tabs>
              <w:jc w:val="left"/>
            </w:pPr>
            <w:r w:rsidRPr="003F2CD5">
              <w:rPr>
                <w:color w:val="000000"/>
              </w:rPr>
              <w:t>1/1/2046</w:t>
            </w:r>
          </w:p>
        </w:tc>
        <w:tc>
          <w:tcPr>
            <w:tcW w:w="2700" w:type="dxa"/>
            <w:tcBorders>
              <w:top w:val="nil"/>
              <w:left w:val="nil"/>
              <w:bottom w:val="nil"/>
              <w:right w:val="nil"/>
            </w:tcBorders>
            <w:shd w:val="clear" w:color="auto" w:fill="auto"/>
            <w:vAlign w:val="bottom"/>
          </w:tcPr>
          <w:p w:rsidRPr="00061B8A" w:rsidR="00061B8A" w:rsidP="00061B8A" w:rsidRDefault="00061B8A" w14:paraId="4FA38F08" w14:textId="1D65D027">
            <w:pPr>
              <w:tabs>
                <w:tab w:val="decimal" w:pos="1590"/>
              </w:tabs>
              <w:jc w:val="left"/>
            </w:pPr>
            <w:r w:rsidRPr="00061B8A">
              <w:rPr>
                <w:color w:val="000000"/>
              </w:rPr>
              <w:t>1,945,000</w:t>
            </w:r>
          </w:p>
        </w:tc>
      </w:tr>
      <w:tr w:rsidRPr="003E694E" w:rsidR="00061B8A" w:rsidTr="00873F6B" w14:paraId="51BA0F91" w14:textId="77777777">
        <w:tc>
          <w:tcPr>
            <w:tcW w:w="2610" w:type="dxa"/>
            <w:vAlign w:val="bottom"/>
          </w:tcPr>
          <w:p w:rsidRPr="003F2CD5" w:rsidR="00061B8A" w:rsidP="00061B8A" w:rsidRDefault="00061B8A" w14:paraId="7DE1D5DE" w14:textId="77777777">
            <w:pPr>
              <w:tabs>
                <w:tab w:val="decimal" w:pos="870"/>
              </w:tabs>
              <w:jc w:val="left"/>
            </w:pPr>
            <w:r w:rsidRPr="003F2CD5">
              <w:rPr>
                <w:color w:val="000000"/>
              </w:rPr>
              <w:t>7/1/2046</w:t>
            </w:r>
          </w:p>
        </w:tc>
        <w:tc>
          <w:tcPr>
            <w:tcW w:w="2700" w:type="dxa"/>
            <w:tcBorders>
              <w:top w:val="nil"/>
              <w:left w:val="nil"/>
              <w:bottom w:val="nil"/>
              <w:right w:val="nil"/>
            </w:tcBorders>
            <w:shd w:val="clear" w:color="auto" w:fill="auto"/>
            <w:vAlign w:val="bottom"/>
          </w:tcPr>
          <w:p w:rsidRPr="00061B8A" w:rsidR="00061B8A" w:rsidP="00061B8A" w:rsidRDefault="00061B8A" w14:paraId="5BD6925E" w14:textId="205DA21E">
            <w:pPr>
              <w:tabs>
                <w:tab w:val="decimal" w:pos="1590"/>
              </w:tabs>
              <w:jc w:val="left"/>
            </w:pPr>
            <w:r w:rsidRPr="00061B8A">
              <w:rPr>
                <w:color w:val="000000"/>
              </w:rPr>
              <w:t>2,020,000</w:t>
            </w:r>
          </w:p>
        </w:tc>
      </w:tr>
      <w:tr w:rsidRPr="003E694E" w:rsidR="00061B8A" w:rsidTr="00873F6B" w14:paraId="577DFFF0" w14:textId="77777777">
        <w:tc>
          <w:tcPr>
            <w:tcW w:w="2610" w:type="dxa"/>
            <w:vAlign w:val="bottom"/>
          </w:tcPr>
          <w:p w:rsidRPr="003F2CD5" w:rsidR="00061B8A" w:rsidP="00061B8A" w:rsidRDefault="00061B8A" w14:paraId="69F40B55" w14:textId="77777777">
            <w:pPr>
              <w:tabs>
                <w:tab w:val="decimal" w:pos="870"/>
              </w:tabs>
              <w:jc w:val="left"/>
            </w:pPr>
            <w:r w:rsidRPr="003F2CD5">
              <w:rPr>
                <w:color w:val="000000"/>
              </w:rPr>
              <w:t>1/1/2047</w:t>
            </w:r>
          </w:p>
        </w:tc>
        <w:tc>
          <w:tcPr>
            <w:tcW w:w="2700" w:type="dxa"/>
            <w:tcBorders>
              <w:top w:val="nil"/>
              <w:left w:val="nil"/>
              <w:bottom w:val="nil"/>
              <w:right w:val="nil"/>
            </w:tcBorders>
            <w:shd w:val="clear" w:color="auto" w:fill="auto"/>
            <w:vAlign w:val="bottom"/>
          </w:tcPr>
          <w:p w:rsidRPr="00061B8A" w:rsidR="00061B8A" w:rsidP="00061B8A" w:rsidRDefault="00061B8A" w14:paraId="5263BE07" w14:textId="6726820F">
            <w:pPr>
              <w:tabs>
                <w:tab w:val="decimal" w:pos="1590"/>
              </w:tabs>
              <w:jc w:val="left"/>
            </w:pPr>
            <w:r w:rsidRPr="00061B8A">
              <w:rPr>
                <w:color w:val="000000"/>
              </w:rPr>
              <w:t>2,090,000</w:t>
            </w:r>
          </w:p>
        </w:tc>
      </w:tr>
      <w:tr w:rsidRPr="003E694E" w:rsidR="00061B8A" w:rsidTr="00873F6B" w14:paraId="35E32E70" w14:textId="77777777">
        <w:tc>
          <w:tcPr>
            <w:tcW w:w="2610" w:type="dxa"/>
            <w:vAlign w:val="bottom"/>
          </w:tcPr>
          <w:p w:rsidRPr="003F2CD5" w:rsidR="00061B8A" w:rsidP="00061B8A" w:rsidRDefault="00061B8A" w14:paraId="17D07B86" w14:textId="77777777">
            <w:pPr>
              <w:tabs>
                <w:tab w:val="decimal" w:pos="870"/>
              </w:tabs>
              <w:jc w:val="left"/>
            </w:pPr>
            <w:r w:rsidRPr="003F2CD5">
              <w:rPr>
                <w:color w:val="000000"/>
              </w:rPr>
              <w:t>7/1/2047</w:t>
            </w:r>
          </w:p>
        </w:tc>
        <w:tc>
          <w:tcPr>
            <w:tcW w:w="2700" w:type="dxa"/>
            <w:tcBorders>
              <w:top w:val="nil"/>
              <w:left w:val="nil"/>
              <w:bottom w:val="nil"/>
              <w:right w:val="nil"/>
            </w:tcBorders>
            <w:shd w:val="clear" w:color="auto" w:fill="auto"/>
            <w:vAlign w:val="bottom"/>
          </w:tcPr>
          <w:p w:rsidRPr="00061B8A" w:rsidR="00061B8A" w:rsidP="00061B8A" w:rsidRDefault="00061B8A" w14:paraId="341F7549" w14:textId="1C009030">
            <w:pPr>
              <w:tabs>
                <w:tab w:val="decimal" w:pos="1590"/>
              </w:tabs>
              <w:jc w:val="left"/>
            </w:pPr>
            <w:r w:rsidRPr="00061B8A">
              <w:rPr>
                <w:color w:val="000000"/>
              </w:rPr>
              <w:t>2,175,000</w:t>
            </w:r>
          </w:p>
        </w:tc>
      </w:tr>
      <w:tr w:rsidRPr="003E694E" w:rsidR="00061B8A" w:rsidTr="00873F6B" w14:paraId="6A40A620" w14:textId="77777777">
        <w:tc>
          <w:tcPr>
            <w:tcW w:w="2610" w:type="dxa"/>
            <w:vAlign w:val="bottom"/>
          </w:tcPr>
          <w:p w:rsidRPr="003F2CD5" w:rsidR="00061B8A" w:rsidP="00061B8A" w:rsidRDefault="00061B8A" w14:paraId="67794C03" w14:textId="77777777">
            <w:pPr>
              <w:tabs>
                <w:tab w:val="decimal" w:pos="870"/>
              </w:tabs>
              <w:jc w:val="left"/>
            </w:pPr>
            <w:r w:rsidRPr="003F2CD5">
              <w:rPr>
                <w:color w:val="000000"/>
              </w:rPr>
              <w:t>1/1/2048</w:t>
            </w:r>
          </w:p>
        </w:tc>
        <w:tc>
          <w:tcPr>
            <w:tcW w:w="2700" w:type="dxa"/>
            <w:tcBorders>
              <w:top w:val="nil"/>
              <w:left w:val="nil"/>
              <w:bottom w:val="nil"/>
              <w:right w:val="nil"/>
            </w:tcBorders>
            <w:shd w:val="clear" w:color="auto" w:fill="auto"/>
            <w:vAlign w:val="bottom"/>
          </w:tcPr>
          <w:p w:rsidRPr="00061B8A" w:rsidR="00061B8A" w:rsidP="00061B8A" w:rsidRDefault="00061B8A" w14:paraId="3365FA50" w14:textId="3E082F67">
            <w:pPr>
              <w:tabs>
                <w:tab w:val="decimal" w:pos="1590"/>
              </w:tabs>
              <w:jc w:val="left"/>
            </w:pPr>
            <w:r w:rsidRPr="00061B8A">
              <w:rPr>
                <w:color w:val="000000"/>
              </w:rPr>
              <w:t>2,250,000</w:t>
            </w:r>
          </w:p>
        </w:tc>
      </w:tr>
      <w:tr w:rsidRPr="003E694E" w:rsidR="00061B8A" w:rsidTr="00873F6B" w14:paraId="7DC2689B" w14:textId="77777777">
        <w:tc>
          <w:tcPr>
            <w:tcW w:w="2610" w:type="dxa"/>
            <w:vAlign w:val="bottom"/>
          </w:tcPr>
          <w:p w:rsidRPr="003F2CD5" w:rsidR="00061B8A" w:rsidP="00061B8A" w:rsidRDefault="00061B8A" w14:paraId="4D321C60" w14:textId="153BC42A">
            <w:pPr>
              <w:tabs>
                <w:tab w:val="decimal" w:pos="870"/>
              </w:tabs>
              <w:jc w:val="left"/>
            </w:pPr>
            <w:r w:rsidRPr="003F2CD5">
              <w:rPr>
                <w:color w:val="000000"/>
              </w:rPr>
              <w:t>7/1/2048</w:t>
            </w:r>
            <w:r>
              <w:rPr>
                <w:color w:val="000000"/>
              </w:rPr>
              <w:t>**</w:t>
            </w:r>
          </w:p>
        </w:tc>
        <w:tc>
          <w:tcPr>
            <w:tcW w:w="2700" w:type="dxa"/>
            <w:tcBorders>
              <w:top w:val="nil"/>
              <w:left w:val="nil"/>
              <w:bottom w:val="nil"/>
              <w:right w:val="nil"/>
            </w:tcBorders>
            <w:shd w:val="clear" w:color="auto" w:fill="auto"/>
            <w:vAlign w:val="bottom"/>
          </w:tcPr>
          <w:p w:rsidRPr="00061B8A" w:rsidR="00061B8A" w:rsidP="00061B8A" w:rsidRDefault="00061B8A" w14:paraId="1677674B" w14:textId="755378AA">
            <w:pPr>
              <w:tabs>
                <w:tab w:val="decimal" w:pos="1590"/>
              </w:tabs>
              <w:jc w:val="left"/>
            </w:pPr>
            <w:r w:rsidRPr="00061B8A">
              <w:rPr>
                <w:color w:val="000000"/>
              </w:rPr>
              <w:t>2,570,000</w:t>
            </w:r>
          </w:p>
        </w:tc>
      </w:tr>
    </w:tbl>
    <w:p w:rsidRPr="003E694E" w:rsidR="00E1605B" w:rsidP="00E1605B" w:rsidRDefault="00E1605B" w14:paraId="22047F2C" w14:textId="77777777">
      <w:pPr>
        <w:tabs>
          <w:tab w:val="left" w:pos="2160"/>
        </w:tabs>
      </w:pPr>
    </w:p>
    <w:p w:rsidRPr="003E694E" w:rsidR="00E1605B" w:rsidP="00E1605B" w:rsidRDefault="00E1605B" w14:paraId="218F8850" w14:textId="77777777">
      <w:pPr>
        <w:tabs>
          <w:tab w:val="left" w:pos="2160"/>
        </w:tabs>
      </w:pPr>
      <w:r w:rsidRPr="003E694E">
        <w:tab/>
        <w:t>**Final Maturity</w:t>
      </w:r>
    </w:p>
    <w:p w:rsidR="00E1605B" w:rsidP="00E1605B" w:rsidRDefault="00E1605B" w14:paraId="1A6D29ED" w14:textId="77777777">
      <w:pPr>
        <w:tabs>
          <w:tab w:val="left" w:pos="2160"/>
        </w:tabs>
      </w:pPr>
    </w:p>
    <w:p w:rsidR="00E1605B" w:rsidP="00E1605B" w:rsidRDefault="00E1605B" w14:paraId="68EE19CD" w14:textId="77777777">
      <w:pPr>
        <w:tabs>
          <w:tab w:val="left" w:pos="2160"/>
        </w:tabs>
      </w:pPr>
    </w:p>
    <w:tbl>
      <w:tblPr>
        <w:tblStyle w:val="TableGrid"/>
        <w:tblW w:w="5310" w:type="dxa"/>
        <w:tblInd w:w="21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0"/>
        <w:gridCol w:w="2700"/>
      </w:tblGrid>
      <w:tr w:rsidRPr="003E694E" w:rsidR="00E1605B" w:rsidTr="00873F6B" w14:paraId="44613556" w14:textId="77777777">
        <w:tc>
          <w:tcPr>
            <w:tcW w:w="5310" w:type="dxa"/>
            <w:gridSpan w:val="2"/>
            <w:vAlign w:val="bottom"/>
          </w:tcPr>
          <w:p w:rsidRPr="003E694E" w:rsidR="00E1605B" w:rsidP="00E1605B" w:rsidRDefault="00E1605B" w14:paraId="1160A9DD" w14:textId="3B222B0C">
            <w:pPr>
              <w:jc w:val="center"/>
              <w:rPr>
                <w:b/>
              </w:rPr>
            </w:pPr>
            <w:r w:rsidRPr="003E694E">
              <w:lastRenderedPageBreak/>
              <w:br w:type="page"/>
            </w:r>
            <w:r w:rsidRPr="003E694E">
              <w:rPr>
                <w:b/>
              </w:rPr>
              <w:t>$</w:t>
            </w:r>
            <w:r>
              <w:rPr>
                <w:b/>
              </w:rPr>
              <w:t>32,190,000</w:t>
            </w:r>
          </w:p>
        </w:tc>
      </w:tr>
      <w:tr w:rsidRPr="003E694E" w:rsidR="00E1605B" w:rsidTr="00873F6B" w14:paraId="46D9A70E" w14:textId="77777777">
        <w:tc>
          <w:tcPr>
            <w:tcW w:w="5310" w:type="dxa"/>
            <w:gridSpan w:val="2"/>
            <w:vAlign w:val="bottom"/>
          </w:tcPr>
          <w:p w:rsidRPr="003E694E" w:rsidR="00E1605B" w:rsidP="00061B8A" w:rsidRDefault="00E1605B" w14:paraId="60480AF8" w14:textId="54C7F8D0">
            <w:pPr>
              <w:jc w:val="center"/>
              <w:rPr>
                <w:b/>
              </w:rPr>
            </w:pPr>
            <w:r>
              <w:rPr>
                <w:b/>
              </w:rPr>
              <w:t>2024C-2 PAC</w:t>
            </w:r>
            <w:r w:rsidRPr="003E694E">
              <w:rPr>
                <w:b/>
              </w:rPr>
              <w:t xml:space="preserve"> Bonds</w:t>
            </w:r>
          </w:p>
        </w:tc>
      </w:tr>
      <w:tr w:rsidRPr="003E694E" w:rsidR="00E1605B" w:rsidTr="00873F6B" w14:paraId="6B85E44F" w14:textId="77777777">
        <w:tc>
          <w:tcPr>
            <w:tcW w:w="2610" w:type="dxa"/>
            <w:vAlign w:val="bottom"/>
          </w:tcPr>
          <w:p w:rsidRPr="003E694E" w:rsidR="00E1605B" w:rsidP="00873F6B" w:rsidRDefault="00E1605B" w14:paraId="26EAB18F" w14:textId="7A03498E">
            <w:pPr>
              <w:jc w:val="center"/>
            </w:pPr>
            <w:r w:rsidRPr="003E694E">
              <w:rPr>
                <w:u w:val="single"/>
              </w:rPr>
              <w:t>Date</w:t>
            </w:r>
          </w:p>
        </w:tc>
        <w:tc>
          <w:tcPr>
            <w:tcW w:w="2700" w:type="dxa"/>
            <w:vAlign w:val="bottom"/>
          </w:tcPr>
          <w:p w:rsidRPr="003E694E" w:rsidR="00E1605B" w:rsidP="00873F6B" w:rsidRDefault="00E1605B" w14:paraId="14AA7CE4" w14:textId="58331E94">
            <w:pPr>
              <w:jc w:val="center"/>
            </w:pPr>
            <w:r w:rsidRPr="003E694E">
              <w:rPr>
                <w:u w:val="single"/>
              </w:rPr>
              <w:t>Amount</w:t>
            </w:r>
          </w:p>
        </w:tc>
      </w:tr>
      <w:tr w:rsidRPr="003E694E" w:rsidR="005C31EF" w:rsidTr="00873F6B" w14:paraId="72BC7632" w14:textId="77777777">
        <w:tc>
          <w:tcPr>
            <w:tcW w:w="2610" w:type="dxa"/>
            <w:vAlign w:val="bottom"/>
          </w:tcPr>
          <w:p w:rsidRPr="00E94F38" w:rsidR="005C31EF" w:rsidP="005C31EF" w:rsidRDefault="005C31EF" w14:paraId="48EB8B64" w14:textId="27B273AC">
            <w:pPr>
              <w:jc w:val="center"/>
              <w:rPr>
                <w:color w:val="000000"/>
              </w:rPr>
            </w:pPr>
            <w:r>
              <w:rPr>
                <w:color w:val="000000"/>
              </w:rPr>
              <w:t>1/1/2049</w:t>
            </w:r>
          </w:p>
        </w:tc>
        <w:tc>
          <w:tcPr>
            <w:tcW w:w="2700" w:type="dxa"/>
            <w:vAlign w:val="bottom"/>
          </w:tcPr>
          <w:p w:rsidRPr="005C31EF" w:rsidR="005C31EF" w:rsidP="005C31EF" w:rsidRDefault="005C31EF" w14:paraId="0F4F5D56" w14:textId="7041685A">
            <w:pPr>
              <w:tabs>
                <w:tab w:val="decimal" w:pos="1590"/>
              </w:tabs>
              <w:jc w:val="left"/>
              <w:rPr>
                <w:color w:val="000000"/>
              </w:rPr>
            </w:pPr>
            <w:r>
              <w:rPr>
                <w:color w:val="000000"/>
              </w:rPr>
              <w:t>$</w:t>
            </w:r>
            <w:r w:rsidRPr="005C31EF">
              <w:rPr>
                <w:color w:val="000000"/>
              </w:rPr>
              <w:t>2,210,000</w:t>
            </w:r>
          </w:p>
        </w:tc>
      </w:tr>
      <w:tr w:rsidRPr="003E694E" w:rsidR="005C31EF" w:rsidTr="00873F6B" w14:paraId="3E495277" w14:textId="77777777">
        <w:tc>
          <w:tcPr>
            <w:tcW w:w="2610" w:type="dxa"/>
            <w:vAlign w:val="bottom"/>
          </w:tcPr>
          <w:p w:rsidRPr="00E94F38" w:rsidR="005C31EF" w:rsidP="005C31EF" w:rsidRDefault="005C31EF" w14:paraId="3FD9A090" w14:textId="1D2170BE">
            <w:pPr>
              <w:jc w:val="center"/>
              <w:rPr>
                <w:color w:val="000000"/>
              </w:rPr>
            </w:pPr>
            <w:r>
              <w:rPr>
                <w:color w:val="000000"/>
              </w:rPr>
              <w:t>7/1/2049</w:t>
            </w:r>
          </w:p>
        </w:tc>
        <w:tc>
          <w:tcPr>
            <w:tcW w:w="2700" w:type="dxa"/>
            <w:vAlign w:val="bottom"/>
          </w:tcPr>
          <w:p w:rsidRPr="005C31EF" w:rsidR="005C31EF" w:rsidP="005C31EF" w:rsidRDefault="005C31EF" w14:paraId="1AF1835D" w14:textId="2F2ED880">
            <w:pPr>
              <w:tabs>
                <w:tab w:val="decimal" w:pos="1590"/>
              </w:tabs>
              <w:jc w:val="left"/>
              <w:rPr>
                <w:color w:val="000000"/>
              </w:rPr>
            </w:pPr>
            <w:r w:rsidRPr="005C31EF">
              <w:rPr>
                <w:color w:val="000000"/>
              </w:rPr>
              <w:t>2,540,000</w:t>
            </w:r>
          </w:p>
        </w:tc>
      </w:tr>
      <w:tr w:rsidRPr="003E694E" w:rsidR="005C31EF" w:rsidTr="00873F6B" w14:paraId="4D4E6EA5" w14:textId="77777777">
        <w:tc>
          <w:tcPr>
            <w:tcW w:w="2610" w:type="dxa"/>
            <w:vAlign w:val="bottom"/>
          </w:tcPr>
          <w:p w:rsidRPr="00E94F38" w:rsidR="005C31EF" w:rsidP="005C31EF" w:rsidRDefault="005C31EF" w14:paraId="0A948E5C" w14:textId="77777777">
            <w:pPr>
              <w:jc w:val="center"/>
            </w:pPr>
            <w:r w:rsidRPr="00E94F38">
              <w:rPr>
                <w:color w:val="000000"/>
              </w:rPr>
              <w:t>1/1/2050</w:t>
            </w:r>
          </w:p>
        </w:tc>
        <w:tc>
          <w:tcPr>
            <w:tcW w:w="2700" w:type="dxa"/>
            <w:vAlign w:val="bottom"/>
          </w:tcPr>
          <w:p w:rsidRPr="005C31EF" w:rsidR="005C31EF" w:rsidP="005C31EF" w:rsidRDefault="005C31EF" w14:paraId="00260304" w14:textId="7F85A2C6">
            <w:pPr>
              <w:tabs>
                <w:tab w:val="decimal" w:pos="1590"/>
              </w:tabs>
              <w:jc w:val="left"/>
              <w:rPr>
                <w:color w:val="000000"/>
              </w:rPr>
            </w:pPr>
            <w:r w:rsidRPr="005C31EF">
              <w:rPr>
                <w:color w:val="000000"/>
              </w:rPr>
              <w:t>2,640,000</w:t>
            </w:r>
          </w:p>
        </w:tc>
      </w:tr>
      <w:tr w:rsidRPr="003E694E" w:rsidR="005C31EF" w:rsidTr="00873F6B" w14:paraId="75B9D369" w14:textId="77777777">
        <w:tc>
          <w:tcPr>
            <w:tcW w:w="2610" w:type="dxa"/>
            <w:vAlign w:val="bottom"/>
          </w:tcPr>
          <w:p w:rsidRPr="00E94F38" w:rsidR="005C31EF" w:rsidP="005C31EF" w:rsidRDefault="005C31EF" w14:paraId="54F780A4" w14:textId="77777777">
            <w:pPr>
              <w:jc w:val="center"/>
            </w:pPr>
            <w:r w:rsidRPr="00E94F38">
              <w:rPr>
                <w:color w:val="000000"/>
              </w:rPr>
              <w:t>7/1/2050</w:t>
            </w:r>
          </w:p>
        </w:tc>
        <w:tc>
          <w:tcPr>
            <w:tcW w:w="2700" w:type="dxa"/>
            <w:vAlign w:val="bottom"/>
          </w:tcPr>
          <w:p w:rsidRPr="005C31EF" w:rsidR="005C31EF" w:rsidP="005C31EF" w:rsidRDefault="005C31EF" w14:paraId="360EED7E" w14:textId="76E2899C">
            <w:pPr>
              <w:tabs>
                <w:tab w:val="decimal" w:pos="1590"/>
              </w:tabs>
              <w:jc w:val="left"/>
              <w:rPr>
                <w:color w:val="000000"/>
              </w:rPr>
            </w:pPr>
            <w:r w:rsidRPr="005C31EF">
              <w:rPr>
                <w:color w:val="000000"/>
              </w:rPr>
              <w:t>2,735,000</w:t>
            </w:r>
          </w:p>
        </w:tc>
      </w:tr>
      <w:tr w:rsidRPr="003E694E" w:rsidR="005C31EF" w:rsidTr="00873F6B" w14:paraId="3590C73D" w14:textId="77777777">
        <w:tc>
          <w:tcPr>
            <w:tcW w:w="2610" w:type="dxa"/>
            <w:tcBorders>
              <w:top w:val="nil"/>
              <w:left w:val="nil"/>
              <w:bottom w:val="nil"/>
              <w:right w:val="nil"/>
            </w:tcBorders>
            <w:shd w:val="clear" w:color="auto" w:fill="auto"/>
            <w:vAlign w:val="bottom"/>
          </w:tcPr>
          <w:p w:rsidRPr="00E94F38" w:rsidR="005C31EF" w:rsidP="005C31EF" w:rsidRDefault="005C31EF" w14:paraId="74F05EC6" w14:textId="77777777">
            <w:pPr>
              <w:tabs>
                <w:tab w:val="decimal" w:pos="960"/>
              </w:tabs>
              <w:jc w:val="left"/>
            </w:pPr>
            <w:r w:rsidRPr="00E94F38">
              <w:rPr>
                <w:color w:val="000000"/>
              </w:rPr>
              <w:t>1/1/2051</w:t>
            </w:r>
          </w:p>
        </w:tc>
        <w:tc>
          <w:tcPr>
            <w:tcW w:w="2700" w:type="dxa"/>
            <w:tcBorders>
              <w:top w:val="nil"/>
              <w:left w:val="nil"/>
              <w:bottom w:val="nil"/>
              <w:right w:val="nil"/>
            </w:tcBorders>
            <w:shd w:val="clear" w:color="auto" w:fill="auto"/>
            <w:vAlign w:val="bottom"/>
          </w:tcPr>
          <w:p w:rsidRPr="005C31EF" w:rsidR="005C31EF" w:rsidP="005C31EF" w:rsidRDefault="005C31EF" w14:paraId="4470C70B" w14:textId="2C73EB04">
            <w:pPr>
              <w:tabs>
                <w:tab w:val="decimal" w:pos="1590"/>
              </w:tabs>
              <w:jc w:val="left"/>
            </w:pPr>
            <w:r w:rsidRPr="005C31EF">
              <w:rPr>
                <w:color w:val="000000"/>
              </w:rPr>
              <w:t>2,835,000</w:t>
            </w:r>
          </w:p>
        </w:tc>
      </w:tr>
      <w:tr w:rsidRPr="003E694E" w:rsidR="005C31EF" w:rsidTr="00873F6B" w14:paraId="188B580D" w14:textId="77777777">
        <w:tc>
          <w:tcPr>
            <w:tcW w:w="2610" w:type="dxa"/>
            <w:tcBorders>
              <w:top w:val="nil"/>
              <w:left w:val="nil"/>
              <w:bottom w:val="nil"/>
              <w:right w:val="nil"/>
            </w:tcBorders>
            <w:shd w:val="clear" w:color="auto" w:fill="auto"/>
            <w:vAlign w:val="bottom"/>
          </w:tcPr>
          <w:p w:rsidRPr="00E94F38" w:rsidR="005C31EF" w:rsidP="005C31EF" w:rsidRDefault="005C31EF" w14:paraId="0E384BA0" w14:textId="77777777">
            <w:pPr>
              <w:tabs>
                <w:tab w:val="decimal" w:pos="960"/>
              </w:tabs>
              <w:jc w:val="left"/>
            </w:pPr>
            <w:r w:rsidRPr="00E94F38">
              <w:rPr>
                <w:color w:val="000000"/>
              </w:rPr>
              <w:t>7/1/2051</w:t>
            </w:r>
          </w:p>
        </w:tc>
        <w:tc>
          <w:tcPr>
            <w:tcW w:w="2700" w:type="dxa"/>
            <w:tcBorders>
              <w:top w:val="nil"/>
              <w:left w:val="nil"/>
              <w:bottom w:val="nil"/>
              <w:right w:val="nil"/>
            </w:tcBorders>
            <w:shd w:val="clear" w:color="auto" w:fill="auto"/>
            <w:vAlign w:val="bottom"/>
          </w:tcPr>
          <w:p w:rsidRPr="005C31EF" w:rsidR="005C31EF" w:rsidP="005C31EF" w:rsidRDefault="005C31EF" w14:paraId="20B9F226" w14:textId="3CFCEB06">
            <w:pPr>
              <w:tabs>
                <w:tab w:val="decimal" w:pos="1590"/>
              </w:tabs>
              <w:jc w:val="left"/>
            </w:pPr>
            <w:r w:rsidRPr="005C31EF">
              <w:rPr>
                <w:color w:val="000000"/>
              </w:rPr>
              <w:t>2,940,000</w:t>
            </w:r>
          </w:p>
        </w:tc>
      </w:tr>
      <w:tr w:rsidRPr="003E694E" w:rsidR="005C31EF" w:rsidTr="00873F6B" w14:paraId="610EAFBA" w14:textId="77777777">
        <w:tc>
          <w:tcPr>
            <w:tcW w:w="2610" w:type="dxa"/>
            <w:tcBorders>
              <w:top w:val="nil"/>
              <w:left w:val="nil"/>
              <w:bottom w:val="nil"/>
              <w:right w:val="nil"/>
            </w:tcBorders>
            <w:shd w:val="clear" w:color="auto" w:fill="auto"/>
            <w:vAlign w:val="bottom"/>
          </w:tcPr>
          <w:p w:rsidRPr="00E94F38" w:rsidR="005C31EF" w:rsidP="005C31EF" w:rsidRDefault="005C31EF" w14:paraId="34BD9FB3" w14:textId="77777777">
            <w:pPr>
              <w:tabs>
                <w:tab w:val="decimal" w:pos="960"/>
              </w:tabs>
              <w:jc w:val="left"/>
            </w:pPr>
            <w:r w:rsidRPr="00E94F38">
              <w:rPr>
                <w:color w:val="000000"/>
              </w:rPr>
              <w:t>1/1/2052</w:t>
            </w:r>
          </w:p>
        </w:tc>
        <w:tc>
          <w:tcPr>
            <w:tcW w:w="2700" w:type="dxa"/>
            <w:tcBorders>
              <w:top w:val="nil"/>
              <w:left w:val="nil"/>
              <w:bottom w:val="nil"/>
              <w:right w:val="nil"/>
            </w:tcBorders>
            <w:shd w:val="clear" w:color="auto" w:fill="auto"/>
            <w:vAlign w:val="bottom"/>
          </w:tcPr>
          <w:p w:rsidRPr="005C31EF" w:rsidR="005C31EF" w:rsidP="005C31EF" w:rsidRDefault="005C31EF" w14:paraId="69A4599C" w14:textId="6ACDD26B">
            <w:pPr>
              <w:tabs>
                <w:tab w:val="decimal" w:pos="1590"/>
              </w:tabs>
              <w:jc w:val="left"/>
            </w:pPr>
            <w:r w:rsidRPr="005C31EF">
              <w:rPr>
                <w:color w:val="000000"/>
              </w:rPr>
              <w:t>3,050,000</w:t>
            </w:r>
          </w:p>
        </w:tc>
      </w:tr>
      <w:tr w:rsidRPr="003E694E" w:rsidR="005C31EF" w:rsidTr="00873F6B" w14:paraId="12BC185A" w14:textId="77777777">
        <w:tc>
          <w:tcPr>
            <w:tcW w:w="2610" w:type="dxa"/>
            <w:tcBorders>
              <w:top w:val="nil"/>
              <w:left w:val="nil"/>
              <w:bottom w:val="nil"/>
              <w:right w:val="nil"/>
            </w:tcBorders>
            <w:shd w:val="clear" w:color="auto" w:fill="auto"/>
            <w:vAlign w:val="bottom"/>
          </w:tcPr>
          <w:p w:rsidRPr="00E94F38" w:rsidR="005C31EF" w:rsidP="005C31EF" w:rsidRDefault="005C31EF" w14:paraId="0B786EA8" w14:textId="77777777">
            <w:pPr>
              <w:tabs>
                <w:tab w:val="decimal" w:pos="960"/>
              </w:tabs>
              <w:jc w:val="left"/>
            </w:pPr>
            <w:r w:rsidRPr="00E94F38">
              <w:rPr>
                <w:color w:val="000000"/>
              </w:rPr>
              <w:t>7/1/2052</w:t>
            </w:r>
          </w:p>
        </w:tc>
        <w:tc>
          <w:tcPr>
            <w:tcW w:w="2700" w:type="dxa"/>
            <w:tcBorders>
              <w:top w:val="nil"/>
              <w:left w:val="nil"/>
              <w:bottom w:val="nil"/>
              <w:right w:val="nil"/>
            </w:tcBorders>
            <w:shd w:val="clear" w:color="auto" w:fill="auto"/>
            <w:vAlign w:val="bottom"/>
          </w:tcPr>
          <w:p w:rsidRPr="005C31EF" w:rsidR="005C31EF" w:rsidP="005C31EF" w:rsidRDefault="005C31EF" w14:paraId="2639CEB7" w14:textId="3D62C204">
            <w:pPr>
              <w:tabs>
                <w:tab w:val="decimal" w:pos="1590"/>
              </w:tabs>
              <w:jc w:val="left"/>
            </w:pPr>
            <w:r w:rsidRPr="005C31EF">
              <w:rPr>
                <w:color w:val="000000"/>
              </w:rPr>
              <w:t>3,160,000</w:t>
            </w:r>
          </w:p>
        </w:tc>
      </w:tr>
      <w:tr w:rsidRPr="003E694E" w:rsidR="005C31EF" w:rsidTr="00873F6B" w14:paraId="2AC33E75" w14:textId="77777777">
        <w:tc>
          <w:tcPr>
            <w:tcW w:w="2610" w:type="dxa"/>
            <w:tcBorders>
              <w:top w:val="nil"/>
              <w:left w:val="nil"/>
              <w:bottom w:val="nil"/>
              <w:right w:val="nil"/>
            </w:tcBorders>
            <w:shd w:val="clear" w:color="auto" w:fill="auto"/>
            <w:vAlign w:val="bottom"/>
          </w:tcPr>
          <w:p w:rsidRPr="00E94F38" w:rsidR="005C31EF" w:rsidP="005C31EF" w:rsidRDefault="005C31EF" w14:paraId="54FEEE50" w14:textId="77777777">
            <w:pPr>
              <w:tabs>
                <w:tab w:val="decimal" w:pos="960"/>
              </w:tabs>
              <w:jc w:val="left"/>
              <w:rPr>
                <w:color w:val="000000"/>
              </w:rPr>
            </w:pPr>
            <w:r w:rsidRPr="00E94F38">
              <w:rPr>
                <w:color w:val="000000"/>
              </w:rPr>
              <w:t>1/1/2053</w:t>
            </w:r>
          </w:p>
        </w:tc>
        <w:tc>
          <w:tcPr>
            <w:tcW w:w="2700" w:type="dxa"/>
            <w:tcBorders>
              <w:top w:val="nil"/>
              <w:left w:val="nil"/>
              <w:bottom w:val="nil"/>
              <w:right w:val="nil"/>
            </w:tcBorders>
            <w:shd w:val="clear" w:color="auto" w:fill="auto"/>
            <w:vAlign w:val="bottom"/>
          </w:tcPr>
          <w:p w:rsidRPr="005C31EF" w:rsidR="005C31EF" w:rsidP="005C31EF" w:rsidRDefault="005C31EF" w14:paraId="5309670D" w14:textId="49D0D0E6">
            <w:pPr>
              <w:tabs>
                <w:tab w:val="decimal" w:pos="1590"/>
              </w:tabs>
              <w:jc w:val="left"/>
              <w:rPr>
                <w:color w:val="000000"/>
              </w:rPr>
            </w:pPr>
            <w:r w:rsidRPr="005C31EF">
              <w:rPr>
                <w:color w:val="000000"/>
              </w:rPr>
              <w:t>3,280,000</w:t>
            </w:r>
          </w:p>
        </w:tc>
      </w:tr>
      <w:tr w:rsidRPr="003E694E" w:rsidR="005C31EF" w:rsidTr="00873F6B" w14:paraId="6A82A411" w14:textId="77777777">
        <w:tc>
          <w:tcPr>
            <w:tcW w:w="2610" w:type="dxa"/>
            <w:tcBorders>
              <w:top w:val="nil"/>
              <w:left w:val="nil"/>
              <w:bottom w:val="nil"/>
              <w:right w:val="nil"/>
            </w:tcBorders>
            <w:shd w:val="clear" w:color="auto" w:fill="auto"/>
            <w:vAlign w:val="bottom"/>
          </w:tcPr>
          <w:p w:rsidRPr="00E94F38" w:rsidR="005C31EF" w:rsidP="005C31EF" w:rsidRDefault="005C31EF" w14:paraId="1F3FD517" w14:textId="77777777">
            <w:pPr>
              <w:tabs>
                <w:tab w:val="decimal" w:pos="960"/>
              </w:tabs>
              <w:jc w:val="left"/>
              <w:rPr>
                <w:color w:val="000000"/>
              </w:rPr>
            </w:pPr>
            <w:r w:rsidRPr="00E94F38">
              <w:rPr>
                <w:color w:val="000000"/>
              </w:rPr>
              <w:t>7/1/2053</w:t>
            </w:r>
          </w:p>
        </w:tc>
        <w:tc>
          <w:tcPr>
            <w:tcW w:w="2700" w:type="dxa"/>
            <w:tcBorders>
              <w:top w:val="nil"/>
              <w:left w:val="nil"/>
              <w:bottom w:val="nil"/>
              <w:right w:val="nil"/>
            </w:tcBorders>
            <w:shd w:val="clear" w:color="auto" w:fill="auto"/>
            <w:vAlign w:val="bottom"/>
          </w:tcPr>
          <w:p w:rsidRPr="005C31EF" w:rsidR="005C31EF" w:rsidP="005C31EF" w:rsidRDefault="005C31EF" w14:paraId="6EDE8AE0" w14:textId="4F123A28">
            <w:pPr>
              <w:tabs>
                <w:tab w:val="decimal" w:pos="1590"/>
              </w:tabs>
              <w:jc w:val="left"/>
              <w:rPr>
                <w:color w:val="000000"/>
              </w:rPr>
            </w:pPr>
            <w:r w:rsidRPr="005C31EF">
              <w:rPr>
                <w:color w:val="000000"/>
              </w:rPr>
              <w:t>3,400,000</w:t>
            </w:r>
          </w:p>
        </w:tc>
      </w:tr>
      <w:tr w:rsidRPr="003E694E" w:rsidR="005C31EF" w:rsidTr="00873F6B" w14:paraId="4F4D8384" w14:textId="77777777">
        <w:tc>
          <w:tcPr>
            <w:tcW w:w="2610" w:type="dxa"/>
            <w:tcBorders>
              <w:top w:val="nil"/>
              <w:left w:val="nil"/>
              <w:bottom w:val="nil"/>
              <w:right w:val="nil"/>
            </w:tcBorders>
            <w:shd w:val="clear" w:color="auto" w:fill="auto"/>
            <w:vAlign w:val="bottom"/>
          </w:tcPr>
          <w:p w:rsidRPr="00E94F38" w:rsidR="005C31EF" w:rsidP="005C31EF" w:rsidRDefault="005C31EF" w14:paraId="30DD0136" w14:textId="2B8F5417">
            <w:pPr>
              <w:tabs>
                <w:tab w:val="decimal" w:pos="960"/>
              </w:tabs>
              <w:jc w:val="left"/>
              <w:rPr>
                <w:color w:val="000000"/>
              </w:rPr>
            </w:pPr>
            <w:r w:rsidRPr="00E94F38">
              <w:rPr>
                <w:color w:val="000000"/>
              </w:rPr>
              <w:t>1/1/2054</w:t>
            </w:r>
            <w:r>
              <w:rPr>
                <w:color w:val="000000"/>
              </w:rPr>
              <w:t>**</w:t>
            </w:r>
          </w:p>
        </w:tc>
        <w:tc>
          <w:tcPr>
            <w:tcW w:w="2700" w:type="dxa"/>
            <w:tcBorders>
              <w:top w:val="nil"/>
              <w:left w:val="nil"/>
              <w:bottom w:val="nil"/>
              <w:right w:val="nil"/>
            </w:tcBorders>
            <w:shd w:val="clear" w:color="auto" w:fill="auto"/>
            <w:vAlign w:val="bottom"/>
          </w:tcPr>
          <w:p w:rsidRPr="005C31EF" w:rsidR="005C31EF" w:rsidP="005C31EF" w:rsidRDefault="005C31EF" w14:paraId="298430B6" w14:textId="0ED9FC88">
            <w:pPr>
              <w:tabs>
                <w:tab w:val="decimal" w:pos="1590"/>
              </w:tabs>
              <w:jc w:val="left"/>
              <w:rPr>
                <w:color w:val="000000"/>
              </w:rPr>
            </w:pPr>
            <w:r w:rsidRPr="005C31EF">
              <w:rPr>
                <w:color w:val="000000"/>
              </w:rPr>
              <w:t>3,400,000</w:t>
            </w:r>
          </w:p>
        </w:tc>
      </w:tr>
    </w:tbl>
    <w:p w:rsidRPr="003E694E" w:rsidR="00E1605B" w:rsidP="00E1605B" w:rsidRDefault="00E1605B" w14:paraId="3869A156" w14:textId="77777777">
      <w:pPr>
        <w:tabs>
          <w:tab w:val="left" w:pos="2160"/>
        </w:tabs>
      </w:pPr>
    </w:p>
    <w:p w:rsidR="0048289B" w:rsidP="00E1605B" w:rsidRDefault="00E1605B" w14:paraId="4F7288C8" w14:textId="791A767F">
      <w:pPr>
        <w:pStyle w:val="BodyTextFirstIndent"/>
      </w:pPr>
      <w:r>
        <w:tab/>
      </w:r>
      <w:r>
        <w:tab/>
      </w:r>
      <w:r w:rsidRPr="003E694E">
        <w:t>**Final Maturity</w:t>
      </w:r>
      <w:bookmarkStart w:name="ElPgBr28" w:id="245"/>
      <w:bookmarkEnd w:id="245"/>
    </w:p>
    <w:p w:rsidR="001D60FE" w:rsidP="000F0458" w:rsidRDefault="00AF72E5" w14:paraId="71AE99A2" w14:textId="57E2F2D0">
      <w:pPr>
        <w:pStyle w:val="BodyTextFirstIndent"/>
      </w:pPr>
      <w:bookmarkStart w:name="_DV_M380" w:id="246"/>
      <w:bookmarkEnd w:id="246"/>
      <w:r w:rsidRPr="00B34407">
        <w:t>Prior to the 45</w:t>
      </w:r>
      <w:r w:rsidRPr="00B34407">
        <w:rPr>
          <w:vertAlign w:val="superscript"/>
        </w:rPr>
        <w:t>th</w:t>
      </w:r>
      <w:r w:rsidRPr="00B34407">
        <w:t xml:space="preserve"> day preceding the date of each sinking fund payment, the Trustee may, and if so directed by the Authority must, apply any amount accumulated in the Revenue Account under the Indenture, up to the unsatisfied balance of such sinking fund payment together with amounts accumulated in the Revenue Account for interest on </w:t>
      </w:r>
      <w:r w:rsidRPr="000F0458">
        <w:t>the</w:t>
      </w:r>
      <w:r w:rsidRPr="00B34407">
        <w:t xml:space="preserve"> </w:t>
      </w:r>
      <w:r w:rsidR="00C7294C">
        <w:t>2024 Series C</w:t>
      </w:r>
      <w:r w:rsidR="00953665">
        <w:t xml:space="preserve"> Term Bonds</w:t>
      </w:r>
      <w:r w:rsidRPr="00B34407">
        <w:t xml:space="preserve"> for which such sinking fund payment was established, as follows: (1) to the purchase of </w:t>
      </w:r>
      <w:r w:rsidR="00C7294C">
        <w:t>2024 Series C</w:t>
      </w:r>
      <w:r w:rsidR="00953665">
        <w:t xml:space="preserve"> Term Bonds</w:t>
      </w:r>
      <w:r w:rsidRPr="00B34407">
        <w:t xml:space="preserve"> of the Series and maturity for which such sinking fund payment was established, at prices (including any brokerage and other charges) not exceeding the redemption price for such </w:t>
      </w:r>
      <w:r w:rsidR="00C7294C">
        <w:t>2024 Series C</w:t>
      </w:r>
      <w:r w:rsidR="00953665">
        <w:t xml:space="preserve"> Term Bonds</w:t>
      </w:r>
      <w:r w:rsidRPr="00B34407">
        <w:t xml:space="preserve"> when such </w:t>
      </w:r>
      <w:r w:rsidR="00C7294C">
        <w:t>2024 Series C</w:t>
      </w:r>
      <w:r w:rsidR="0038032D">
        <w:t xml:space="preserve"> </w:t>
      </w:r>
      <w:r w:rsidR="00953665">
        <w:t>Term Bonds</w:t>
      </w:r>
      <w:r w:rsidRPr="00B34407">
        <w:t xml:space="preserve"> are redeemable by application of such sinking fund payment, plus accrued and unpaid interest thereon to the date of purchase, or (2) to the redemption of such </w:t>
      </w:r>
      <w:r w:rsidR="00C7294C">
        <w:t>2024 Series C</w:t>
      </w:r>
      <w:r w:rsidR="00953665">
        <w:t xml:space="preserve"> Term Bonds</w:t>
      </w:r>
      <w:r w:rsidRPr="00B34407">
        <w:t xml:space="preserve"> if then redeemable by their terms at the redemption price referred to in clause (1) above, plus accrued and unpaid interest thereon to the redemption date.  </w:t>
      </w:r>
    </w:p>
    <w:p w:rsidR="00C734FF" w:rsidP="000F0458" w:rsidRDefault="00AF72E5" w14:paraId="29746137" w14:textId="41D73847">
      <w:pPr>
        <w:pStyle w:val="BodyTextFirstIndent"/>
      </w:pPr>
      <w:r w:rsidRPr="00B34407">
        <w:t xml:space="preserve">Upon the purchase or redemption of any </w:t>
      </w:r>
      <w:r w:rsidR="00C7294C">
        <w:t>2024 Series C</w:t>
      </w:r>
      <w:r w:rsidR="00953665">
        <w:t xml:space="preserve"> Term Bonds</w:t>
      </w:r>
      <w:r w:rsidRPr="00B34407">
        <w:t xml:space="preserve"> pursuant to the preceding sentence or from amounts in the Redemption Account under the Indenture, an amount equal to the principal amount of the </w:t>
      </w:r>
      <w:r w:rsidR="00C7294C">
        <w:t>2024 Series C</w:t>
      </w:r>
      <w:r w:rsidR="00953665">
        <w:t xml:space="preserve"> Term Bonds</w:t>
      </w:r>
      <w:r w:rsidRPr="00B34407">
        <w:t xml:space="preserve"> so purchased or redeemed will be credited toward each such sinking fund payment thereafter to become due with respect to the </w:t>
      </w:r>
      <w:r w:rsidR="00C7294C">
        <w:t>2024 Series C</w:t>
      </w:r>
      <w:r w:rsidR="00953665">
        <w:t xml:space="preserve"> Term Bonds</w:t>
      </w:r>
      <w:r w:rsidRPr="00B34407">
        <w:t xml:space="preserve"> of such maturity on a pro rata basis, unless the Authority directs otherwise.</w:t>
      </w:r>
    </w:p>
    <w:p w:rsidRPr="000F0458" w:rsidR="00C734FF" w:rsidP="000F0458" w:rsidRDefault="00AF72E5" w14:paraId="39D28480" w14:textId="101C2CBF">
      <w:pPr>
        <w:pStyle w:val="BodyTextFirstIndent"/>
      </w:pPr>
      <w:bookmarkStart w:name="_DV_M381" w:id="247"/>
      <w:bookmarkEnd w:id="247"/>
      <w:r w:rsidRPr="00B34407">
        <w:t xml:space="preserve">As </w:t>
      </w:r>
      <w:r w:rsidRPr="000F0458">
        <w:t>soon as practicable after the 45</w:t>
      </w:r>
      <w:r w:rsidRPr="008B7806">
        <w:rPr>
          <w:vertAlign w:val="superscript"/>
        </w:rPr>
        <w:t>th</w:t>
      </w:r>
      <w:r w:rsidR="008B7806">
        <w:t xml:space="preserve"> </w:t>
      </w:r>
      <w:r w:rsidRPr="000F0458">
        <w:t xml:space="preserve">day preceding the due date of any such sinking fund payment, the Trustee will call for redemption on such due date </w:t>
      </w:r>
      <w:r w:rsidR="00C7294C">
        <w:t>2024 Series C</w:t>
      </w:r>
      <w:r w:rsidR="00953665">
        <w:t xml:space="preserve"> Term Bonds</w:t>
      </w:r>
      <w:r w:rsidRPr="000F0458">
        <w:t xml:space="preserve"> for which such sinking fund payment was established in such amount as is necessary to complete the retirement of a principal amount of </w:t>
      </w:r>
      <w:r w:rsidR="00C7294C">
        <w:t>2024 Series C</w:t>
      </w:r>
      <w:r w:rsidR="00953665">
        <w:t xml:space="preserve"> Term Bonds</w:t>
      </w:r>
      <w:r w:rsidRPr="000F0458">
        <w:t xml:space="preserve"> equal to the unsatisfied balance of such sinking fund payment.  </w:t>
      </w:r>
    </w:p>
    <w:p w:rsidRPr="00B34407" w:rsidR="00894DD6" w:rsidP="000F0458" w:rsidRDefault="00AF72E5" w14:paraId="2A0C0514" w14:textId="7DD79187">
      <w:pPr>
        <w:pStyle w:val="BodyTextFirstIndent"/>
      </w:pPr>
      <w:r w:rsidRPr="000F0458">
        <w:t xml:space="preserve">The Trustee will so call such </w:t>
      </w:r>
      <w:r w:rsidR="00C7294C">
        <w:t>2024 Series C</w:t>
      </w:r>
      <w:r w:rsidR="00953665">
        <w:t xml:space="preserve"> Term Bonds</w:t>
      </w:r>
      <w:r w:rsidRPr="000F0458">
        <w:t xml:space="preserve"> for redemption whether or not it then has moneys in the Revenue Account under the Indenture sufficient to pay the applicable redemption price thereof on the redemption date.  The amount</w:t>
      </w:r>
      <w:r w:rsidRPr="00B34407">
        <w:t xml:space="preserve"> required for the redemption of the </w:t>
      </w:r>
      <w:r w:rsidR="00C7294C">
        <w:t>2024 Series C</w:t>
      </w:r>
      <w:r w:rsidR="00953665">
        <w:t xml:space="preserve"> Term Bonds</w:t>
      </w:r>
      <w:r w:rsidRPr="00B34407">
        <w:t xml:space="preserve"> so called for redemption will be applied from the Revenue Account to such redemption on such redemption date.</w:t>
      </w:r>
      <w:bookmarkStart w:name="_DV_M382" w:id="248"/>
      <w:bookmarkStart w:name="_Toc212948789" w:id="249"/>
      <w:bookmarkStart w:name="_Toc3865661" w:id="250"/>
      <w:bookmarkStart w:name="_Toc85337905" w:id="251"/>
      <w:bookmarkEnd w:id="248"/>
    </w:p>
    <w:p w:rsidRPr="00B34407" w:rsidR="00AF72E5" w:rsidP="00A926F6" w:rsidRDefault="00AF72E5" w14:paraId="2FDD746A" w14:textId="77777777">
      <w:pPr>
        <w:pStyle w:val="aHEADING"/>
      </w:pPr>
      <w:bookmarkStart w:name="_Toc534620338" w:id="252"/>
      <w:bookmarkStart w:name="_Toc534620448" w:id="253"/>
      <w:bookmarkStart w:name="_Toc534620566" w:id="254"/>
      <w:bookmarkStart w:name="_Toc534620887" w:id="255"/>
      <w:bookmarkStart w:name="_Toc534621118" w:id="256"/>
      <w:bookmarkStart w:name="_Toc172841935" w:id="257"/>
      <w:r w:rsidRPr="00B34407">
        <w:t>BOOK-</w:t>
      </w:r>
      <w:r w:rsidRPr="00A926F6">
        <w:t>ENTRY</w:t>
      </w:r>
      <w:r w:rsidRPr="00B34407">
        <w:t>-ONLY SYSTEM</w:t>
      </w:r>
      <w:bookmarkEnd w:id="249"/>
      <w:bookmarkEnd w:id="250"/>
      <w:bookmarkEnd w:id="251"/>
      <w:bookmarkEnd w:id="252"/>
      <w:bookmarkEnd w:id="253"/>
      <w:bookmarkEnd w:id="254"/>
      <w:bookmarkEnd w:id="255"/>
      <w:bookmarkEnd w:id="256"/>
      <w:bookmarkEnd w:id="257"/>
    </w:p>
    <w:p w:rsidRPr="00B34407" w:rsidR="00AF72E5" w:rsidP="00A926F6" w:rsidRDefault="00AF72E5" w14:paraId="5DC7C8D1" w14:textId="77777777">
      <w:pPr>
        <w:pStyle w:val="aHEADINGSUB"/>
      </w:pPr>
      <w:bookmarkStart w:name="_DV_M383" w:id="258"/>
      <w:bookmarkStart w:name="_Toc212948790" w:id="259"/>
      <w:bookmarkStart w:name="_Toc534620339" w:id="260"/>
      <w:bookmarkStart w:name="_Toc534620449" w:id="261"/>
      <w:bookmarkStart w:name="_Toc534620567" w:id="262"/>
      <w:bookmarkStart w:name="_Toc534620888" w:id="263"/>
      <w:bookmarkStart w:name="_Toc534621119" w:id="264"/>
      <w:bookmarkStart w:name="_Toc172841936" w:id="265"/>
      <w:bookmarkEnd w:id="258"/>
      <w:r w:rsidRPr="00A926F6">
        <w:t>General</w:t>
      </w:r>
      <w:bookmarkEnd w:id="259"/>
      <w:bookmarkEnd w:id="260"/>
      <w:bookmarkEnd w:id="261"/>
      <w:bookmarkEnd w:id="262"/>
      <w:bookmarkEnd w:id="263"/>
      <w:bookmarkEnd w:id="264"/>
      <w:bookmarkEnd w:id="265"/>
    </w:p>
    <w:p w:rsidRPr="00B34407" w:rsidR="00AF72E5" w:rsidP="00AF72E5" w:rsidRDefault="00AF72E5" w14:paraId="546FF09C" w14:textId="54A08CDB">
      <w:pPr>
        <w:pStyle w:val="BodyTextFirstIndent"/>
      </w:pPr>
      <w:bookmarkStart w:name="_DV_M384" w:id="266"/>
      <w:bookmarkEnd w:id="266"/>
      <w:r w:rsidRPr="00B34407">
        <w:t>The Depository Trust Company (</w:t>
      </w:r>
      <w:r w:rsidR="00C34AEA">
        <w:t>“</w:t>
      </w:r>
      <w:r w:rsidRPr="00B34407">
        <w:rPr>
          <w:i/>
        </w:rPr>
        <w:t>DTC</w:t>
      </w:r>
      <w:r w:rsidR="00C34AEA">
        <w:t>”</w:t>
      </w:r>
      <w:r w:rsidRPr="00B34407">
        <w:t xml:space="preserve">), New York, New York, will act as securities depository for the </w:t>
      </w:r>
      <w:r w:rsidR="00C7294C">
        <w:t>2024 Series C</w:t>
      </w:r>
      <w:r w:rsidR="005B3036">
        <w:t xml:space="preserve"> Bond</w:t>
      </w:r>
      <w:r w:rsidR="006C550F">
        <w:t>s</w:t>
      </w:r>
      <w:r w:rsidRPr="00B34407">
        <w:t xml:space="preserve">.  The </w:t>
      </w:r>
      <w:r w:rsidR="00C7294C">
        <w:t>2024 Series C</w:t>
      </w:r>
      <w:r w:rsidR="005B3036">
        <w:t xml:space="preserve"> Bond</w:t>
      </w:r>
      <w:r w:rsidR="006C550F">
        <w:t>s</w:t>
      </w:r>
      <w:r w:rsidRPr="00B34407">
        <w:t xml:space="preserve"> will be issued as fully-registered securities registered in the name of Cede &amp; Co. (DTC</w:t>
      </w:r>
      <w:r w:rsidR="00C34AEA">
        <w:t>’</w:t>
      </w:r>
      <w:r w:rsidRPr="00B34407">
        <w:t xml:space="preserve">s partnership nominee) or such other name as may be requested by an authorized representative of DTC.  One fully-registered </w:t>
      </w:r>
      <w:r w:rsidR="00C7294C">
        <w:t>2024 Series C</w:t>
      </w:r>
      <w:r w:rsidR="00B4438E">
        <w:t>-1 Bond</w:t>
      </w:r>
      <w:r w:rsidR="00E20C4E">
        <w:t xml:space="preserve"> certificate</w:t>
      </w:r>
      <w:r w:rsidRPr="00B34407" w:rsidR="00D75E12">
        <w:t xml:space="preserve"> </w:t>
      </w:r>
      <w:r w:rsidRPr="00B34407">
        <w:t xml:space="preserve">will be issued </w:t>
      </w:r>
      <w:r w:rsidRPr="00B34407" w:rsidR="00BB2301">
        <w:t xml:space="preserve">for </w:t>
      </w:r>
      <w:r w:rsidRPr="00B34407">
        <w:t xml:space="preserve">the </w:t>
      </w:r>
      <w:r w:rsidR="00C7294C">
        <w:t>2024 Series C</w:t>
      </w:r>
      <w:r w:rsidR="00B4438E">
        <w:t>-1 Bond</w:t>
      </w:r>
      <w:r w:rsidR="004B3357">
        <w:t>s</w:t>
      </w:r>
      <w:r w:rsidRPr="00B34407" w:rsidR="00DA1A4B">
        <w:t xml:space="preserve"> </w:t>
      </w:r>
      <w:r w:rsidRPr="00B34407">
        <w:t>and will be deposited with DTC.</w:t>
      </w:r>
      <w:r w:rsidR="00E20C4E">
        <w:t xml:space="preserve">  </w:t>
      </w:r>
      <w:r w:rsidRPr="00B34407" w:rsidR="00E20C4E">
        <w:t xml:space="preserve">One fully-registered </w:t>
      </w:r>
      <w:r w:rsidR="00C7294C">
        <w:t>2024 Series C</w:t>
      </w:r>
      <w:r w:rsidR="00B4438E">
        <w:t>-2 Bond</w:t>
      </w:r>
      <w:r w:rsidR="00E20C4E">
        <w:t xml:space="preserve"> certificate</w:t>
      </w:r>
      <w:r w:rsidRPr="00B34407" w:rsidR="00E20C4E">
        <w:t xml:space="preserve"> will be issued for the </w:t>
      </w:r>
      <w:r w:rsidR="00C7294C">
        <w:t>2024 Series C</w:t>
      </w:r>
      <w:r w:rsidR="00B4438E">
        <w:t>-2 Bond</w:t>
      </w:r>
      <w:r w:rsidR="00E20C4E">
        <w:t>s</w:t>
      </w:r>
      <w:r w:rsidRPr="00B34407" w:rsidR="00E20C4E">
        <w:t xml:space="preserve"> and will be deposited with DTC.</w:t>
      </w:r>
    </w:p>
    <w:p w:rsidRPr="00B34407" w:rsidR="00AF72E5" w:rsidP="0036156A" w:rsidRDefault="00AF72E5" w14:paraId="656E8615" w14:textId="4219E6B5">
      <w:pPr>
        <w:pStyle w:val="BodyTextFirstIndent"/>
      </w:pPr>
      <w:bookmarkStart w:name="_DV_M385" w:id="267"/>
      <w:bookmarkEnd w:id="267"/>
      <w:r w:rsidRPr="00B34407">
        <w:lastRenderedPageBreak/>
        <w:t>DTC, the world</w:t>
      </w:r>
      <w:r w:rsidR="00C34AEA">
        <w:t>’</w:t>
      </w:r>
      <w:r w:rsidRPr="00B34407">
        <w:t>s largest</w:t>
      </w:r>
      <w:r w:rsidR="004F3574">
        <w:t xml:space="preserve"> securities</w:t>
      </w:r>
      <w:r w:rsidRPr="00B34407">
        <w:t xml:space="preserve"> depository, is a limited-purpose trust company organized under the New York Banking Law, a </w:t>
      </w:r>
      <w:r w:rsidR="00C34AEA">
        <w:t>“</w:t>
      </w:r>
      <w:r w:rsidRPr="00B34407">
        <w:t>banking organization</w:t>
      </w:r>
      <w:r w:rsidR="00C34AEA">
        <w:t>”</w:t>
      </w:r>
      <w:r w:rsidRPr="00B34407">
        <w:t xml:space="preserve"> within the meaning of the New York Banking Law, a member of the Federal Reserve System, a </w:t>
      </w:r>
      <w:r w:rsidR="00C34AEA">
        <w:t>“</w:t>
      </w:r>
      <w:r w:rsidRPr="00B34407">
        <w:t>clearing corporation</w:t>
      </w:r>
      <w:r w:rsidR="00C34AEA">
        <w:t>”</w:t>
      </w:r>
      <w:r w:rsidRPr="00B34407">
        <w:t xml:space="preserve"> within the meaning of the New York Uniform Commercial Code, and a </w:t>
      </w:r>
      <w:r w:rsidR="00C34AEA">
        <w:t>“</w:t>
      </w:r>
      <w:r w:rsidRPr="00B34407">
        <w:t>clearing agency</w:t>
      </w:r>
      <w:r w:rsidR="00C34AEA">
        <w:t>”</w:t>
      </w:r>
      <w:r w:rsidRPr="00B34407">
        <w:t xml:space="preserve"> registered pursuant to the provisions of Section 17A of the Securities Exchange Act of 1934.  DTC holds and provides asset servicing for over 3.5 million issues of U.S. and non-U.S. equity, corporate and municipal debt issues, and money market instruments </w:t>
      </w:r>
      <w:r w:rsidR="004F3574">
        <w:t>(</w:t>
      </w:r>
      <w:r w:rsidRPr="00B34407">
        <w:t>from over 100 countries</w:t>
      </w:r>
      <w:r w:rsidR="004F3574">
        <w:t>)</w:t>
      </w:r>
      <w:r w:rsidRPr="00B34407">
        <w:t xml:space="preserve"> that DTC</w:t>
      </w:r>
      <w:r w:rsidR="00C34AEA">
        <w:t>’</w:t>
      </w:r>
      <w:r w:rsidRPr="00B34407">
        <w:t>s participants (</w:t>
      </w:r>
      <w:r w:rsidR="00C34AEA">
        <w:t>“</w:t>
      </w:r>
      <w:r w:rsidRPr="00B34407">
        <w:rPr>
          <w:i/>
        </w:rPr>
        <w:t>Direct Participants</w:t>
      </w:r>
      <w:r w:rsidR="00C34AEA">
        <w:t>”</w:t>
      </w:r>
      <w:r w:rsidRPr="00B34407">
        <w:t>) deposit with DTC.  DTC also facilitates the post-trade settlement among Direct Participants of sales and other securities transactions in deposited securities</w:t>
      </w:r>
      <w:r w:rsidR="004F3574">
        <w:t>,</w:t>
      </w:r>
      <w:r w:rsidRPr="00B34407">
        <w:t xml:space="preserve"> through electronic computerized book-entry transfers and pledges between Direct Participants</w:t>
      </w:r>
      <w:r w:rsidR="00C34AEA">
        <w:t>’</w:t>
      </w:r>
      <w:r w:rsidRPr="00B34407">
        <w:t xml:space="preserve"> accounts.  This eliminates the need for physical movement of securities certificates.  Direct Participants include both U.S. and non</w:t>
      </w:r>
      <w:r w:rsidRPr="00B34407">
        <w:noBreakHyphen/>
        <w:t>U.S. securities brokers and dealers, banks, trust companies, clearing corporations, and certain other organizations.  DTC is a wholly-owned subsidiary of The Depository Trust &amp; Clearing Corporation (</w:t>
      </w:r>
      <w:r w:rsidR="00C34AEA">
        <w:t>“</w:t>
      </w:r>
      <w:r w:rsidRPr="00B34407">
        <w:rPr>
          <w:i/>
        </w:rPr>
        <w:t>DTCC</w:t>
      </w:r>
      <w:r w:rsidR="00C34AEA">
        <w:t>”</w:t>
      </w:r>
      <w:r w:rsidRPr="00B34407">
        <w:t>).  DTCC</w:t>
      </w:r>
      <w:r w:rsidR="004F3574">
        <w:t xml:space="preserve"> is the holding company for DTC</w:t>
      </w:r>
      <w:r w:rsidRPr="00B34407">
        <w:t>,</w:t>
      </w:r>
      <w:r w:rsidR="004F3574">
        <w:t xml:space="preserve"> National Securities Clearing </w:t>
      </w:r>
      <w:r w:rsidRPr="00B34407">
        <w:t>Corporation</w:t>
      </w:r>
      <w:r w:rsidR="004A6707">
        <w:t xml:space="preserve"> and </w:t>
      </w:r>
      <w:r w:rsidRPr="00B34407">
        <w:t>Fixed Income Clearing Corporation,</w:t>
      </w:r>
      <w:r w:rsidR="004A6707">
        <w:t xml:space="preserve"> all of which are registered clearing agencies.  DTCC is owned by the users of its regulated subsidiaries.</w:t>
      </w:r>
      <w:r w:rsidRPr="00B34407">
        <w:t xml:space="preserve"> </w:t>
      </w:r>
      <w:r w:rsidR="004A6707">
        <w:t xml:space="preserve"> </w:t>
      </w:r>
      <w:r w:rsidRPr="00B34407">
        <w:t>Access to the DTC system is also available to others such as both U.S. and non</w:t>
      </w:r>
      <w:r w:rsidRPr="00B34407">
        <w:noBreakHyphen/>
        <w:t>U.S. securities brokers and dealers, banks, trust companies, and clearing corporations that clear through or maintain a custodial relationship with a Direct Participant, either directly or indirectly (</w:t>
      </w:r>
      <w:r w:rsidR="00C34AEA">
        <w:t>“</w:t>
      </w:r>
      <w:r w:rsidRPr="00B34407">
        <w:rPr>
          <w:i/>
        </w:rPr>
        <w:t>Indirect Participants</w:t>
      </w:r>
      <w:r w:rsidR="00C34AEA">
        <w:t>”</w:t>
      </w:r>
      <w:r w:rsidRPr="00B34407">
        <w:t xml:space="preserve">).  DTC has </w:t>
      </w:r>
      <w:r w:rsidRPr="00B34407" w:rsidR="008C7ADF">
        <w:t>a</w:t>
      </w:r>
      <w:r w:rsidR="004A6707">
        <w:t xml:space="preserve"> </w:t>
      </w:r>
      <w:bookmarkStart w:name="ElPgBr29" w:id="268"/>
      <w:bookmarkEnd w:id="268"/>
      <w:r w:rsidR="004A6707">
        <w:t>Standard &amp; Poor</w:t>
      </w:r>
      <w:r w:rsidR="00C34AEA">
        <w:t>’</w:t>
      </w:r>
      <w:r w:rsidR="004A6707">
        <w:t>s</w:t>
      </w:r>
      <w:r w:rsidRPr="00B34407" w:rsidR="008C7ADF">
        <w:t xml:space="preserve"> rating of AA+</w:t>
      </w:r>
      <w:r w:rsidR="004A6707">
        <w:t>.</w:t>
      </w:r>
      <w:r w:rsidRPr="00B34407">
        <w:t xml:space="preserve">  The DTC Rules applicable to its Participants are on file with the Securities and Exchange Commission.  More information about DTC can be found at </w:t>
      </w:r>
      <w:r w:rsidR="004A6707">
        <w:rPr>
          <w:rStyle w:val="BodyTextChar"/>
          <w:b/>
          <w:bCs/>
        </w:rPr>
        <w:t>www.dtcc.com.</w:t>
      </w:r>
    </w:p>
    <w:p w:rsidRPr="00B34407" w:rsidR="00AF72E5" w:rsidP="00A926F6" w:rsidRDefault="00AF72E5" w14:paraId="5C1AC5AB" w14:textId="703BB965">
      <w:pPr>
        <w:pStyle w:val="BodyTextFirstIndent"/>
      </w:pPr>
      <w:bookmarkStart w:name="_DV_M386" w:id="269"/>
      <w:bookmarkEnd w:id="269"/>
      <w:r w:rsidRPr="00B34407">
        <w:t xml:space="preserve">Purchases of </w:t>
      </w:r>
      <w:r w:rsidR="00C7294C">
        <w:t>2024 Series C</w:t>
      </w:r>
      <w:r w:rsidR="005B3036">
        <w:t xml:space="preserve"> Bond</w:t>
      </w:r>
      <w:r w:rsidR="006C550F">
        <w:t>s</w:t>
      </w:r>
      <w:r w:rsidRPr="00B34407">
        <w:t xml:space="preserve"> under the DTC system must be made by or through Direct Participants, which will receive a credit for the </w:t>
      </w:r>
      <w:r w:rsidR="00C7294C">
        <w:t>2024 Series C</w:t>
      </w:r>
      <w:r w:rsidR="005B3036">
        <w:t xml:space="preserve"> Bond</w:t>
      </w:r>
      <w:r w:rsidR="006C550F">
        <w:t>s</w:t>
      </w:r>
      <w:r w:rsidRPr="00B34407">
        <w:t xml:space="preserve"> on DTC</w:t>
      </w:r>
      <w:r w:rsidR="00C34AEA">
        <w:t>’</w:t>
      </w:r>
      <w:r w:rsidRPr="00B34407">
        <w:t xml:space="preserve">s records.  The ownership interest of each actual purchaser of each </w:t>
      </w:r>
      <w:r w:rsidR="00C7294C">
        <w:t>2024 Series C</w:t>
      </w:r>
      <w:r w:rsidR="005B3036">
        <w:t xml:space="preserve"> Bond</w:t>
      </w:r>
      <w:r w:rsidRPr="00B34407">
        <w:t xml:space="preserve"> (</w:t>
      </w:r>
      <w:r w:rsidR="00C34AEA">
        <w:t>“</w:t>
      </w:r>
      <w:r w:rsidRPr="00B34407">
        <w:rPr>
          <w:i/>
        </w:rPr>
        <w:t>Beneficial Owner</w:t>
      </w:r>
      <w:r w:rsidR="00C34AEA">
        <w:t>”</w:t>
      </w:r>
      <w:r w:rsidRPr="00B34407">
        <w:t>) is in turn to be recorded on the Direct and Indirect Participants</w:t>
      </w:r>
      <w:r w:rsidR="00C34AEA">
        <w:t>’</w:t>
      </w:r>
      <w:r w:rsidRPr="00B34407">
        <w:t xml:space="preserve"> records.  Beneficial Owners will not receive written confirmation from DTC of their purchase.  Beneficial Owners are, however, expected to receive written confirmations providing details of the transaction, as well as periodic statements of their holdings, from the Direct or Indirect Participant through which the Beneficial Owner entered into the transaction. </w:t>
      </w:r>
      <w:r w:rsidR="0041786B">
        <w:t xml:space="preserve"> </w:t>
      </w:r>
      <w:r w:rsidRPr="00B34407">
        <w:t xml:space="preserve">Transfers of ownership interests in the </w:t>
      </w:r>
      <w:r w:rsidR="00C7294C">
        <w:t>2024 Series C</w:t>
      </w:r>
      <w:r w:rsidR="005B3036">
        <w:t xml:space="preserve"> Bond</w:t>
      </w:r>
      <w:r w:rsidR="006C550F">
        <w:t>s</w:t>
      </w:r>
      <w:r w:rsidRPr="00B34407">
        <w:t xml:space="preserve"> are to be accomplished by entries made on the books of Direct and Indirect Participants acting on behalf of Beneficial Owners. </w:t>
      </w:r>
      <w:r w:rsidR="0041786B">
        <w:t xml:space="preserve"> </w:t>
      </w:r>
      <w:r w:rsidRPr="00B34407">
        <w:t xml:space="preserve">Beneficial Owners will not receive certificates representing their ownership interests in </w:t>
      </w:r>
      <w:r w:rsidR="00C7294C">
        <w:t>2024 Series C</w:t>
      </w:r>
      <w:r w:rsidR="005B3036">
        <w:t xml:space="preserve"> Bond</w:t>
      </w:r>
      <w:r w:rsidR="006C550F">
        <w:t>s</w:t>
      </w:r>
      <w:r w:rsidRPr="00B34407">
        <w:t xml:space="preserve">, except </w:t>
      </w:r>
      <w:r w:rsidR="00FB755C">
        <w:t>in the event that</w:t>
      </w:r>
      <w:r w:rsidRPr="00B34407" w:rsidR="00B8515F">
        <w:t xml:space="preserve"> the</w:t>
      </w:r>
      <w:r w:rsidRPr="00B34407">
        <w:t xml:space="preserve"> use of the book</w:t>
      </w:r>
      <w:r w:rsidRPr="00B34407">
        <w:noBreakHyphen/>
        <w:t xml:space="preserve">entry system for the </w:t>
      </w:r>
      <w:r w:rsidR="00C7294C">
        <w:t>2024 Series C</w:t>
      </w:r>
      <w:r w:rsidR="005B3036">
        <w:t xml:space="preserve"> Bond</w:t>
      </w:r>
      <w:r w:rsidR="006C550F">
        <w:t>s</w:t>
      </w:r>
      <w:r w:rsidRPr="00B34407">
        <w:t xml:space="preserve"> is discontinued.</w:t>
      </w:r>
    </w:p>
    <w:p w:rsidRPr="00B34407" w:rsidR="00AF72E5" w:rsidP="0036156A" w:rsidRDefault="00AF72E5" w14:paraId="0A1E1C7F" w14:textId="400E160E">
      <w:pPr>
        <w:pStyle w:val="BodyTextFirstIndent"/>
      </w:pPr>
      <w:bookmarkStart w:name="_DV_M387" w:id="270"/>
      <w:bookmarkEnd w:id="270"/>
      <w:r w:rsidRPr="00B34407">
        <w:t xml:space="preserve">To facilitate subsequent transfers, all </w:t>
      </w:r>
      <w:r w:rsidR="00C7294C">
        <w:t>2024 Series C</w:t>
      </w:r>
      <w:r w:rsidR="005B3036">
        <w:t xml:space="preserve"> Bond</w:t>
      </w:r>
      <w:r w:rsidR="006C550F">
        <w:t>s</w:t>
      </w:r>
      <w:r w:rsidRPr="00B34407">
        <w:t xml:space="preserve"> deposited by Direct Participants with DTC are registered in the name of DTC</w:t>
      </w:r>
      <w:r w:rsidR="00C34AEA">
        <w:t>’</w:t>
      </w:r>
      <w:r w:rsidRPr="00B34407">
        <w:t xml:space="preserve">s partnership nominee, Cede &amp; Co., or such other name as may be requested by an authorized representative of DTC.  The deposit of </w:t>
      </w:r>
      <w:r w:rsidR="00C7294C">
        <w:t>2024 Series C</w:t>
      </w:r>
      <w:r w:rsidR="005B3036">
        <w:t xml:space="preserve"> Bond</w:t>
      </w:r>
      <w:r w:rsidR="006C550F">
        <w:t>s</w:t>
      </w:r>
      <w:r w:rsidRPr="00B34407">
        <w:t xml:space="preserve"> with DTC and their registration in the name of Cede &amp; Co. or such other nominee do not effect any change in beneficial ownership.  DTC has no knowledge of the actual Beneficial Owners of the </w:t>
      </w:r>
      <w:r w:rsidR="00C7294C">
        <w:t>2024 Series C</w:t>
      </w:r>
      <w:r w:rsidR="005B3036">
        <w:t xml:space="preserve"> Bond</w:t>
      </w:r>
      <w:r w:rsidR="006C550F">
        <w:t>s</w:t>
      </w:r>
      <w:r w:rsidRPr="00B34407">
        <w:t>; DTC</w:t>
      </w:r>
      <w:r w:rsidR="00C34AEA">
        <w:t>’</w:t>
      </w:r>
      <w:r w:rsidRPr="00B34407">
        <w:t xml:space="preserve">s records reflect only the identity of the Direct Participants to whose accounts such </w:t>
      </w:r>
      <w:r w:rsidR="00C7294C">
        <w:t>2024 Series C</w:t>
      </w:r>
      <w:r w:rsidR="005B3036">
        <w:t xml:space="preserve"> Bond</w:t>
      </w:r>
      <w:r w:rsidR="006C550F">
        <w:t>s</w:t>
      </w:r>
      <w:r w:rsidRPr="00B34407">
        <w:t xml:space="preserve"> are credited, which may or may not be the Beneficial Owners.  The Direct and Indirect Participants will remain responsible for keeping account of their holdings on behalf of their customers.</w:t>
      </w:r>
    </w:p>
    <w:p w:rsidRPr="00B34407" w:rsidR="00AF72E5" w:rsidP="00AF72E5" w:rsidRDefault="00AF72E5" w14:paraId="4037F2C7" w14:textId="4EA0A5E1">
      <w:pPr>
        <w:pStyle w:val="BodyTextFirstIndent"/>
      </w:pPr>
      <w:bookmarkStart w:name="_DV_M388" w:id="271"/>
      <w:bookmarkEnd w:id="271"/>
      <w:r w:rsidRPr="00B34407">
        <w:t xml:space="preserve">Conveyance of notices and other communications by DTC to Direct Participants, by Direct Participants to Indirect Participants, and by Direct Participants and Indirect Participants to Beneficial Owners will be governed by arrangements among them, subject to any statutory or regulatory requirements as may be in effect from time to time. </w:t>
      </w:r>
      <w:r w:rsidRPr="0041786B">
        <w:rPr>
          <w:rStyle w:val="StyleBodyTextBodyTextCharBoldChar"/>
          <w:b w:val="0"/>
        </w:rPr>
        <w:t xml:space="preserve"> </w:t>
      </w:r>
      <w:r w:rsidRPr="00B34407">
        <w:t xml:space="preserve">Beneficial Owners of </w:t>
      </w:r>
      <w:r w:rsidR="00C7294C">
        <w:t>2024 Series C</w:t>
      </w:r>
      <w:r w:rsidR="005B3036">
        <w:t xml:space="preserve"> Bond</w:t>
      </w:r>
      <w:r w:rsidR="006C550F">
        <w:t>s</w:t>
      </w:r>
      <w:r w:rsidRPr="00B34407">
        <w:t xml:space="preserve"> may wish to take certain steps to augment transmission to them of notices of significant events with respect to the </w:t>
      </w:r>
      <w:r w:rsidR="00C7294C">
        <w:t>2024 Series C</w:t>
      </w:r>
      <w:r w:rsidR="005B3036">
        <w:t xml:space="preserve"> Bond</w:t>
      </w:r>
      <w:r w:rsidR="006C550F">
        <w:t>s</w:t>
      </w:r>
      <w:r w:rsidRPr="00B34407">
        <w:t xml:space="preserve">, such as redemptions, tenders, defaults and proposed amendments to the </w:t>
      </w:r>
      <w:r w:rsidR="00C7294C">
        <w:t>2024 Series C</w:t>
      </w:r>
      <w:r w:rsidR="005B3036">
        <w:t xml:space="preserve"> Bond</w:t>
      </w:r>
      <w:r w:rsidRPr="00B34407">
        <w:t xml:space="preserve"> documents.  For example, Beneficial Owners of </w:t>
      </w:r>
      <w:r w:rsidR="00C7294C">
        <w:t>2024 Series C</w:t>
      </w:r>
      <w:r w:rsidR="005B3036">
        <w:t xml:space="preserve"> Bond</w:t>
      </w:r>
      <w:r w:rsidR="006C550F">
        <w:t>s</w:t>
      </w:r>
      <w:r w:rsidRPr="00B34407">
        <w:t xml:space="preserve"> may wish to ascertain that the nominee holding the </w:t>
      </w:r>
      <w:r w:rsidR="00C7294C">
        <w:t>2024 Series C</w:t>
      </w:r>
      <w:r w:rsidR="005B3036">
        <w:t xml:space="preserve"> Bond</w:t>
      </w:r>
      <w:r w:rsidR="006C550F">
        <w:t>s</w:t>
      </w:r>
      <w:r w:rsidRPr="00B34407">
        <w:t xml:space="preserve"> for their benefit has agreed to obtain and transmit notices to Beneficial Owners</w:t>
      </w:r>
      <w:r w:rsidR="00EF5D16">
        <w:t>.</w:t>
      </w:r>
      <w:r w:rsidRPr="00B34407">
        <w:t xml:space="preserve"> </w:t>
      </w:r>
      <w:r w:rsidR="00EF5D16">
        <w:t xml:space="preserve"> I</w:t>
      </w:r>
      <w:r w:rsidRPr="00B34407">
        <w:t xml:space="preserve">n the alternative, Beneficial Owners may wish to provide their names and addresses to the </w:t>
      </w:r>
      <w:r w:rsidR="00236B96">
        <w:t>Trustee</w:t>
      </w:r>
      <w:r w:rsidRPr="00B34407">
        <w:t xml:space="preserve"> and request that copies of the notices be provided directly to them.</w:t>
      </w:r>
    </w:p>
    <w:p w:rsidRPr="00B34407" w:rsidR="00AF72E5" w:rsidP="00AF72E5" w:rsidRDefault="00AF72E5" w14:paraId="3D699070" w14:textId="00E3C2E7">
      <w:pPr>
        <w:pStyle w:val="BodyTextFirstIndent"/>
      </w:pPr>
      <w:bookmarkStart w:name="_DV_M389" w:id="272"/>
      <w:bookmarkEnd w:id="272"/>
      <w:r w:rsidRPr="00B34407">
        <w:t xml:space="preserve">Redemption notices shall be sent to DTC.  If less than all of the </w:t>
      </w:r>
      <w:r w:rsidR="00C7294C">
        <w:t>2024 Series C</w:t>
      </w:r>
      <w:r w:rsidR="005B3036">
        <w:t xml:space="preserve"> Bond</w:t>
      </w:r>
      <w:r w:rsidR="006C550F">
        <w:t>s</w:t>
      </w:r>
      <w:r w:rsidRPr="00B34407">
        <w:t xml:space="preserve"> within a maturity are being redeemed, DTC</w:t>
      </w:r>
      <w:r w:rsidR="00C34AEA">
        <w:t>’</w:t>
      </w:r>
      <w:r w:rsidRPr="00B34407">
        <w:t>s practice is to determine by lot the amount of the interest of each Direct Participant in such maturity to be redeemed.</w:t>
      </w:r>
    </w:p>
    <w:p w:rsidRPr="00B34407" w:rsidR="00AF72E5" w:rsidP="00AF72E5" w:rsidRDefault="00AF72E5" w14:paraId="15D6F1DB" w14:textId="60693280">
      <w:pPr>
        <w:pStyle w:val="BodyTextFirstIndent"/>
      </w:pPr>
      <w:bookmarkStart w:name="_DV_M390" w:id="273"/>
      <w:bookmarkEnd w:id="273"/>
      <w:r w:rsidRPr="00B34407">
        <w:t xml:space="preserve">Neither DTC nor Cede &amp; Co. (nor any other DTC nominee) will consent or vote with respect to the </w:t>
      </w:r>
      <w:r w:rsidR="00C7294C">
        <w:t>2024 Series C</w:t>
      </w:r>
      <w:r w:rsidR="005B3036">
        <w:t xml:space="preserve"> Bond</w:t>
      </w:r>
      <w:r w:rsidR="006C550F">
        <w:t>s</w:t>
      </w:r>
      <w:r w:rsidRPr="00B34407">
        <w:t xml:space="preserve"> unless authorized by a Direct Participant in accordance with DTC</w:t>
      </w:r>
      <w:r w:rsidR="00C34AEA">
        <w:t>’</w:t>
      </w:r>
      <w:r w:rsidRPr="00B34407">
        <w:t>s</w:t>
      </w:r>
      <w:r w:rsidR="003555A9">
        <w:t xml:space="preserve"> MMI</w:t>
      </w:r>
      <w:r w:rsidRPr="00B34407">
        <w:t xml:space="preserve"> Procedures.  Under its usual procedures, DTC mails an Omnibus Proxy to the Authority as soon as possible after the record date.  The Omnibus </w:t>
      </w:r>
      <w:r w:rsidRPr="00B34407">
        <w:lastRenderedPageBreak/>
        <w:t>Proxy assigns Cede &amp; Co.</w:t>
      </w:r>
      <w:r w:rsidR="00C34AEA">
        <w:t>’</w:t>
      </w:r>
      <w:r w:rsidRPr="00B34407">
        <w:t xml:space="preserve">s consenting or voting rights to those Direct Participants to whose accounts </w:t>
      </w:r>
      <w:r w:rsidR="00C7294C">
        <w:t>2024 Series C</w:t>
      </w:r>
      <w:r w:rsidR="005B3036">
        <w:t xml:space="preserve"> Bond</w:t>
      </w:r>
      <w:r w:rsidR="006C550F">
        <w:t>s</w:t>
      </w:r>
      <w:r w:rsidRPr="00B34407">
        <w:t xml:space="preserve"> are credited on the record date (identified in a listing attached to the Omnibus Proxy).</w:t>
      </w:r>
    </w:p>
    <w:p w:rsidRPr="00B34407" w:rsidR="00AF72E5" w:rsidP="00AF72E5" w:rsidRDefault="00BB2301" w14:paraId="720917E0" w14:textId="699513C2">
      <w:pPr>
        <w:pStyle w:val="BodyTextFirstIndent"/>
      </w:pPr>
      <w:bookmarkStart w:name="_DV_M391" w:id="274"/>
      <w:bookmarkEnd w:id="274"/>
      <w:r w:rsidRPr="00B34407">
        <w:t>Principal, premium and interest</w:t>
      </w:r>
      <w:r w:rsidRPr="00B34407" w:rsidR="00AF72E5">
        <w:t xml:space="preserve"> payments on the </w:t>
      </w:r>
      <w:r w:rsidR="00C7294C">
        <w:t>2024 Series C</w:t>
      </w:r>
      <w:r w:rsidR="005B3036">
        <w:t xml:space="preserve"> Bond</w:t>
      </w:r>
      <w:r w:rsidR="006C550F">
        <w:t>s</w:t>
      </w:r>
      <w:r w:rsidRPr="00B34407" w:rsidR="00AF72E5">
        <w:t xml:space="preserve"> will be made to Cede &amp; Co., or such other nominee as may be requested by an authorized representative of DTC.  DTC</w:t>
      </w:r>
      <w:r w:rsidR="00C34AEA">
        <w:t>’</w:t>
      </w:r>
      <w:r w:rsidRPr="00B34407" w:rsidR="00AF72E5">
        <w:t>s practice is to credit Direct Participants</w:t>
      </w:r>
      <w:r w:rsidR="00C34AEA">
        <w:t>’</w:t>
      </w:r>
      <w:r w:rsidRPr="00B34407" w:rsidR="00AF72E5">
        <w:t xml:space="preserve"> accounts, upon DTC</w:t>
      </w:r>
      <w:r w:rsidR="00C34AEA">
        <w:t>’</w:t>
      </w:r>
      <w:r w:rsidRPr="00B34407" w:rsidR="00AF72E5">
        <w:t>s receipt of funds and corresponding detail information from the Authority or the Paying Agent, on payable date in accordance with their respective holdings shown on DTC</w:t>
      </w:r>
      <w:r w:rsidR="00C34AEA">
        <w:t>’</w:t>
      </w:r>
      <w:r w:rsidRPr="00B34407" w:rsidR="00AF72E5">
        <w:t xml:space="preserve">s records.  Payments by Participants to Beneficial Owners will be governed by standing instructions and customary practices, as is the case with </w:t>
      </w:r>
      <w:r w:rsidR="00C7294C">
        <w:t>2024 Series C</w:t>
      </w:r>
      <w:r w:rsidR="005B3036">
        <w:t xml:space="preserve"> Bond</w:t>
      </w:r>
      <w:r w:rsidR="006C550F">
        <w:t>s</w:t>
      </w:r>
      <w:r w:rsidRPr="00B34407" w:rsidR="00AF72E5">
        <w:t xml:space="preserve"> held for the accounts of customers in bearer form or registered in </w:t>
      </w:r>
      <w:r w:rsidR="00C34AEA">
        <w:t>“</w:t>
      </w:r>
      <w:r w:rsidRPr="00B34407" w:rsidR="00AF72E5">
        <w:t>street name,</w:t>
      </w:r>
      <w:r w:rsidR="00C34AEA">
        <w:t>”</w:t>
      </w:r>
      <w:r w:rsidRPr="00B34407" w:rsidR="00AF72E5">
        <w:t xml:space="preserve"> and will be the responsibility of such Participant and not of DTC, the Paying Agent or the Authority, subject to any statutory or regulatory requirements as may be in effect from time to time.  Payment of redemption proceeds, distributions, and dividend payments to Cede &amp; Co. (or such other nominee as may be requested by an authorized representative of DTC) is the responsibility of the Authority or the Paying Agent, disbursement of such payments to Direct Participants will be the responsibility of DTC, and disbursement of such payments to the Beneficial Owners will be the responsibility of Direct and Indirect Participants.</w:t>
      </w:r>
    </w:p>
    <w:p w:rsidRPr="00B34407" w:rsidR="00AF72E5" w:rsidP="00AF72E5" w:rsidRDefault="00AF72E5" w14:paraId="4C6F9E69" w14:textId="7D7DEE5D">
      <w:pPr>
        <w:pStyle w:val="BodyTextFirstIndent"/>
      </w:pPr>
      <w:bookmarkStart w:name="_DV_M392" w:id="275"/>
      <w:bookmarkStart w:name="_DV_M393" w:id="276"/>
      <w:bookmarkStart w:name="ElPgBr30" w:id="277"/>
      <w:bookmarkEnd w:id="275"/>
      <w:bookmarkEnd w:id="276"/>
      <w:bookmarkEnd w:id="277"/>
      <w:r w:rsidRPr="00B34407">
        <w:t xml:space="preserve">DTC may discontinue providing its services as depository with respect to the </w:t>
      </w:r>
      <w:r w:rsidR="00C7294C">
        <w:t>2024 Series C</w:t>
      </w:r>
      <w:r w:rsidR="005B3036">
        <w:t xml:space="preserve"> Bond</w:t>
      </w:r>
      <w:r w:rsidR="006C550F">
        <w:t>s</w:t>
      </w:r>
      <w:r w:rsidRPr="00B34407">
        <w:t xml:space="preserve"> at any time by giving reasonable </w:t>
      </w:r>
      <w:r w:rsidR="00236B96">
        <w:t>notice to the Authority or the Trustee</w:t>
      </w:r>
      <w:r w:rsidRPr="00B34407">
        <w:t xml:space="preserve">.  Under such circumstances, </w:t>
      </w:r>
      <w:r w:rsidRPr="00B34407" w:rsidR="00B8515F">
        <w:t>if</w:t>
      </w:r>
      <w:r w:rsidRPr="00B34407">
        <w:t xml:space="preserve"> a successor depository is not obtained, </w:t>
      </w:r>
      <w:r w:rsidR="00C7294C">
        <w:t>2024 Series C</w:t>
      </w:r>
      <w:r w:rsidR="005B3036">
        <w:t xml:space="preserve"> Bond</w:t>
      </w:r>
      <w:r w:rsidRPr="00B34407">
        <w:t xml:space="preserve"> certificates are required to be printed and delivered.</w:t>
      </w:r>
    </w:p>
    <w:p w:rsidRPr="00B34407" w:rsidR="00AF72E5" w:rsidP="00AF72E5" w:rsidRDefault="00AF72E5" w14:paraId="711D0D97" w14:textId="28FEA96E">
      <w:pPr>
        <w:pStyle w:val="BodyTextFirstIndent"/>
      </w:pPr>
      <w:bookmarkStart w:name="_DV_M394" w:id="278"/>
      <w:bookmarkEnd w:id="278"/>
      <w:r w:rsidRPr="00B34407">
        <w:t>The Authority may decide to discontinue use of the system of book</w:t>
      </w:r>
      <w:r w:rsidRPr="00B34407">
        <w:noBreakHyphen/>
        <w:t>entry</w:t>
      </w:r>
      <w:r w:rsidRPr="00B34407">
        <w:noBreakHyphen/>
        <w:t xml:space="preserve">only transfers through DTC (or a successor securities depository).  In that event, </w:t>
      </w:r>
      <w:r w:rsidR="00C7294C">
        <w:t>2024 Series C</w:t>
      </w:r>
      <w:r w:rsidR="005B3036">
        <w:t xml:space="preserve"> Bond</w:t>
      </w:r>
      <w:r w:rsidRPr="00B34407">
        <w:t xml:space="preserve"> certificates will be printed and delivered to DTC.</w:t>
      </w:r>
    </w:p>
    <w:p w:rsidRPr="00B34407" w:rsidR="00AF72E5" w:rsidP="00AF72E5" w:rsidRDefault="00AF72E5" w14:paraId="029F45D5" w14:textId="014403B9">
      <w:pPr>
        <w:pStyle w:val="BodyTextFirstIndent"/>
      </w:pPr>
      <w:bookmarkStart w:name="_DV_M395" w:id="279"/>
      <w:bookmarkEnd w:id="279"/>
      <w:r w:rsidRPr="00B34407">
        <w:t>The information in this subcaption concerning DTC and DTC</w:t>
      </w:r>
      <w:r w:rsidR="00C34AEA">
        <w:t>’</w:t>
      </w:r>
      <w:r w:rsidRPr="00B34407">
        <w:t>s book</w:t>
      </w:r>
      <w:r w:rsidRPr="00B34407">
        <w:noBreakHyphen/>
        <w:t>entry system has been obtained from sources that the Authority believes to be reliable, but the Authority takes no responsibility for the accuracy thereof.</w:t>
      </w:r>
    </w:p>
    <w:p w:rsidRPr="00B34407" w:rsidR="00AF72E5" w:rsidP="00AF72E5" w:rsidRDefault="00AF72E5" w14:paraId="3346A61D" w14:textId="1DA00175">
      <w:pPr>
        <w:pStyle w:val="BodyTextFirstIndent"/>
      </w:pPr>
      <w:bookmarkStart w:name="_DV_M396" w:id="280"/>
      <w:bookmarkEnd w:id="280"/>
      <w:r w:rsidRPr="00B34407">
        <w:rPr>
          <w:i/>
          <w:iCs/>
        </w:rPr>
        <w:t xml:space="preserve">Notwithstanding any provision of the Indenture, so long as any </w:t>
      </w:r>
      <w:r w:rsidR="00C7294C">
        <w:rPr>
          <w:i/>
          <w:iCs/>
        </w:rPr>
        <w:t>2024 Series C</w:t>
      </w:r>
      <w:r w:rsidR="005B3036">
        <w:rPr>
          <w:i/>
          <w:iCs/>
        </w:rPr>
        <w:t xml:space="preserve"> Bond</w:t>
      </w:r>
      <w:r w:rsidRPr="00B34407">
        <w:rPr>
          <w:i/>
          <w:iCs/>
        </w:rPr>
        <w:t xml:space="preserve"> is registered in the name of Cede &amp; Co., as nominee of DTC, all payments with respect to principal and interest and all notices with respect to the </w:t>
      </w:r>
      <w:r w:rsidR="00C7294C">
        <w:rPr>
          <w:i/>
          <w:iCs/>
        </w:rPr>
        <w:t>2024 Series C</w:t>
      </w:r>
      <w:r w:rsidR="005B3036">
        <w:rPr>
          <w:i/>
          <w:iCs/>
        </w:rPr>
        <w:t xml:space="preserve"> Bond</w:t>
      </w:r>
      <w:r w:rsidR="006C550F">
        <w:rPr>
          <w:i/>
          <w:iCs/>
        </w:rPr>
        <w:t>s</w:t>
      </w:r>
      <w:r w:rsidRPr="00B34407">
        <w:rPr>
          <w:i/>
          <w:iCs/>
        </w:rPr>
        <w:t xml:space="preserve"> shall be made or given in accordance with DTC</w:t>
      </w:r>
      <w:r w:rsidR="00C34AEA">
        <w:rPr>
          <w:i/>
          <w:iCs/>
        </w:rPr>
        <w:t>’</w:t>
      </w:r>
      <w:r w:rsidRPr="00B34407">
        <w:rPr>
          <w:i/>
          <w:iCs/>
        </w:rPr>
        <w:t>s rules and procedures.</w:t>
      </w:r>
    </w:p>
    <w:p w:rsidRPr="00B34407" w:rsidR="00AF72E5" w:rsidP="009F7E10" w:rsidRDefault="00AF72E5" w14:paraId="385F870C" w14:textId="77777777">
      <w:pPr>
        <w:pStyle w:val="aHEADINGSUB"/>
        <w:widowControl/>
        <w:outlineLvl w:val="1"/>
      </w:pPr>
      <w:bookmarkStart w:name="_DV_M397" w:id="281"/>
      <w:bookmarkStart w:name="_Toc113706672" w:id="282"/>
      <w:bookmarkStart w:name="_Toc115096060" w:id="283"/>
      <w:bookmarkStart w:name="_Toc115237798" w:id="284"/>
      <w:bookmarkStart w:name="_Toc115249481" w:id="285"/>
      <w:bookmarkStart w:name="_Toc115509321" w:id="286"/>
      <w:bookmarkStart w:name="_Toc115667727" w:id="287"/>
      <w:bookmarkStart w:name="_Toc116208195" w:id="288"/>
      <w:bookmarkStart w:name="_Toc212948791" w:id="289"/>
      <w:bookmarkStart w:name="_Toc80517322" w:id="290"/>
      <w:bookmarkStart w:name="_Toc534620340" w:id="291"/>
      <w:bookmarkStart w:name="_Toc534620450" w:id="292"/>
      <w:bookmarkStart w:name="_Toc534620568" w:id="293"/>
      <w:bookmarkStart w:name="_Toc534620889" w:id="294"/>
      <w:bookmarkStart w:name="_Toc534621120" w:id="295"/>
      <w:bookmarkStart w:name="_Toc172841937" w:id="296"/>
      <w:bookmarkEnd w:id="281"/>
      <w:r w:rsidRPr="00B34407">
        <w:t>Revision of Book-Entry-Only System</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Pr="00B34407" w:rsidR="00AF72E5" w:rsidP="00AF72E5" w:rsidRDefault="00AF72E5" w14:paraId="43CCA00A" w14:textId="31E94BBD">
      <w:pPr>
        <w:pStyle w:val="BodyTextFirstIndent"/>
      </w:pPr>
      <w:bookmarkStart w:name="_DV_M398" w:id="297"/>
      <w:bookmarkEnd w:id="297"/>
      <w:r w:rsidRPr="00B34407">
        <w:t xml:space="preserve">In the event that either (i) the Authority receives notice from DTC to the effect that DTC is unable or unwilling to discharge its responsibilities as a clearing agency for the </w:t>
      </w:r>
      <w:r w:rsidR="00C7294C">
        <w:t>2024 Series C</w:t>
      </w:r>
      <w:r w:rsidR="005B3036">
        <w:t xml:space="preserve"> Bond</w:t>
      </w:r>
      <w:r w:rsidR="006C550F">
        <w:t>s</w:t>
      </w:r>
      <w:r w:rsidRPr="00B34407">
        <w:t xml:space="preserve"> or (ii) the Authority elects to discontinue its use of DTC as a clearing agency for the </w:t>
      </w:r>
      <w:r w:rsidR="00C7294C">
        <w:t>2024 Series C</w:t>
      </w:r>
      <w:r w:rsidR="005B3036">
        <w:t xml:space="preserve"> Bond</w:t>
      </w:r>
      <w:r w:rsidR="006C550F">
        <w:t>s</w:t>
      </w:r>
      <w:r w:rsidRPr="00B34407">
        <w:t xml:space="preserve">, then the Authority and the Trustee will do or perform or cause to be done or performed all acts or things, not adverse to the rights of the holders of the </w:t>
      </w:r>
      <w:r w:rsidR="00C7294C">
        <w:t>2024 Series C</w:t>
      </w:r>
      <w:r w:rsidR="005B3036">
        <w:t xml:space="preserve"> Bond</w:t>
      </w:r>
      <w:r w:rsidR="006C550F">
        <w:t>s</w:t>
      </w:r>
      <w:r w:rsidRPr="00B34407">
        <w:t xml:space="preserve">, as are necessary or appropriate to discontinue use of DTC as a clearing agency for the </w:t>
      </w:r>
      <w:r w:rsidR="00C7294C">
        <w:t>2024 Series C</w:t>
      </w:r>
      <w:r w:rsidR="005B3036">
        <w:t xml:space="preserve"> Bond</w:t>
      </w:r>
      <w:r w:rsidR="006C550F">
        <w:t>s</w:t>
      </w:r>
      <w:r w:rsidRPr="00B34407">
        <w:t xml:space="preserve"> and to transfer the ownership of each of the </w:t>
      </w:r>
      <w:r w:rsidR="00C7294C">
        <w:t>2024 Series C</w:t>
      </w:r>
      <w:r w:rsidR="005B3036">
        <w:t xml:space="preserve"> Bond</w:t>
      </w:r>
      <w:r w:rsidR="006C550F">
        <w:t>s</w:t>
      </w:r>
      <w:r w:rsidRPr="00B34407">
        <w:t xml:space="preserve"> to such person or persons, including any other clearing agency, as the holder of such </w:t>
      </w:r>
      <w:r w:rsidR="00C7294C">
        <w:t>2024 Series C</w:t>
      </w:r>
      <w:r w:rsidR="005B3036">
        <w:t xml:space="preserve"> Bond</w:t>
      </w:r>
      <w:r w:rsidR="006C550F">
        <w:t>s</w:t>
      </w:r>
      <w:r w:rsidRPr="00B34407">
        <w:t xml:space="preserve"> may direct in accordance with the Indenture.  Any expenses of such a discontinuation and transfer, including any expenses of printing new certificates to evidence the </w:t>
      </w:r>
      <w:r w:rsidR="00C7294C">
        <w:t>2024 Series C</w:t>
      </w:r>
      <w:r w:rsidR="005B3036">
        <w:t xml:space="preserve"> Bond</w:t>
      </w:r>
      <w:r w:rsidR="006C550F">
        <w:t>s</w:t>
      </w:r>
      <w:r w:rsidRPr="00B34407">
        <w:t>, will be paid by the Authority.</w:t>
      </w:r>
    </w:p>
    <w:p w:rsidRPr="00B34407" w:rsidR="00AF72E5" w:rsidP="009F7E10" w:rsidRDefault="00AF72E5" w14:paraId="1C2480D1" w14:textId="77777777">
      <w:pPr>
        <w:pStyle w:val="aHEADING"/>
        <w:widowControl/>
        <w:outlineLvl w:val="0"/>
      </w:pPr>
      <w:bookmarkStart w:name="_DV_M399" w:id="298"/>
      <w:bookmarkStart w:name="_Toc212948792" w:id="299"/>
      <w:bookmarkStart w:name="_Toc3865662" w:id="300"/>
      <w:bookmarkStart w:name="_Toc85337906" w:id="301"/>
      <w:bookmarkStart w:name="_Toc534620341" w:id="302"/>
      <w:bookmarkStart w:name="_Toc534620451" w:id="303"/>
      <w:bookmarkStart w:name="_Toc534620569" w:id="304"/>
      <w:bookmarkStart w:name="_Toc534620890" w:id="305"/>
      <w:bookmarkStart w:name="_Toc534621121" w:id="306"/>
      <w:bookmarkStart w:name="_Toc172841938" w:id="307"/>
      <w:bookmarkEnd w:id="298"/>
      <w:r w:rsidRPr="00B34407">
        <w:t>SECURITY FOR BONDS</w:t>
      </w:r>
      <w:bookmarkEnd w:id="299"/>
      <w:bookmarkEnd w:id="300"/>
      <w:bookmarkEnd w:id="301"/>
      <w:bookmarkEnd w:id="302"/>
      <w:bookmarkEnd w:id="303"/>
      <w:bookmarkEnd w:id="304"/>
      <w:bookmarkEnd w:id="305"/>
      <w:bookmarkEnd w:id="306"/>
      <w:bookmarkEnd w:id="307"/>
    </w:p>
    <w:p w:rsidRPr="00B34407" w:rsidR="00AF72E5" w:rsidP="00AF72E5" w:rsidRDefault="00AF72E5" w14:paraId="3F6E9BF5" w14:textId="77777777">
      <w:pPr>
        <w:pStyle w:val="BodyTextFirstIndent"/>
      </w:pPr>
      <w:bookmarkStart w:name="_DV_M400" w:id="308"/>
      <w:bookmarkEnd w:id="308"/>
      <w:r w:rsidRPr="00B34407">
        <w:t xml:space="preserve">THE STATE </w:t>
      </w:r>
      <w:r w:rsidRPr="00B34407" w:rsidR="008A7194">
        <w:t>HAS NO LIABILITY WITH RESPECT TO</w:t>
      </w:r>
      <w:r w:rsidRPr="00B34407">
        <w:t xml:space="preserve"> THE BONDS AND THE BONDS DO NOT CONSTITUTE A DEBT, LIABILITY OR GENERAL, MORAL OR OTHER OBLIGATION OF THE STATE OR ANY POLITICAL SUBDIVISION OR TAXING AUTHORITY THEREOF.  NEITHER THE FAITH AND CREDIT NOR THE TAXING POWER OF THE STATE OR ANY POLITICAL SUBDIVISION OR TAXING AUTHORITY THEREOF IS PLEDGED TO THE PAYMENT OF THE PRINCIPAL OF OR PREMIUM, IF ANY, OR INTEREST ON THE BONDS.  THE AUTHORITY HAS NO TAXING POWER.</w:t>
      </w:r>
    </w:p>
    <w:p w:rsidRPr="00B34407" w:rsidR="00AF72E5" w:rsidP="009F7E10" w:rsidRDefault="00AF72E5" w14:paraId="1161CB2A" w14:textId="77777777">
      <w:pPr>
        <w:pStyle w:val="aHEADINGSUB"/>
        <w:widowControl/>
        <w:outlineLvl w:val="1"/>
      </w:pPr>
      <w:bookmarkStart w:name="_DV_M401" w:id="309"/>
      <w:bookmarkStart w:name="_Toc212948793" w:id="310"/>
      <w:bookmarkStart w:name="_Toc534620342" w:id="311"/>
      <w:bookmarkStart w:name="_Toc534620452" w:id="312"/>
      <w:bookmarkStart w:name="_Toc534620570" w:id="313"/>
      <w:bookmarkStart w:name="_Toc534620891" w:id="314"/>
      <w:bookmarkStart w:name="_Toc534621122" w:id="315"/>
      <w:bookmarkStart w:name="_Toc172841939" w:id="316"/>
      <w:bookmarkEnd w:id="309"/>
      <w:r w:rsidRPr="00B34407">
        <w:t>Pledge of Indenture</w:t>
      </w:r>
      <w:bookmarkEnd w:id="310"/>
      <w:bookmarkEnd w:id="311"/>
      <w:bookmarkEnd w:id="312"/>
      <w:bookmarkEnd w:id="313"/>
      <w:bookmarkEnd w:id="314"/>
      <w:bookmarkEnd w:id="315"/>
      <w:bookmarkEnd w:id="316"/>
    </w:p>
    <w:p w:rsidRPr="00B34407" w:rsidR="00AF72E5" w:rsidP="00AF72E5" w:rsidRDefault="00AF72E5" w14:paraId="6FBBD6D5" w14:textId="6A5B21D6">
      <w:pPr>
        <w:pStyle w:val="BodyTextFirstIndent"/>
      </w:pPr>
      <w:bookmarkStart w:name="_DV_M402" w:id="317"/>
      <w:bookmarkEnd w:id="317"/>
      <w:r w:rsidRPr="00B34407">
        <w:t xml:space="preserve">The Bonds are special obligations of the Authority, payable solely from and secured exclusively by certain revenues and assets pledged to the payment thereof under the Indenture.  Payment of the principal of and premium, if </w:t>
      </w:r>
      <w:r w:rsidRPr="00B34407">
        <w:lastRenderedPageBreak/>
        <w:t>any, and interest on the Bonds is secured by the Authority</w:t>
      </w:r>
      <w:r w:rsidR="00C34AEA">
        <w:t>’</w:t>
      </w:r>
      <w:r w:rsidRPr="00B34407">
        <w:t>s pledge and assignment of and grant of a security interest in:</w:t>
      </w:r>
    </w:p>
    <w:p w:rsidRPr="00B34407" w:rsidR="003D7327" w:rsidP="003D7327" w:rsidRDefault="003D7327" w14:paraId="677225AE" w14:textId="0D19032A">
      <w:pPr>
        <w:pStyle w:val="alisti"/>
        <w:widowControl/>
        <w:numPr>
          <w:ilvl w:val="0"/>
          <w:numId w:val="17"/>
        </w:numPr>
        <w:ind w:left="720" w:firstLine="720"/>
      </w:pPr>
      <w:bookmarkStart w:name="_DV_M403" w:id="318"/>
      <w:bookmarkStart w:name="_DV_M404" w:id="319"/>
      <w:bookmarkEnd w:id="318"/>
      <w:bookmarkEnd w:id="319"/>
      <w:r w:rsidRPr="00B34407">
        <w:t xml:space="preserve">all payments, repayments, prepayments, proceeds, rents, charges and other cash income received by the Authority from or </w:t>
      </w:r>
      <w:r w:rsidR="0026759C">
        <w:t xml:space="preserve">on account of any Mortgage Loan </w:t>
      </w:r>
      <w:r w:rsidRPr="00B34407">
        <w:t xml:space="preserve">(including scheduled, delinquent and advance payments of, and any insurance and guaranty proceeds with respect to, principal and interest on any Mortgage Loan), all income earned or gain realized from the investment of amounts in any Account and regular payments received by the Authority under any Swap, but </w:t>
      </w:r>
      <w:r w:rsidRPr="00B34407">
        <w:rPr>
          <w:b/>
          <w:bCs/>
          <w:i/>
          <w:iCs/>
        </w:rPr>
        <w:t>excluding</w:t>
      </w:r>
      <w:r w:rsidRPr="00B34407">
        <w:t xml:space="preserve"> (A) commitment fees not specifically pledged to the payment of the Bonds and (B) any amount retained by a servicer (other than the Authority) of any Mortgage Loan as compensation for services rendered in connection with such Mortgage Loan (all such payments, repayments, prepayments, proceeds, rents, charges and other cash income, subject to such exclusions, collectively, the </w:t>
      </w:r>
      <w:r w:rsidR="00C34AEA">
        <w:t>“</w:t>
      </w:r>
      <w:r w:rsidRPr="00B34407">
        <w:rPr>
          <w:i/>
        </w:rPr>
        <w:t>Revenues</w:t>
      </w:r>
      <w:r w:rsidR="00C34AEA">
        <w:t>”</w:t>
      </w:r>
      <w:r w:rsidRPr="00B34407">
        <w:t>);</w:t>
      </w:r>
    </w:p>
    <w:p w:rsidRPr="00B34407" w:rsidR="00AF72E5" w:rsidP="00A77192" w:rsidRDefault="00AF72E5" w14:paraId="34B8E2EE" w14:textId="77777777">
      <w:pPr>
        <w:pStyle w:val="alisti"/>
        <w:widowControl/>
        <w:numPr>
          <w:ilvl w:val="0"/>
          <w:numId w:val="17"/>
        </w:numPr>
        <w:ind w:left="720" w:firstLine="720"/>
      </w:pPr>
      <w:r w:rsidRPr="00B34407">
        <w:t xml:space="preserve">the Mortgage Loans, including all extensions and renewals, if any, of the term thereof, together with all right, title and interest of the Authority as mortgagee therein, including, but without limiting the generality of the foregoing, the present and continuing right to make claim for, collect, receive and receipt </w:t>
      </w:r>
      <w:bookmarkStart w:name="ElPgBr31" w:id="320"/>
      <w:bookmarkEnd w:id="320"/>
      <w:r w:rsidRPr="00B34407">
        <w:t>for any of the income, revenues, insurance and guaranty proceeds, rents, issues and profits and other sums of money payable or receivable thereunder, whether payable as scheduled therein or otherwise, to bring actions and proceedings thereunder or for the enforcement thereof, to make claim for, collect, receive and dispose of any collateral therefor and to do any and all things which the Authority is or may become entitled to do under the Mortgage Loans (subject to the provisions of the Indenture permitting the Authority to receive, keep or dispose of, claim, bring suit upon or otherwise exercise, enforce or realize upon its rights and interest in and to the Mortgage Loans and the proceeds and collections therefrom so long as no Event of Default under the Indenture has occurred and is continuing);</w:t>
      </w:r>
    </w:p>
    <w:p w:rsidRPr="00B34407" w:rsidR="008A7194" w:rsidP="00A77192" w:rsidRDefault="008A7194" w14:paraId="33E6A412" w14:textId="77777777">
      <w:pPr>
        <w:pStyle w:val="alisti"/>
        <w:widowControl/>
        <w:numPr>
          <w:ilvl w:val="0"/>
          <w:numId w:val="17"/>
        </w:numPr>
        <w:ind w:left="720" w:firstLine="720"/>
      </w:pPr>
      <w:bookmarkStart w:name="_DV_M405" w:id="321"/>
      <w:bookmarkStart w:name="_DV_M406" w:id="322"/>
      <w:bookmarkEnd w:id="321"/>
      <w:bookmarkEnd w:id="322"/>
      <w:r w:rsidRPr="00B34407">
        <w:t xml:space="preserve">all </w:t>
      </w:r>
      <w:r w:rsidRPr="00B34407" w:rsidR="00E47F1D">
        <w:t xml:space="preserve">Accounts, </w:t>
      </w:r>
      <w:r w:rsidRPr="00B34407">
        <w:t>including the investments thereof, if any, and any moneys therein (other than any fund created to hold remarketing proceeds or funds drawn on a liquidity facility solely for purchase of tendered Bonds); and</w:t>
      </w:r>
    </w:p>
    <w:p w:rsidRPr="00B34407" w:rsidR="00AF72E5" w:rsidP="00A77192" w:rsidRDefault="00AF72E5" w14:paraId="323117B0" w14:textId="77777777">
      <w:pPr>
        <w:pStyle w:val="alisti"/>
        <w:widowControl/>
        <w:numPr>
          <w:ilvl w:val="0"/>
          <w:numId w:val="17"/>
        </w:numPr>
        <w:ind w:left="720" w:firstLine="720"/>
      </w:pPr>
      <w:r w:rsidRPr="00B34407">
        <w:t>all moneys and securities from time to time held by any Fiduciary (as defined herein) under the terms of the Indenture and any and all other real or personal property of every name and nature from time to time conveyed, mortgaged, pledged, assigned or transferred as and for additional security under the Indenture by the Authority or by anyone on its behalf, or with its written consent, to the Trustee.</w:t>
      </w:r>
    </w:p>
    <w:p w:rsidRPr="00B34407" w:rsidR="00AF72E5" w:rsidP="00974BC4" w:rsidRDefault="00AF72E5" w14:paraId="206689EA" w14:textId="11178193">
      <w:pPr>
        <w:pStyle w:val="BodyTextFirstIndent"/>
        <w:spacing w:after="120"/>
      </w:pPr>
      <w:bookmarkStart w:name="_DV_M407" w:id="323"/>
      <w:bookmarkEnd w:id="323"/>
      <w:r w:rsidRPr="00B34407">
        <w:t>The Authority</w:t>
      </w:r>
      <w:r w:rsidR="00C34AEA">
        <w:t>’</w:t>
      </w:r>
      <w:r w:rsidRPr="00B34407">
        <w:t xml:space="preserve">s pledge and assignment of and grant of a security interest in the revenues and assets described above, as security for the payment of the Bonds, are subject to the provisions of the Indenture permitting the application of amounts held under the Indenture to certain other purposes and the exercise of certain rights in connection with such revenues and assets.  See </w:t>
      </w:r>
      <w:r w:rsidR="00C34AEA">
        <w:t>“</w:t>
      </w:r>
      <w:r w:rsidRPr="00B34407">
        <w:t>APPENDIX D:  SUMMARY OF CERTAIN PROVISIONS OF INDENTURE</w:t>
      </w:r>
      <w:r w:rsidR="00C34AEA">
        <w:t>”</w:t>
      </w:r>
      <w:r w:rsidRPr="00B34407" w:rsidR="007E2C21">
        <w:t xml:space="preserve"> attached hereto.</w:t>
      </w:r>
      <w:r w:rsidRPr="00B34407">
        <w:t xml:space="preserve">  The perfection of the pledge of Revenues consisting of cash proceeds may require the physical possession of such cash proceeds by the Trustee.</w:t>
      </w:r>
    </w:p>
    <w:p w:rsidRPr="00974BC4" w:rsidR="00AF72E5" w:rsidP="00974BC4" w:rsidRDefault="00AF72E5" w14:paraId="18C59AB8" w14:textId="77777777">
      <w:pPr>
        <w:pStyle w:val="aHEADINGSUB"/>
        <w:spacing w:after="120"/>
      </w:pPr>
      <w:bookmarkStart w:name="_DV_M408" w:id="324"/>
      <w:bookmarkStart w:name="_Toc212948794" w:id="325"/>
      <w:bookmarkStart w:name="_Toc534620343" w:id="326"/>
      <w:bookmarkStart w:name="_Toc534620453" w:id="327"/>
      <w:bookmarkStart w:name="_Toc534620571" w:id="328"/>
      <w:bookmarkStart w:name="_Toc534620892" w:id="329"/>
      <w:bookmarkStart w:name="_Toc534621123" w:id="330"/>
      <w:bookmarkStart w:name="_Toc172841940" w:id="331"/>
      <w:bookmarkEnd w:id="324"/>
      <w:r w:rsidRPr="00974BC4">
        <w:t>Outstanding Bonds and Mortgage Loans under Indenture</w:t>
      </w:r>
      <w:bookmarkEnd w:id="325"/>
      <w:bookmarkEnd w:id="326"/>
      <w:bookmarkEnd w:id="327"/>
      <w:bookmarkEnd w:id="328"/>
      <w:bookmarkEnd w:id="329"/>
      <w:bookmarkEnd w:id="330"/>
      <w:bookmarkEnd w:id="331"/>
    </w:p>
    <w:p w:rsidRPr="00974BC4" w:rsidR="00974BC4" w:rsidP="00974BC4" w:rsidRDefault="00AF72E5" w14:paraId="5C8A1620" w14:textId="3718D990">
      <w:pPr>
        <w:pStyle w:val="aHEADINGSUB2"/>
        <w:spacing w:after="120"/>
        <w:rPr>
          <w:bCs/>
          <w:i w:val="0"/>
          <w:iCs w:val="0"/>
          <w:vanish/>
          <w:color w:val="FF0000"/>
          <w:sz w:val="19"/>
          <w:szCs w:val="19"/>
          <w:specVanish/>
        </w:rPr>
      </w:pPr>
      <w:bookmarkStart w:name="_DV_M409" w:id="332"/>
      <w:bookmarkStart w:name="_Toc172841941" w:id="333"/>
      <w:bookmarkStart w:name="_Toc212948795" w:id="334"/>
      <w:bookmarkEnd w:id="332"/>
      <w:r w:rsidRPr="00974BC4">
        <w:t>Bonds</w:t>
      </w:r>
      <w:bookmarkEnd w:id="333"/>
    </w:p>
    <w:p w:rsidR="000B2AEC" w:rsidP="0026759C" w:rsidRDefault="00AF72E5" w14:paraId="5783C59F" w14:textId="42CBAD1A">
      <w:pPr>
        <w:pStyle w:val="BodyText"/>
        <w:spacing w:after="120"/>
      </w:pPr>
      <w:r w:rsidRPr="00974BC4">
        <w:t>.</w:t>
      </w:r>
      <w:bookmarkStart w:name="_DV_M410" w:id="335"/>
      <w:bookmarkEnd w:id="334"/>
      <w:bookmarkEnd w:id="335"/>
      <w:r w:rsidRPr="00974BC4">
        <w:t xml:space="preserve">  As </w:t>
      </w:r>
      <w:r w:rsidR="00D85118">
        <w:t>of July 1, 2024</w:t>
      </w:r>
      <w:r w:rsidRPr="00F9663B">
        <w:t xml:space="preserve">, the Authority had </w:t>
      </w:r>
      <w:r w:rsidRPr="00EF795E">
        <w:t xml:space="preserve">outstanding </w:t>
      </w:r>
      <w:r w:rsidRPr="00EF795E" w:rsidR="00F043A1">
        <w:t>$</w:t>
      </w:r>
      <w:r w:rsidR="00D85118">
        <w:t>1,567,650,000</w:t>
      </w:r>
      <w:r w:rsidRPr="00F9663B" w:rsidR="006268EB">
        <w:t xml:space="preserve"> </w:t>
      </w:r>
      <w:r w:rsidRPr="00F9663B">
        <w:t xml:space="preserve">aggregate principal amount of Bonds under the Indenture.  The following table sets </w:t>
      </w:r>
      <w:r w:rsidR="00D85118">
        <w:t xml:space="preserve">forth certain information, as of July </w:t>
      </w:r>
      <w:r w:rsidR="00EF3554">
        <w:t>1, 2024</w:t>
      </w:r>
      <w:r w:rsidRPr="00F9663B">
        <w:t>, with respect to the Bonds of each series iss</w:t>
      </w:r>
      <w:r w:rsidRPr="00F9663B" w:rsidR="0026759C">
        <w:t>ued under the Indenture.</w:t>
      </w:r>
      <w:r w:rsidR="0026759C">
        <w:t xml:space="preserve"> </w:t>
      </w:r>
    </w:p>
    <w:p w:rsidRPr="0026759C" w:rsidR="0026759C" w:rsidP="0026759C" w:rsidRDefault="0026759C" w14:paraId="595709A4" w14:textId="22E17DE8">
      <w:pPr>
        <w:pStyle w:val="BodyText"/>
        <w:spacing w:after="120"/>
        <w:jc w:val="center"/>
        <w:rPr>
          <w:i/>
        </w:rPr>
        <w:sectPr w:rsidRPr="0026759C" w:rsidR="0026759C" w:rsidSect="009F6722">
          <w:footerReference w:type="default" r:id="rId24"/>
          <w:footnotePr>
            <w:numFmt w:val="chicago"/>
            <w:numRestart w:val="eachPage"/>
          </w:footnotePr>
          <w:type w:val="continuous"/>
          <w:pgSz w:w="12240" w:h="15840" w:code="1"/>
          <w:pgMar w:top="1440" w:right="1440" w:bottom="1440" w:left="1440" w:header="720" w:footer="720" w:gutter="0"/>
          <w:pgNumType w:start="9"/>
          <w:cols w:space="720"/>
          <w:noEndnote/>
          <w:titlePg/>
          <w:docGrid w:linePitch="360"/>
        </w:sectPr>
      </w:pPr>
      <w:r w:rsidRPr="0026759C">
        <w:rPr>
          <w:i/>
        </w:rPr>
        <w:t>[Remainder of Page Intentionally Left Blank]</w:t>
      </w:r>
    </w:p>
    <w:p w:rsidR="0057122B" w:rsidP="007E3721" w:rsidRDefault="00481206" w14:paraId="5B915CD6" w14:textId="0263ACD3">
      <w:pPr>
        <w:widowControl/>
        <w:spacing w:after="100" w:afterAutospacing="1"/>
        <w:contextualSpacing/>
        <w:jc w:val="center"/>
        <w:outlineLvl w:val="2"/>
        <w:rPr>
          <w:b/>
        </w:rPr>
      </w:pPr>
      <w:bookmarkStart w:name="ElPgBr32" w:id="336"/>
      <w:bookmarkEnd w:id="336"/>
      <w:r>
        <w:rPr>
          <w:b/>
        </w:rPr>
        <w:lastRenderedPageBreak/>
        <w:t xml:space="preserve">Information as </w:t>
      </w:r>
      <w:r w:rsidRPr="003B1DB4">
        <w:rPr>
          <w:b/>
        </w:rPr>
        <w:t xml:space="preserve">of </w:t>
      </w:r>
      <w:r w:rsidR="00923C22">
        <w:rPr>
          <w:b/>
        </w:rPr>
        <w:t xml:space="preserve">July </w:t>
      </w:r>
      <w:r w:rsidR="00F077A3">
        <w:rPr>
          <w:b/>
        </w:rPr>
        <w:t>1, 2024</w:t>
      </w:r>
      <w:r w:rsidRPr="003B1DB4" w:rsidR="00953CF9">
        <w:rPr>
          <w:b/>
        </w:rPr>
        <w:t xml:space="preserve"> </w:t>
      </w:r>
      <w:r w:rsidRPr="003B1DB4" w:rsidR="008111FA">
        <w:rPr>
          <w:b/>
        </w:rPr>
        <w:t>Concerning</w:t>
      </w:r>
      <w:r w:rsidRPr="00B34407" w:rsidR="008111FA">
        <w:rPr>
          <w:b/>
        </w:rPr>
        <w:t xml:space="preserve"> Outstanding Indiana Housing and Community Development Authority</w:t>
      </w:r>
      <w:r w:rsidR="007E3721">
        <w:rPr>
          <w:b/>
        </w:rPr>
        <w:t xml:space="preserve"> </w:t>
      </w:r>
    </w:p>
    <w:p w:rsidRPr="00F077A3" w:rsidR="009A5AE6" w:rsidP="009A5AE6" w:rsidRDefault="007E3721" w14:paraId="7F8DFB69" w14:textId="34B6D459">
      <w:pPr>
        <w:widowControl/>
        <w:spacing w:after="120"/>
        <w:contextualSpacing/>
        <w:jc w:val="center"/>
        <w:outlineLvl w:val="2"/>
        <w:rPr>
          <w:b/>
        </w:rPr>
      </w:pPr>
      <w:r w:rsidRPr="00F077A3">
        <w:rPr>
          <w:b/>
        </w:rPr>
        <w:t>Single Family Mortgage Revenue Bonds under the 2016 Amended and Restated Indenture of Trust as of June 1, 2016</w:t>
      </w:r>
    </w:p>
    <w:p w:rsidRPr="00F077A3" w:rsidR="00256597" w:rsidP="009A5AE6" w:rsidRDefault="00256597" w14:paraId="64FD2DE0" w14:textId="74EC9622">
      <w:pPr>
        <w:widowControl/>
        <w:spacing w:after="120"/>
        <w:contextualSpacing/>
        <w:jc w:val="center"/>
        <w:outlineLvl w:val="2"/>
        <w:rPr>
          <w:b/>
          <w:sz w:val="13"/>
          <w:szCs w:val="13"/>
        </w:rPr>
      </w:pPr>
    </w:p>
    <w:tbl>
      <w:tblPr>
        <w:tblW w:w="15304" w:type="dxa"/>
        <w:tblInd w:w="-180" w:type="dxa"/>
        <w:tblLook w:val="04A0" w:firstRow="1" w:lastRow="0" w:firstColumn="1" w:lastColumn="0" w:noHBand="0" w:noVBand="1"/>
      </w:tblPr>
      <w:tblGrid>
        <w:gridCol w:w="1170"/>
        <w:gridCol w:w="763"/>
        <w:gridCol w:w="966"/>
        <w:gridCol w:w="966"/>
        <w:gridCol w:w="249"/>
        <w:gridCol w:w="816"/>
        <w:gridCol w:w="260"/>
        <w:gridCol w:w="876"/>
        <w:gridCol w:w="260"/>
        <w:gridCol w:w="964"/>
        <w:gridCol w:w="260"/>
        <w:gridCol w:w="866"/>
        <w:gridCol w:w="876"/>
        <w:gridCol w:w="876"/>
        <w:gridCol w:w="816"/>
        <w:gridCol w:w="816"/>
        <w:gridCol w:w="876"/>
        <w:gridCol w:w="876"/>
        <w:gridCol w:w="876"/>
        <w:gridCol w:w="876"/>
      </w:tblGrid>
      <w:tr w:rsidRPr="009A1427" w:rsidR="00923C22" w:rsidTr="00923C22" w14:paraId="04DE6247" w14:textId="77777777">
        <w:trPr>
          <w:trHeight w:val="370"/>
        </w:trPr>
        <w:tc>
          <w:tcPr>
            <w:tcW w:w="1170" w:type="dxa"/>
            <w:tcBorders>
              <w:top w:val="nil"/>
              <w:left w:val="nil"/>
              <w:bottom w:val="nil"/>
              <w:right w:val="nil"/>
            </w:tcBorders>
            <w:shd w:val="clear" w:color="auto" w:fill="auto"/>
            <w:noWrap/>
            <w:vAlign w:val="bottom"/>
            <w:hideMark/>
          </w:tcPr>
          <w:p w:rsidRPr="00F077A3" w:rsidR="00923C22" w:rsidP="00923C22" w:rsidRDefault="00923C22" w14:paraId="7D0224AB" w14:textId="77777777">
            <w:pPr>
              <w:widowControl/>
              <w:autoSpaceDE/>
              <w:autoSpaceDN/>
              <w:adjustRightInd/>
              <w:spacing w:after="160" w:line="259" w:lineRule="auto"/>
              <w:jc w:val="left"/>
              <w:rPr>
                <w:sz w:val="12"/>
                <w:szCs w:val="12"/>
              </w:rPr>
            </w:pPr>
          </w:p>
        </w:tc>
        <w:tc>
          <w:tcPr>
            <w:tcW w:w="763" w:type="dxa"/>
            <w:tcBorders>
              <w:top w:val="nil"/>
              <w:left w:val="nil"/>
              <w:bottom w:val="nil"/>
              <w:right w:val="nil"/>
            </w:tcBorders>
            <w:shd w:val="clear" w:color="auto" w:fill="auto"/>
            <w:noWrap/>
            <w:vAlign w:val="bottom"/>
            <w:hideMark/>
          </w:tcPr>
          <w:p w:rsidRPr="00F077A3" w:rsidR="00923C22" w:rsidP="00923C22" w:rsidRDefault="00923C22" w14:paraId="5645BCCA"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F077A3" w:rsidR="00923C22" w:rsidP="00923C22" w:rsidRDefault="00923C22" w14:paraId="4C687736"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F077A3" w:rsidR="00923C22" w:rsidP="00923C22" w:rsidRDefault="00923C22" w14:paraId="5EB226AF" w14:textId="77777777">
            <w:pPr>
              <w:widowControl/>
              <w:autoSpaceDE/>
              <w:autoSpaceDN/>
              <w:adjustRightInd/>
              <w:jc w:val="left"/>
              <w:rPr>
                <w:sz w:val="12"/>
                <w:szCs w:val="12"/>
              </w:rPr>
            </w:pPr>
          </w:p>
        </w:tc>
        <w:tc>
          <w:tcPr>
            <w:tcW w:w="249" w:type="dxa"/>
            <w:tcBorders>
              <w:top w:val="nil"/>
              <w:left w:val="nil"/>
              <w:bottom w:val="nil"/>
              <w:right w:val="nil"/>
            </w:tcBorders>
            <w:shd w:val="clear" w:color="auto" w:fill="auto"/>
            <w:noWrap/>
            <w:vAlign w:val="bottom"/>
            <w:hideMark/>
          </w:tcPr>
          <w:p w:rsidRPr="00F077A3" w:rsidR="00923C22" w:rsidP="00923C22" w:rsidRDefault="00923C22" w14:paraId="73830022" w14:textId="77777777">
            <w:pPr>
              <w:widowControl/>
              <w:autoSpaceDE/>
              <w:autoSpaceDN/>
              <w:adjustRightInd/>
              <w:jc w:val="left"/>
              <w:rPr>
                <w:sz w:val="12"/>
                <w:szCs w:val="12"/>
              </w:rPr>
            </w:pPr>
          </w:p>
        </w:tc>
        <w:tc>
          <w:tcPr>
            <w:tcW w:w="11190" w:type="dxa"/>
            <w:gridSpan w:val="15"/>
            <w:tcBorders>
              <w:top w:val="nil"/>
              <w:left w:val="nil"/>
              <w:bottom w:val="single" w:color="auto" w:sz="8" w:space="0"/>
              <w:right w:val="nil"/>
            </w:tcBorders>
            <w:shd w:val="clear" w:color="auto" w:fill="auto"/>
            <w:noWrap/>
            <w:vAlign w:val="bottom"/>
            <w:hideMark/>
          </w:tcPr>
          <w:p w:rsidRPr="009A1427" w:rsidR="00923C22" w:rsidP="00923C22" w:rsidRDefault="00923C22" w14:paraId="03A8FC29" w14:textId="77777777">
            <w:pPr>
              <w:widowControl/>
              <w:autoSpaceDE/>
              <w:autoSpaceDN/>
              <w:adjustRightInd/>
              <w:jc w:val="center"/>
              <w:rPr>
                <w:b/>
                <w:bCs/>
                <w:sz w:val="14"/>
                <w:szCs w:val="14"/>
              </w:rPr>
            </w:pPr>
            <w:r w:rsidRPr="009A1427">
              <w:rPr>
                <w:b/>
                <w:bCs/>
                <w:sz w:val="14"/>
                <w:szCs w:val="14"/>
              </w:rPr>
              <w:t>Outstanding Principal Amounts by Coupon</w:t>
            </w:r>
          </w:p>
        </w:tc>
      </w:tr>
      <w:tr w:rsidRPr="009A1427" w:rsidR="00923C22" w:rsidTr="00923C22" w14:paraId="76858952" w14:textId="77777777">
        <w:trPr>
          <w:trHeight w:val="169"/>
        </w:trPr>
        <w:tc>
          <w:tcPr>
            <w:tcW w:w="1170" w:type="dxa"/>
            <w:tcBorders>
              <w:top w:val="nil"/>
              <w:left w:val="nil"/>
              <w:bottom w:val="nil"/>
              <w:right w:val="nil"/>
            </w:tcBorders>
            <w:shd w:val="clear" w:color="auto" w:fill="auto"/>
            <w:noWrap/>
            <w:vAlign w:val="bottom"/>
            <w:hideMark/>
          </w:tcPr>
          <w:p w:rsidRPr="009A1427" w:rsidR="00923C22" w:rsidP="00923C22" w:rsidRDefault="00923C22" w14:paraId="626CE5CE" w14:textId="77777777">
            <w:pPr>
              <w:widowControl/>
              <w:autoSpaceDE/>
              <w:autoSpaceDN/>
              <w:adjustRightInd/>
              <w:jc w:val="center"/>
              <w:rPr>
                <w:b/>
                <w:bCs/>
                <w:sz w:val="12"/>
                <w:szCs w:val="12"/>
              </w:rPr>
            </w:pPr>
          </w:p>
        </w:tc>
        <w:tc>
          <w:tcPr>
            <w:tcW w:w="763" w:type="dxa"/>
            <w:tcBorders>
              <w:top w:val="nil"/>
              <w:left w:val="nil"/>
              <w:bottom w:val="nil"/>
              <w:right w:val="nil"/>
            </w:tcBorders>
            <w:shd w:val="clear" w:color="auto" w:fill="auto"/>
            <w:noWrap/>
            <w:vAlign w:val="bottom"/>
            <w:hideMark/>
          </w:tcPr>
          <w:p w:rsidRPr="009A1427" w:rsidR="00923C22" w:rsidP="00923C22" w:rsidRDefault="00923C22" w14:paraId="06B8E987"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7EE3A3C6"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7E0EEAEC" w14:textId="77777777">
            <w:pPr>
              <w:widowControl/>
              <w:autoSpaceDE/>
              <w:autoSpaceDN/>
              <w:adjustRightInd/>
              <w:jc w:val="left"/>
              <w:rPr>
                <w:sz w:val="12"/>
                <w:szCs w:val="12"/>
              </w:rPr>
            </w:pPr>
          </w:p>
        </w:tc>
        <w:tc>
          <w:tcPr>
            <w:tcW w:w="249" w:type="dxa"/>
            <w:tcBorders>
              <w:top w:val="nil"/>
              <w:left w:val="nil"/>
              <w:bottom w:val="nil"/>
              <w:right w:val="nil"/>
            </w:tcBorders>
            <w:shd w:val="clear" w:color="auto" w:fill="auto"/>
            <w:noWrap/>
            <w:vAlign w:val="bottom"/>
            <w:hideMark/>
          </w:tcPr>
          <w:p w:rsidRPr="009A1427" w:rsidR="00923C22" w:rsidP="00923C22" w:rsidRDefault="00923C22" w14:paraId="1D5753A7" w14:textId="77777777">
            <w:pPr>
              <w:widowControl/>
              <w:autoSpaceDE/>
              <w:autoSpaceDN/>
              <w:adjustRightInd/>
              <w:jc w:val="left"/>
              <w:rPr>
                <w:sz w:val="12"/>
                <w:szCs w:val="12"/>
              </w:rPr>
            </w:pPr>
          </w:p>
        </w:tc>
        <w:tc>
          <w:tcPr>
            <w:tcW w:w="816" w:type="dxa"/>
            <w:tcBorders>
              <w:top w:val="nil"/>
              <w:left w:val="nil"/>
              <w:bottom w:val="single" w:color="auto" w:sz="4" w:space="0"/>
              <w:right w:val="nil"/>
            </w:tcBorders>
            <w:shd w:val="clear" w:color="auto" w:fill="auto"/>
            <w:noWrap/>
            <w:vAlign w:val="bottom"/>
            <w:hideMark/>
          </w:tcPr>
          <w:p w:rsidRPr="009A1427" w:rsidR="00923C22" w:rsidP="00923C22" w:rsidRDefault="00923C22" w14:paraId="3A30E125" w14:textId="77777777">
            <w:pPr>
              <w:widowControl/>
              <w:autoSpaceDE/>
              <w:autoSpaceDN/>
              <w:adjustRightInd/>
              <w:jc w:val="center"/>
              <w:rPr>
                <w:b/>
                <w:bCs/>
                <w:sz w:val="12"/>
                <w:szCs w:val="12"/>
              </w:rPr>
            </w:pPr>
            <w:r w:rsidRPr="009A1427">
              <w:rPr>
                <w:b/>
                <w:bCs/>
                <w:sz w:val="12"/>
                <w:szCs w:val="12"/>
              </w:rPr>
              <w:t>Variable</w:t>
            </w:r>
          </w:p>
        </w:tc>
        <w:tc>
          <w:tcPr>
            <w:tcW w:w="260" w:type="dxa"/>
            <w:tcBorders>
              <w:top w:val="nil"/>
              <w:left w:val="nil"/>
              <w:bottom w:val="nil"/>
              <w:right w:val="nil"/>
            </w:tcBorders>
            <w:shd w:val="clear" w:color="auto" w:fill="auto"/>
            <w:noWrap/>
            <w:vAlign w:val="bottom"/>
            <w:hideMark/>
          </w:tcPr>
          <w:p w:rsidRPr="009A1427" w:rsidR="00923C22" w:rsidP="00923C22" w:rsidRDefault="00923C22" w14:paraId="003A1A1E" w14:textId="77777777">
            <w:pPr>
              <w:widowControl/>
              <w:autoSpaceDE/>
              <w:autoSpaceDN/>
              <w:adjustRightInd/>
              <w:jc w:val="center"/>
              <w:rPr>
                <w:b/>
                <w:bCs/>
                <w:sz w:val="12"/>
                <w:szCs w:val="12"/>
              </w:rPr>
            </w:pPr>
          </w:p>
        </w:tc>
        <w:tc>
          <w:tcPr>
            <w:tcW w:w="10114" w:type="dxa"/>
            <w:gridSpan w:val="13"/>
            <w:tcBorders>
              <w:top w:val="single" w:color="auto" w:sz="8" w:space="0"/>
              <w:left w:val="nil"/>
              <w:bottom w:val="single" w:color="auto" w:sz="4" w:space="0"/>
              <w:right w:val="nil"/>
            </w:tcBorders>
            <w:shd w:val="clear" w:color="auto" w:fill="auto"/>
            <w:noWrap/>
            <w:vAlign w:val="bottom"/>
            <w:hideMark/>
          </w:tcPr>
          <w:p w:rsidRPr="009A1427" w:rsidR="00923C22" w:rsidP="00923C22" w:rsidRDefault="00923C22" w14:paraId="5008A3ED" w14:textId="77777777">
            <w:pPr>
              <w:widowControl/>
              <w:autoSpaceDE/>
              <w:autoSpaceDN/>
              <w:adjustRightInd/>
              <w:jc w:val="center"/>
              <w:rPr>
                <w:b/>
                <w:bCs/>
                <w:sz w:val="14"/>
                <w:szCs w:val="14"/>
              </w:rPr>
            </w:pPr>
            <w:r w:rsidRPr="009A1427">
              <w:rPr>
                <w:b/>
                <w:bCs/>
                <w:sz w:val="14"/>
                <w:szCs w:val="14"/>
              </w:rPr>
              <w:t>Fixed</w:t>
            </w:r>
          </w:p>
        </w:tc>
      </w:tr>
      <w:tr w:rsidRPr="009A1427" w:rsidR="00923C22" w:rsidTr="00923C22" w14:paraId="2834AD5C" w14:textId="77777777">
        <w:trPr>
          <w:trHeight w:val="197"/>
        </w:trPr>
        <w:tc>
          <w:tcPr>
            <w:tcW w:w="1170" w:type="dxa"/>
            <w:tcBorders>
              <w:top w:val="nil"/>
              <w:left w:val="nil"/>
              <w:bottom w:val="single" w:color="auto" w:sz="8" w:space="0"/>
              <w:right w:val="nil"/>
            </w:tcBorders>
            <w:shd w:val="clear" w:color="auto" w:fill="auto"/>
            <w:vAlign w:val="bottom"/>
            <w:hideMark/>
          </w:tcPr>
          <w:p w:rsidRPr="009A1427" w:rsidR="00923C22" w:rsidP="00923C22" w:rsidRDefault="00923C22" w14:paraId="7BF20F4A" w14:textId="77777777">
            <w:pPr>
              <w:widowControl/>
              <w:autoSpaceDE/>
              <w:autoSpaceDN/>
              <w:adjustRightInd/>
              <w:jc w:val="center"/>
              <w:rPr>
                <w:b/>
                <w:bCs/>
                <w:sz w:val="12"/>
                <w:szCs w:val="12"/>
              </w:rPr>
            </w:pPr>
            <w:r w:rsidRPr="009A1427">
              <w:rPr>
                <w:b/>
                <w:bCs/>
                <w:sz w:val="12"/>
                <w:szCs w:val="12"/>
              </w:rPr>
              <w:t>Bond</w:t>
            </w:r>
            <w:r w:rsidRPr="009A1427">
              <w:rPr>
                <w:b/>
                <w:bCs/>
                <w:sz w:val="12"/>
                <w:szCs w:val="12"/>
              </w:rPr>
              <w:br/>
              <w:t>Issue</w:t>
            </w:r>
          </w:p>
        </w:tc>
        <w:tc>
          <w:tcPr>
            <w:tcW w:w="763" w:type="dxa"/>
            <w:tcBorders>
              <w:top w:val="nil"/>
              <w:left w:val="nil"/>
              <w:bottom w:val="single" w:color="auto" w:sz="8" w:space="0"/>
              <w:right w:val="nil"/>
            </w:tcBorders>
            <w:shd w:val="clear" w:color="auto" w:fill="auto"/>
            <w:vAlign w:val="bottom"/>
            <w:hideMark/>
          </w:tcPr>
          <w:p w:rsidRPr="009A1427" w:rsidR="00923C22" w:rsidP="00923C22" w:rsidRDefault="00923C22" w14:paraId="10417782" w14:textId="77777777">
            <w:pPr>
              <w:widowControl/>
              <w:autoSpaceDE/>
              <w:autoSpaceDN/>
              <w:adjustRightInd/>
              <w:jc w:val="center"/>
              <w:rPr>
                <w:b/>
                <w:bCs/>
                <w:sz w:val="12"/>
                <w:szCs w:val="12"/>
              </w:rPr>
            </w:pPr>
            <w:r w:rsidRPr="009A1427">
              <w:rPr>
                <w:b/>
                <w:bCs/>
                <w:sz w:val="12"/>
                <w:szCs w:val="12"/>
              </w:rPr>
              <w:t>Dated</w:t>
            </w:r>
            <w:r w:rsidRPr="009A1427">
              <w:rPr>
                <w:b/>
                <w:bCs/>
                <w:sz w:val="12"/>
                <w:szCs w:val="12"/>
              </w:rPr>
              <w:br/>
              <w:t>Date</w:t>
            </w:r>
          </w:p>
        </w:tc>
        <w:tc>
          <w:tcPr>
            <w:tcW w:w="966" w:type="dxa"/>
            <w:tcBorders>
              <w:top w:val="nil"/>
              <w:left w:val="nil"/>
              <w:bottom w:val="single" w:color="auto" w:sz="8" w:space="0"/>
              <w:right w:val="nil"/>
            </w:tcBorders>
            <w:shd w:val="clear" w:color="auto" w:fill="auto"/>
            <w:vAlign w:val="bottom"/>
            <w:hideMark/>
          </w:tcPr>
          <w:p w:rsidRPr="009A1427" w:rsidR="00923C22" w:rsidP="00923C22" w:rsidRDefault="00923C22" w14:paraId="3A925FD0" w14:textId="77777777">
            <w:pPr>
              <w:widowControl/>
              <w:autoSpaceDE/>
              <w:autoSpaceDN/>
              <w:adjustRightInd/>
              <w:jc w:val="center"/>
              <w:rPr>
                <w:b/>
                <w:bCs/>
                <w:sz w:val="12"/>
                <w:szCs w:val="12"/>
              </w:rPr>
            </w:pPr>
            <w:r w:rsidRPr="009A1427">
              <w:rPr>
                <w:b/>
                <w:bCs/>
                <w:sz w:val="12"/>
                <w:szCs w:val="12"/>
              </w:rPr>
              <w:t>Amount</w:t>
            </w:r>
            <w:r w:rsidRPr="009A1427">
              <w:rPr>
                <w:b/>
                <w:bCs/>
                <w:sz w:val="12"/>
                <w:szCs w:val="12"/>
              </w:rPr>
              <w:br/>
              <w:t>Issued</w:t>
            </w:r>
          </w:p>
        </w:tc>
        <w:tc>
          <w:tcPr>
            <w:tcW w:w="966" w:type="dxa"/>
            <w:tcBorders>
              <w:top w:val="nil"/>
              <w:left w:val="nil"/>
              <w:bottom w:val="single" w:color="auto" w:sz="8" w:space="0"/>
              <w:right w:val="nil"/>
            </w:tcBorders>
            <w:shd w:val="clear" w:color="auto" w:fill="auto"/>
            <w:vAlign w:val="bottom"/>
            <w:hideMark/>
          </w:tcPr>
          <w:p w:rsidRPr="009A1427" w:rsidR="00923C22" w:rsidP="00923C22" w:rsidRDefault="00923C22" w14:paraId="1C728123" w14:textId="77777777">
            <w:pPr>
              <w:widowControl/>
              <w:autoSpaceDE/>
              <w:autoSpaceDN/>
              <w:adjustRightInd/>
              <w:jc w:val="center"/>
              <w:rPr>
                <w:b/>
                <w:bCs/>
                <w:sz w:val="12"/>
                <w:szCs w:val="12"/>
              </w:rPr>
            </w:pPr>
            <w:r w:rsidRPr="009A1427">
              <w:rPr>
                <w:b/>
                <w:bCs/>
                <w:sz w:val="12"/>
                <w:szCs w:val="12"/>
              </w:rPr>
              <w:t>Amount</w:t>
            </w:r>
            <w:r w:rsidRPr="009A1427">
              <w:rPr>
                <w:b/>
                <w:bCs/>
                <w:sz w:val="12"/>
                <w:szCs w:val="12"/>
              </w:rPr>
              <w:br/>
              <w:t>Outstanding</w:t>
            </w:r>
          </w:p>
        </w:tc>
        <w:tc>
          <w:tcPr>
            <w:tcW w:w="249" w:type="dxa"/>
            <w:tcBorders>
              <w:top w:val="nil"/>
              <w:left w:val="nil"/>
              <w:bottom w:val="nil"/>
              <w:right w:val="nil"/>
            </w:tcBorders>
            <w:shd w:val="clear" w:color="auto" w:fill="auto"/>
            <w:noWrap/>
            <w:vAlign w:val="bottom"/>
            <w:hideMark/>
          </w:tcPr>
          <w:p w:rsidRPr="009A1427" w:rsidR="00923C22" w:rsidP="00923C22" w:rsidRDefault="00923C22" w14:paraId="6FD0D5A2" w14:textId="77777777">
            <w:pPr>
              <w:widowControl/>
              <w:autoSpaceDE/>
              <w:autoSpaceDN/>
              <w:adjustRightInd/>
              <w:jc w:val="center"/>
              <w:rPr>
                <w:b/>
                <w:bCs/>
                <w:sz w:val="12"/>
                <w:szCs w:val="12"/>
              </w:rPr>
            </w:pPr>
          </w:p>
        </w:tc>
        <w:tc>
          <w:tcPr>
            <w:tcW w:w="816" w:type="dxa"/>
            <w:tcBorders>
              <w:top w:val="nil"/>
              <w:left w:val="nil"/>
              <w:bottom w:val="single" w:color="auto" w:sz="8" w:space="0"/>
              <w:right w:val="nil"/>
            </w:tcBorders>
            <w:shd w:val="clear" w:color="auto" w:fill="auto"/>
            <w:vAlign w:val="bottom"/>
            <w:hideMark/>
          </w:tcPr>
          <w:p w:rsidRPr="009A1427" w:rsidR="00923C22" w:rsidP="00923C22" w:rsidRDefault="00923C22" w14:paraId="39A0915A" w14:textId="77777777">
            <w:pPr>
              <w:widowControl/>
              <w:autoSpaceDE/>
              <w:autoSpaceDN/>
              <w:adjustRightInd/>
              <w:jc w:val="center"/>
              <w:rPr>
                <w:b/>
                <w:bCs/>
                <w:sz w:val="12"/>
                <w:szCs w:val="12"/>
              </w:rPr>
            </w:pPr>
            <w:r w:rsidRPr="009A1427">
              <w:rPr>
                <w:b/>
                <w:bCs/>
                <w:sz w:val="12"/>
                <w:szCs w:val="12"/>
              </w:rPr>
              <w:t>Variable</w:t>
            </w:r>
            <w:r w:rsidRPr="009A1427">
              <w:rPr>
                <w:b/>
                <w:bCs/>
                <w:sz w:val="12"/>
                <w:szCs w:val="12"/>
              </w:rPr>
              <w:br/>
              <w:t>Rate Bonds</w:t>
            </w:r>
          </w:p>
        </w:tc>
        <w:tc>
          <w:tcPr>
            <w:tcW w:w="260" w:type="dxa"/>
            <w:tcBorders>
              <w:top w:val="nil"/>
              <w:left w:val="nil"/>
              <w:bottom w:val="nil"/>
              <w:right w:val="nil"/>
            </w:tcBorders>
            <w:shd w:val="clear" w:color="auto" w:fill="auto"/>
            <w:vAlign w:val="bottom"/>
            <w:hideMark/>
          </w:tcPr>
          <w:p w:rsidRPr="009A1427" w:rsidR="00923C22" w:rsidP="00923C22" w:rsidRDefault="00923C22" w14:paraId="5FF4F9F1" w14:textId="77777777">
            <w:pPr>
              <w:widowControl/>
              <w:autoSpaceDE/>
              <w:autoSpaceDN/>
              <w:adjustRightInd/>
              <w:jc w:val="center"/>
              <w:rPr>
                <w:b/>
                <w:bCs/>
                <w:sz w:val="12"/>
                <w:szCs w:val="12"/>
              </w:rPr>
            </w:pPr>
          </w:p>
        </w:tc>
        <w:tc>
          <w:tcPr>
            <w:tcW w:w="876" w:type="dxa"/>
            <w:tcBorders>
              <w:top w:val="nil"/>
              <w:left w:val="nil"/>
              <w:bottom w:val="single" w:color="auto" w:sz="8" w:space="0"/>
              <w:right w:val="nil"/>
            </w:tcBorders>
            <w:shd w:val="clear" w:color="auto" w:fill="auto"/>
            <w:vAlign w:val="bottom"/>
            <w:hideMark/>
          </w:tcPr>
          <w:p w:rsidRPr="009A1427" w:rsidR="00923C22" w:rsidP="00923C22" w:rsidRDefault="00923C22" w14:paraId="542580FF" w14:textId="77777777">
            <w:pPr>
              <w:widowControl/>
              <w:autoSpaceDE/>
              <w:autoSpaceDN/>
              <w:adjustRightInd/>
              <w:jc w:val="center"/>
              <w:rPr>
                <w:b/>
                <w:bCs/>
                <w:sz w:val="12"/>
                <w:szCs w:val="12"/>
              </w:rPr>
            </w:pPr>
            <w:r w:rsidRPr="009A1427">
              <w:rPr>
                <w:b/>
                <w:bCs/>
                <w:sz w:val="12"/>
                <w:szCs w:val="12"/>
              </w:rPr>
              <w:t>Call Priority PAC Bonds</w:t>
            </w:r>
          </w:p>
        </w:tc>
        <w:tc>
          <w:tcPr>
            <w:tcW w:w="260" w:type="dxa"/>
            <w:tcBorders>
              <w:top w:val="nil"/>
              <w:left w:val="nil"/>
              <w:bottom w:val="nil"/>
              <w:right w:val="nil"/>
            </w:tcBorders>
            <w:shd w:val="clear" w:color="auto" w:fill="auto"/>
            <w:noWrap/>
            <w:vAlign w:val="bottom"/>
            <w:hideMark/>
          </w:tcPr>
          <w:p w:rsidRPr="009A1427" w:rsidR="00923C22" w:rsidP="00923C22" w:rsidRDefault="00923C22" w14:paraId="3DD28670" w14:textId="77777777">
            <w:pPr>
              <w:widowControl/>
              <w:autoSpaceDE/>
              <w:autoSpaceDN/>
              <w:adjustRightInd/>
              <w:jc w:val="center"/>
              <w:rPr>
                <w:b/>
                <w:bCs/>
                <w:sz w:val="12"/>
                <w:szCs w:val="12"/>
              </w:rPr>
            </w:pPr>
          </w:p>
        </w:tc>
        <w:tc>
          <w:tcPr>
            <w:tcW w:w="964" w:type="dxa"/>
            <w:tcBorders>
              <w:top w:val="nil"/>
              <w:left w:val="nil"/>
              <w:bottom w:val="single" w:color="auto" w:sz="8" w:space="0"/>
              <w:right w:val="nil"/>
            </w:tcBorders>
            <w:shd w:val="clear" w:color="auto" w:fill="auto"/>
            <w:vAlign w:val="bottom"/>
            <w:hideMark/>
          </w:tcPr>
          <w:p w:rsidRPr="009A1427" w:rsidR="00923C22" w:rsidP="00923C22" w:rsidRDefault="00923C22" w14:paraId="507C3B52" w14:textId="77777777">
            <w:pPr>
              <w:widowControl/>
              <w:autoSpaceDE/>
              <w:autoSpaceDN/>
              <w:adjustRightInd/>
              <w:jc w:val="center"/>
              <w:rPr>
                <w:b/>
                <w:bCs/>
                <w:sz w:val="12"/>
                <w:szCs w:val="12"/>
              </w:rPr>
            </w:pPr>
            <w:r w:rsidRPr="009A1427">
              <w:rPr>
                <w:b/>
                <w:bCs/>
                <w:sz w:val="12"/>
                <w:szCs w:val="12"/>
              </w:rPr>
              <w:t>Non-Callable Bonds</w:t>
            </w:r>
          </w:p>
        </w:tc>
        <w:tc>
          <w:tcPr>
            <w:tcW w:w="260" w:type="dxa"/>
            <w:tcBorders>
              <w:top w:val="nil"/>
              <w:left w:val="nil"/>
              <w:bottom w:val="nil"/>
              <w:right w:val="nil"/>
            </w:tcBorders>
            <w:shd w:val="clear" w:color="auto" w:fill="auto"/>
            <w:noWrap/>
            <w:vAlign w:val="bottom"/>
            <w:hideMark/>
          </w:tcPr>
          <w:p w:rsidRPr="009A1427" w:rsidR="00923C22" w:rsidP="00923C22" w:rsidRDefault="00923C22" w14:paraId="48FCA150" w14:textId="77777777">
            <w:pPr>
              <w:widowControl/>
              <w:autoSpaceDE/>
              <w:autoSpaceDN/>
              <w:adjustRightInd/>
              <w:jc w:val="center"/>
              <w:rPr>
                <w:b/>
                <w:bCs/>
                <w:sz w:val="12"/>
                <w:szCs w:val="12"/>
              </w:rPr>
            </w:pPr>
          </w:p>
        </w:tc>
        <w:tc>
          <w:tcPr>
            <w:tcW w:w="866" w:type="dxa"/>
            <w:tcBorders>
              <w:top w:val="nil"/>
              <w:left w:val="nil"/>
              <w:bottom w:val="single" w:color="auto" w:sz="8" w:space="0"/>
              <w:right w:val="nil"/>
            </w:tcBorders>
            <w:shd w:val="clear" w:color="auto" w:fill="auto"/>
            <w:vAlign w:val="center"/>
            <w:hideMark/>
          </w:tcPr>
          <w:p w:rsidRPr="009A1427" w:rsidR="00923C22" w:rsidP="00923C22" w:rsidRDefault="00923C22" w14:paraId="1EC562D1" w14:textId="77777777">
            <w:pPr>
              <w:widowControl/>
              <w:autoSpaceDE/>
              <w:autoSpaceDN/>
              <w:adjustRightInd/>
              <w:jc w:val="center"/>
              <w:rPr>
                <w:b/>
                <w:bCs/>
                <w:sz w:val="12"/>
                <w:szCs w:val="12"/>
              </w:rPr>
            </w:pPr>
            <w:r w:rsidRPr="009A1427">
              <w:rPr>
                <w:b/>
                <w:bCs/>
                <w:sz w:val="12"/>
                <w:szCs w:val="12"/>
              </w:rPr>
              <w:t>&lt;2.00%</w:t>
            </w:r>
          </w:p>
        </w:tc>
        <w:tc>
          <w:tcPr>
            <w:tcW w:w="876" w:type="dxa"/>
            <w:tcBorders>
              <w:top w:val="nil"/>
              <w:left w:val="nil"/>
              <w:bottom w:val="single" w:color="auto" w:sz="8" w:space="0"/>
              <w:right w:val="nil"/>
            </w:tcBorders>
            <w:shd w:val="clear" w:color="auto" w:fill="auto"/>
            <w:vAlign w:val="center"/>
            <w:hideMark/>
          </w:tcPr>
          <w:p w:rsidRPr="009A1427" w:rsidR="00923C22" w:rsidP="00923C22" w:rsidRDefault="00923C22" w14:paraId="156C9CDB" w14:textId="77777777">
            <w:pPr>
              <w:widowControl/>
              <w:autoSpaceDE/>
              <w:autoSpaceDN/>
              <w:adjustRightInd/>
              <w:jc w:val="center"/>
              <w:rPr>
                <w:b/>
                <w:bCs/>
                <w:sz w:val="12"/>
                <w:szCs w:val="12"/>
              </w:rPr>
            </w:pPr>
            <w:r w:rsidRPr="009A1427">
              <w:rPr>
                <w:b/>
                <w:bCs/>
                <w:sz w:val="12"/>
                <w:szCs w:val="12"/>
              </w:rPr>
              <w:t>&gt; or =           2.00% &amp;          &lt; 2.50%</w:t>
            </w:r>
          </w:p>
        </w:tc>
        <w:tc>
          <w:tcPr>
            <w:tcW w:w="876" w:type="dxa"/>
            <w:tcBorders>
              <w:top w:val="nil"/>
              <w:left w:val="nil"/>
              <w:bottom w:val="single" w:color="auto" w:sz="8" w:space="0"/>
              <w:right w:val="nil"/>
            </w:tcBorders>
            <w:shd w:val="clear" w:color="auto" w:fill="auto"/>
            <w:vAlign w:val="center"/>
            <w:hideMark/>
          </w:tcPr>
          <w:p w:rsidRPr="009A1427" w:rsidR="00923C22" w:rsidP="00923C22" w:rsidRDefault="00923C22" w14:paraId="02CA487E" w14:textId="77777777">
            <w:pPr>
              <w:widowControl/>
              <w:autoSpaceDE/>
              <w:autoSpaceDN/>
              <w:adjustRightInd/>
              <w:jc w:val="center"/>
              <w:rPr>
                <w:b/>
                <w:bCs/>
                <w:sz w:val="12"/>
                <w:szCs w:val="12"/>
              </w:rPr>
            </w:pPr>
            <w:r w:rsidRPr="009A1427">
              <w:rPr>
                <w:b/>
                <w:bCs/>
                <w:sz w:val="12"/>
                <w:szCs w:val="12"/>
              </w:rPr>
              <w:t>&gt; or =           2.50% &amp;          &lt; 3.00%</w:t>
            </w:r>
          </w:p>
        </w:tc>
        <w:tc>
          <w:tcPr>
            <w:tcW w:w="816" w:type="dxa"/>
            <w:tcBorders>
              <w:top w:val="nil"/>
              <w:left w:val="nil"/>
              <w:bottom w:val="single" w:color="auto" w:sz="8" w:space="0"/>
              <w:right w:val="nil"/>
            </w:tcBorders>
            <w:shd w:val="clear" w:color="auto" w:fill="auto"/>
            <w:vAlign w:val="center"/>
            <w:hideMark/>
          </w:tcPr>
          <w:p w:rsidRPr="009A1427" w:rsidR="00923C22" w:rsidP="00923C22" w:rsidRDefault="00923C22" w14:paraId="254BAF77" w14:textId="77777777">
            <w:pPr>
              <w:widowControl/>
              <w:autoSpaceDE/>
              <w:autoSpaceDN/>
              <w:adjustRightInd/>
              <w:jc w:val="center"/>
              <w:rPr>
                <w:b/>
                <w:bCs/>
                <w:sz w:val="12"/>
                <w:szCs w:val="12"/>
              </w:rPr>
            </w:pPr>
            <w:r w:rsidRPr="009A1427">
              <w:rPr>
                <w:b/>
                <w:bCs/>
                <w:sz w:val="12"/>
                <w:szCs w:val="12"/>
              </w:rPr>
              <w:t>&gt; or =           3.00% &amp;          &lt; 3.50%</w:t>
            </w:r>
          </w:p>
        </w:tc>
        <w:tc>
          <w:tcPr>
            <w:tcW w:w="816" w:type="dxa"/>
            <w:tcBorders>
              <w:top w:val="nil"/>
              <w:left w:val="nil"/>
              <w:bottom w:val="single" w:color="auto" w:sz="8" w:space="0"/>
              <w:right w:val="nil"/>
            </w:tcBorders>
            <w:shd w:val="clear" w:color="auto" w:fill="auto"/>
            <w:vAlign w:val="center"/>
            <w:hideMark/>
          </w:tcPr>
          <w:p w:rsidRPr="009A1427" w:rsidR="00923C22" w:rsidP="00923C22" w:rsidRDefault="00923C22" w14:paraId="639729B8" w14:textId="77777777">
            <w:pPr>
              <w:widowControl/>
              <w:autoSpaceDE/>
              <w:autoSpaceDN/>
              <w:adjustRightInd/>
              <w:jc w:val="center"/>
              <w:rPr>
                <w:b/>
                <w:bCs/>
                <w:sz w:val="12"/>
                <w:szCs w:val="12"/>
              </w:rPr>
            </w:pPr>
            <w:r w:rsidRPr="009A1427">
              <w:rPr>
                <w:b/>
                <w:bCs/>
                <w:sz w:val="12"/>
                <w:szCs w:val="12"/>
              </w:rPr>
              <w:t>&gt; or =           3.50% &amp;          &lt; 4.00%</w:t>
            </w:r>
          </w:p>
        </w:tc>
        <w:tc>
          <w:tcPr>
            <w:tcW w:w="876" w:type="dxa"/>
            <w:tcBorders>
              <w:top w:val="nil"/>
              <w:left w:val="nil"/>
              <w:bottom w:val="single" w:color="auto" w:sz="8" w:space="0"/>
              <w:right w:val="nil"/>
            </w:tcBorders>
            <w:shd w:val="clear" w:color="auto" w:fill="auto"/>
            <w:vAlign w:val="center"/>
            <w:hideMark/>
          </w:tcPr>
          <w:p w:rsidRPr="009A1427" w:rsidR="00923C22" w:rsidP="00923C22" w:rsidRDefault="00923C22" w14:paraId="39285F3F" w14:textId="77777777">
            <w:pPr>
              <w:widowControl/>
              <w:autoSpaceDE/>
              <w:autoSpaceDN/>
              <w:adjustRightInd/>
              <w:jc w:val="center"/>
              <w:rPr>
                <w:b/>
                <w:bCs/>
                <w:sz w:val="12"/>
                <w:szCs w:val="12"/>
              </w:rPr>
            </w:pPr>
            <w:r w:rsidRPr="009A1427">
              <w:rPr>
                <w:b/>
                <w:bCs/>
                <w:sz w:val="12"/>
                <w:szCs w:val="12"/>
              </w:rPr>
              <w:t>&gt; or =           4.00% &amp;          &lt; 4.50%</w:t>
            </w:r>
          </w:p>
        </w:tc>
        <w:tc>
          <w:tcPr>
            <w:tcW w:w="876" w:type="dxa"/>
            <w:tcBorders>
              <w:top w:val="nil"/>
              <w:left w:val="nil"/>
              <w:bottom w:val="single" w:color="auto" w:sz="8" w:space="0"/>
              <w:right w:val="nil"/>
            </w:tcBorders>
            <w:shd w:val="clear" w:color="auto" w:fill="auto"/>
            <w:vAlign w:val="center"/>
            <w:hideMark/>
          </w:tcPr>
          <w:p w:rsidRPr="009A1427" w:rsidR="00923C22" w:rsidP="00923C22" w:rsidRDefault="00923C22" w14:paraId="5CDAC0D6" w14:textId="77777777">
            <w:pPr>
              <w:widowControl/>
              <w:autoSpaceDE/>
              <w:autoSpaceDN/>
              <w:adjustRightInd/>
              <w:jc w:val="center"/>
              <w:rPr>
                <w:b/>
                <w:bCs/>
                <w:sz w:val="12"/>
                <w:szCs w:val="12"/>
              </w:rPr>
            </w:pPr>
            <w:r w:rsidRPr="009A1427">
              <w:rPr>
                <w:b/>
                <w:bCs/>
                <w:sz w:val="12"/>
                <w:szCs w:val="12"/>
              </w:rPr>
              <w:t>&gt; or =           4.50% &amp;          &lt; 5.00%</w:t>
            </w:r>
          </w:p>
        </w:tc>
        <w:tc>
          <w:tcPr>
            <w:tcW w:w="876" w:type="dxa"/>
            <w:tcBorders>
              <w:top w:val="nil"/>
              <w:left w:val="nil"/>
              <w:bottom w:val="single" w:color="auto" w:sz="8" w:space="0"/>
              <w:right w:val="nil"/>
            </w:tcBorders>
            <w:shd w:val="clear" w:color="auto" w:fill="auto"/>
            <w:vAlign w:val="center"/>
            <w:hideMark/>
          </w:tcPr>
          <w:p w:rsidRPr="009A1427" w:rsidR="00923C22" w:rsidP="00923C22" w:rsidRDefault="00923C22" w14:paraId="4F24C07C" w14:textId="77777777">
            <w:pPr>
              <w:widowControl/>
              <w:autoSpaceDE/>
              <w:autoSpaceDN/>
              <w:adjustRightInd/>
              <w:jc w:val="center"/>
              <w:rPr>
                <w:b/>
                <w:bCs/>
                <w:sz w:val="12"/>
                <w:szCs w:val="12"/>
              </w:rPr>
            </w:pPr>
            <w:r w:rsidRPr="009A1427">
              <w:rPr>
                <w:b/>
                <w:bCs/>
                <w:sz w:val="12"/>
                <w:szCs w:val="12"/>
              </w:rPr>
              <w:t>&gt; or =           5.00% &amp;          &lt; 5.50%</w:t>
            </w:r>
          </w:p>
        </w:tc>
        <w:tc>
          <w:tcPr>
            <w:tcW w:w="876" w:type="dxa"/>
            <w:tcBorders>
              <w:top w:val="nil"/>
              <w:left w:val="nil"/>
              <w:bottom w:val="single" w:color="auto" w:sz="8" w:space="0"/>
              <w:right w:val="nil"/>
            </w:tcBorders>
            <w:shd w:val="clear" w:color="auto" w:fill="auto"/>
            <w:vAlign w:val="center"/>
            <w:hideMark/>
          </w:tcPr>
          <w:p w:rsidRPr="009A1427" w:rsidR="00923C22" w:rsidP="00923C22" w:rsidRDefault="00923C22" w14:paraId="4FF940B8" w14:textId="77777777">
            <w:pPr>
              <w:widowControl/>
              <w:autoSpaceDE/>
              <w:autoSpaceDN/>
              <w:adjustRightInd/>
              <w:jc w:val="center"/>
              <w:rPr>
                <w:b/>
                <w:bCs/>
                <w:sz w:val="12"/>
                <w:szCs w:val="12"/>
              </w:rPr>
            </w:pPr>
            <w:r w:rsidRPr="009A1427">
              <w:rPr>
                <w:b/>
                <w:bCs/>
                <w:sz w:val="12"/>
                <w:szCs w:val="12"/>
              </w:rPr>
              <w:t>&gt; or =            5.50%</w:t>
            </w:r>
          </w:p>
        </w:tc>
      </w:tr>
      <w:tr w:rsidRPr="009A1427" w:rsidR="00923C22" w:rsidTr="00923C22" w14:paraId="63B26E5C" w14:textId="77777777">
        <w:trPr>
          <w:trHeight w:val="196"/>
        </w:trPr>
        <w:tc>
          <w:tcPr>
            <w:tcW w:w="1170" w:type="dxa"/>
            <w:tcBorders>
              <w:top w:val="nil"/>
              <w:left w:val="nil"/>
              <w:bottom w:val="nil"/>
              <w:right w:val="nil"/>
            </w:tcBorders>
            <w:shd w:val="clear" w:color="auto" w:fill="auto"/>
            <w:noWrap/>
            <w:vAlign w:val="bottom"/>
            <w:hideMark/>
          </w:tcPr>
          <w:p w:rsidRPr="009A1427" w:rsidR="00923C22" w:rsidP="00923C22" w:rsidRDefault="00923C22" w14:paraId="07EB6616" w14:textId="77777777">
            <w:pPr>
              <w:widowControl/>
              <w:autoSpaceDE/>
              <w:autoSpaceDN/>
              <w:adjustRightInd/>
              <w:jc w:val="left"/>
              <w:rPr>
                <w:b/>
                <w:bCs/>
                <w:sz w:val="12"/>
                <w:szCs w:val="12"/>
              </w:rPr>
            </w:pPr>
            <w:r w:rsidRPr="009A1427">
              <w:rPr>
                <w:b/>
                <w:bCs/>
                <w:sz w:val="12"/>
                <w:szCs w:val="12"/>
              </w:rPr>
              <w:t>Tax Exempt</w:t>
            </w:r>
          </w:p>
        </w:tc>
        <w:tc>
          <w:tcPr>
            <w:tcW w:w="763" w:type="dxa"/>
            <w:tcBorders>
              <w:top w:val="nil"/>
              <w:left w:val="nil"/>
              <w:bottom w:val="nil"/>
              <w:right w:val="nil"/>
            </w:tcBorders>
            <w:shd w:val="clear" w:color="auto" w:fill="auto"/>
            <w:noWrap/>
            <w:vAlign w:val="bottom"/>
            <w:hideMark/>
          </w:tcPr>
          <w:p w:rsidRPr="009A1427" w:rsidR="00923C22" w:rsidP="00923C22" w:rsidRDefault="00923C22" w14:paraId="6CB80E4A" w14:textId="77777777">
            <w:pPr>
              <w:widowControl/>
              <w:autoSpaceDE/>
              <w:autoSpaceDN/>
              <w:adjustRightInd/>
              <w:jc w:val="left"/>
              <w:rPr>
                <w:b/>
                <w:bCs/>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6C0924D7"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35D744F7" w14:textId="77777777">
            <w:pPr>
              <w:widowControl/>
              <w:autoSpaceDE/>
              <w:autoSpaceDN/>
              <w:adjustRightInd/>
              <w:jc w:val="left"/>
              <w:rPr>
                <w:sz w:val="12"/>
                <w:szCs w:val="12"/>
              </w:rPr>
            </w:pPr>
          </w:p>
        </w:tc>
        <w:tc>
          <w:tcPr>
            <w:tcW w:w="249" w:type="dxa"/>
            <w:tcBorders>
              <w:top w:val="nil"/>
              <w:left w:val="nil"/>
              <w:bottom w:val="nil"/>
              <w:right w:val="nil"/>
            </w:tcBorders>
            <w:shd w:val="clear" w:color="auto" w:fill="auto"/>
            <w:noWrap/>
            <w:vAlign w:val="bottom"/>
            <w:hideMark/>
          </w:tcPr>
          <w:p w:rsidRPr="009A1427" w:rsidR="00923C22" w:rsidP="00923C22" w:rsidRDefault="00923C22" w14:paraId="1E7D911F"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5235207C" w14:textId="77777777">
            <w:pPr>
              <w:widowControl/>
              <w:autoSpaceDE/>
              <w:autoSpaceDN/>
              <w:adjustRightInd/>
              <w:jc w:val="lef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5B2C2729"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47E7423C" w14:textId="77777777">
            <w:pPr>
              <w:widowControl/>
              <w:autoSpaceDE/>
              <w:autoSpaceDN/>
              <w:adjustRightInd/>
              <w:jc w:val="lef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0DE4D8AF" w14:textId="77777777">
            <w:pPr>
              <w:widowControl/>
              <w:autoSpaceDE/>
              <w:autoSpaceDN/>
              <w:adjustRightInd/>
              <w:jc w:val="left"/>
              <w:rPr>
                <w:sz w:val="12"/>
                <w:szCs w:val="12"/>
              </w:rPr>
            </w:pPr>
          </w:p>
        </w:tc>
        <w:tc>
          <w:tcPr>
            <w:tcW w:w="964" w:type="dxa"/>
            <w:tcBorders>
              <w:top w:val="nil"/>
              <w:left w:val="nil"/>
              <w:bottom w:val="nil"/>
              <w:right w:val="nil"/>
            </w:tcBorders>
            <w:shd w:val="clear" w:color="auto" w:fill="auto"/>
            <w:noWrap/>
            <w:vAlign w:val="bottom"/>
            <w:hideMark/>
          </w:tcPr>
          <w:p w:rsidRPr="009A1427" w:rsidR="00923C22" w:rsidP="00923C22" w:rsidRDefault="00923C22" w14:paraId="1F595FBB" w14:textId="77777777">
            <w:pPr>
              <w:widowControl/>
              <w:autoSpaceDE/>
              <w:autoSpaceDN/>
              <w:adjustRightInd/>
              <w:jc w:val="lef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42BA5E94" w14:textId="77777777">
            <w:pPr>
              <w:widowControl/>
              <w:autoSpaceDE/>
              <w:autoSpaceDN/>
              <w:adjustRightInd/>
              <w:jc w:val="left"/>
              <w:rPr>
                <w:sz w:val="12"/>
                <w:szCs w:val="12"/>
              </w:rPr>
            </w:pPr>
          </w:p>
        </w:tc>
        <w:tc>
          <w:tcPr>
            <w:tcW w:w="866" w:type="dxa"/>
            <w:tcBorders>
              <w:top w:val="nil"/>
              <w:left w:val="nil"/>
              <w:bottom w:val="nil"/>
              <w:right w:val="nil"/>
            </w:tcBorders>
            <w:shd w:val="clear" w:color="auto" w:fill="auto"/>
            <w:noWrap/>
            <w:vAlign w:val="bottom"/>
            <w:hideMark/>
          </w:tcPr>
          <w:p w:rsidRPr="009A1427" w:rsidR="00923C22" w:rsidP="00923C22" w:rsidRDefault="00923C22" w14:paraId="02CB1ED9"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456B1E75"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397C4E1E"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70CD96AF"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1A1AA3D9"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0B0C8172"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79CE9C12"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06465E72"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54A1F149" w14:textId="77777777">
            <w:pPr>
              <w:widowControl/>
              <w:autoSpaceDE/>
              <w:autoSpaceDN/>
              <w:adjustRightInd/>
              <w:jc w:val="left"/>
              <w:rPr>
                <w:sz w:val="12"/>
                <w:szCs w:val="12"/>
              </w:rPr>
            </w:pPr>
          </w:p>
        </w:tc>
      </w:tr>
      <w:tr w:rsidRPr="009A1427" w:rsidR="0048300E" w:rsidTr="00923C22" w14:paraId="69CC97C3" w14:textId="77777777">
        <w:trPr>
          <w:trHeight w:val="90"/>
        </w:trPr>
        <w:tc>
          <w:tcPr>
            <w:tcW w:w="1170" w:type="dxa"/>
            <w:tcBorders>
              <w:top w:val="nil"/>
              <w:left w:val="nil"/>
              <w:bottom w:val="nil"/>
              <w:right w:val="nil"/>
            </w:tcBorders>
            <w:shd w:val="clear" w:color="auto" w:fill="auto"/>
            <w:noWrap/>
            <w:vAlign w:val="bottom"/>
            <w:hideMark/>
          </w:tcPr>
          <w:p w:rsidRPr="00484D82" w:rsidR="0048300E" w:rsidP="0048300E" w:rsidRDefault="0048300E" w14:paraId="4F40AE64" w14:textId="77777777">
            <w:pPr>
              <w:widowControl/>
              <w:autoSpaceDE/>
              <w:autoSpaceDN/>
              <w:adjustRightInd/>
              <w:jc w:val="left"/>
              <w:rPr>
                <w:sz w:val="12"/>
                <w:szCs w:val="12"/>
              </w:rPr>
            </w:pPr>
            <w:r w:rsidRPr="00484D82">
              <w:rPr>
                <w:sz w:val="12"/>
                <w:szCs w:val="12"/>
              </w:rPr>
              <w:t>2016 Series A-1</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7F6F0C8A" w14:textId="77777777">
            <w:pPr>
              <w:widowControl/>
              <w:autoSpaceDE/>
              <w:autoSpaceDN/>
              <w:adjustRightInd/>
              <w:jc w:val="right"/>
              <w:rPr>
                <w:sz w:val="12"/>
                <w:szCs w:val="12"/>
              </w:rPr>
            </w:pPr>
            <w:r w:rsidRPr="00484D82">
              <w:rPr>
                <w:sz w:val="12"/>
                <w:szCs w:val="12"/>
              </w:rPr>
              <w:t>6/30/2016</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6240FEA5" w14:textId="77777777">
            <w:pPr>
              <w:widowControl/>
              <w:autoSpaceDE/>
              <w:autoSpaceDN/>
              <w:adjustRightInd/>
              <w:jc w:val="right"/>
              <w:rPr>
                <w:sz w:val="12"/>
                <w:szCs w:val="12"/>
              </w:rPr>
            </w:pPr>
            <w:r w:rsidRPr="00484D82">
              <w:rPr>
                <w:sz w:val="12"/>
                <w:szCs w:val="12"/>
              </w:rPr>
              <w:t xml:space="preserve">$30,000,000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7275EB29" w14:textId="19F318E0">
            <w:pPr>
              <w:widowControl/>
              <w:autoSpaceDE/>
              <w:autoSpaceDN/>
              <w:adjustRightInd/>
              <w:jc w:val="right"/>
              <w:rPr>
                <w:sz w:val="12"/>
                <w:szCs w:val="12"/>
              </w:rPr>
            </w:pPr>
            <w:r w:rsidRPr="00CD04BA">
              <w:rPr>
                <w:sz w:val="12"/>
                <w:szCs w:val="12"/>
              </w:rPr>
              <w:t>685,000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30CB8153"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CD04BA" w:rsidR="0048300E" w:rsidP="0048300E" w:rsidRDefault="0048300E" w14:paraId="0A2D29B1" w14:textId="6DA4CC2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01A52B4B"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387A945E" w14:textId="0E173869">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519AB5DC"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373FAAD0" w14:textId="55DFD4BB">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2088CB00"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3AE085E2" w14:textId="3227234D">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527D027F" w14:textId="20CC2DE0">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20D5A259" w14:textId="68E53843">
            <w:pPr>
              <w:widowControl/>
              <w:autoSpaceDE/>
              <w:autoSpaceDN/>
              <w:adjustRightInd/>
              <w:jc w:val="right"/>
              <w:rPr>
                <w:sz w:val="12"/>
                <w:szCs w:val="12"/>
              </w:rPr>
            </w:pPr>
            <w:r w:rsidRPr="00EE29C6">
              <w:rPr>
                <w:sz w:val="12"/>
                <w:szCs w:val="12"/>
              </w:rPr>
              <w:t>685,000</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3EC1EC80" w14:textId="62C21AEC">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309ABED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B9938B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021BE2B"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9892A80"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0E3030CB" w14:textId="77777777">
            <w:pPr>
              <w:widowControl/>
              <w:autoSpaceDE/>
              <w:autoSpaceDN/>
              <w:adjustRightInd/>
              <w:jc w:val="right"/>
              <w:rPr>
                <w:sz w:val="12"/>
                <w:szCs w:val="12"/>
              </w:rPr>
            </w:pPr>
            <w:r w:rsidRPr="009A1427">
              <w:rPr>
                <w:sz w:val="12"/>
                <w:szCs w:val="12"/>
              </w:rPr>
              <w:t>-</w:t>
            </w:r>
          </w:p>
        </w:tc>
      </w:tr>
      <w:tr w:rsidRPr="009A1427" w:rsidR="0048300E" w:rsidTr="00923C22" w14:paraId="1DEB8D00" w14:textId="77777777">
        <w:trPr>
          <w:trHeight w:val="63"/>
        </w:trPr>
        <w:tc>
          <w:tcPr>
            <w:tcW w:w="1170" w:type="dxa"/>
            <w:tcBorders>
              <w:top w:val="nil"/>
              <w:left w:val="nil"/>
              <w:bottom w:val="nil"/>
              <w:right w:val="nil"/>
            </w:tcBorders>
            <w:shd w:val="clear" w:color="auto" w:fill="auto"/>
            <w:noWrap/>
            <w:vAlign w:val="bottom"/>
            <w:hideMark/>
          </w:tcPr>
          <w:p w:rsidRPr="00484D82" w:rsidR="0048300E" w:rsidP="0048300E" w:rsidRDefault="0048300E" w14:paraId="68E700A2" w14:textId="77777777">
            <w:pPr>
              <w:widowControl/>
              <w:autoSpaceDE/>
              <w:autoSpaceDN/>
              <w:adjustRightInd/>
              <w:jc w:val="left"/>
              <w:rPr>
                <w:sz w:val="12"/>
                <w:szCs w:val="12"/>
              </w:rPr>
            </w:pPr>
            <w:r w:rsidRPr="00484D82">
              <w:rPr>
                <w:sz w:val="12"/>
                <w:szCs w:val="12"/>
              </w:rPr>
              <w:t>2016 Series A-2</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01103D2B" w14:textId="77777777">
            <w:pPr>
              <w:widowControl/>
              <w:autoSpaceDE/>
              <w:autoSpaceDN/>
              <w:adjustRightInd/>
              <w:jc w:val="right"/>
              <w:rPr>
                <w:sz w:val="12"/>
                <w:szCs w:val="12"/>
              </w:rPr>
            </w:pPr>
            <w:r w:rsidRPr="00484D82">
              <w:rPr>
                <w:sz w:val="12"/>
                <w:szCs w:val="12"/>
              </w:rPr>
              <w:t>6/30/2016</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670746D4" w14:textId="77777777">
            <w:pPr>
              <w:widowControl/>
              <w:autoSpaceDE/>
              <w:autoSpaceDN/>
              <w:adjustRightInd/>
              <w:jc w:val="right"/>
              <w:rPr>
                <w:sz w:val="12"/>
                <w:szCs w:val="12"/>
              </w:rPr>
            </w:pPr>
            <w:r w:rsidRPr="00484D82">
              <w:rPr>
                <w:sz w:val="12"/>
                <w:szCs w:val="12"/>
              </w:rPr>
              <w:t xml:space="preserve">$49,555,000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1D35134D" w14:textId="1B9E325E">
            <w:pPr>
              <w:widowControl/>
              <w:autoSpaceDE/>
              <w:autoSpaceDN/>
              <w:adjustRightInd/>
              <w:jc w:val="right"/>
              <w:rPr>
                <w:sz w:val="12"/>
                <w:szCs w:val="12"/>
              </w:rPr>
            </w:pPr>
            <w:r w:rsidRPr="00CD04BA">
              <w:rPr>
                <w:sz w:val="12"/>
                <w:szCs w:val="12"/>
              </w:rPr>
              <w:t>1,125,000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18323F93"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CD04BA" w:rsidR="0048300E" w:rsidP="0048300E" w:rsidRDefault="0048300E" w14:paraId="5ABDB2A2" w14:textId="42F5815C">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3A7ACE96"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14543340" w14:textId="28218079">
            <w:pPr>
              <w:widowControl/>
              <w:autoSpaceDE/>
              <w:autoSpaceDN/>
              <w:adjustRightInd/>
              <w:jc w:val="right"/>
              <w:rPr>
                <w:sz w:val="12"/>
                <w:szCs w:val="12"/>
              </w:rPr>
            </w:pPr>
            <w:r w:rsidRPr="00CD04BA">
              <w:rPr>
                <w:sz w:val="12"/>
                <w:szCs w:val="12"/>
              </w:rPr>
              <w:t>1,125,000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7D3EE128"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7050C399" w14:textId="63C084B1">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656CBF63"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17F72E15" w14:textId="0DF9FB6E">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00AF8B70" w14:textId="61272B5D">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6984F6D1" w14:textId="2556B983">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2CFD936F" w14:textId="682919A9">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170DD0A9"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80A93E0"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18D7BFD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7E81957"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0E20DDD9" w14:textId="77777777">
            <w:pPr>
              <w:widowControl/>
              <w:autoSpaceDE/>
              <w:autoSpaceDN/>
              <w:adjustRightInd/>
              <w:jc w:val="right"/>
              <w:rPr>
                <w:sz w:val="12"/>
                <w:szCs w:val="12"/>
              </w:rPr>
            </w:pPr>
            <w:r w:rsidRPr="009A1427">
              <w:rPr>
                <w:sz w:val="12"/>
                <w:szCs w:val="12"/>
              </w:rPr>
              <w:t>-</w:t>
            </w:r>
          </w:p>
        </w:tc>
      </w:tr>
      <w:tr w:rsidRPr="009A1427" w:rsidR="0048300E" w:rsidTr="00923C22" w14:paraId="3BB825DE"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708CF132" w14:textId="77777777">
            <w:pPr>
              <w:widowControl/>
              <w:autoSpaceDE/>
              <w:autoSpaceDN/>
              <w:adjustRightInd/>
              <w:jc w:val="left"/>
              <w:rPr>
                <w:sz w:val="12"/>
                <w:szCs w:val="12"/>
              </w:rPr>
            </w:pPr>
            <w:r w:rsidRPr="00484D82">
              <w:rPr>
                <w:sz w:val="12"/>
                <w:szCs w:val="12"/>
              </w:rPr>
              <w:t>2017 Series A-2</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6A0DEDD8" w14:textId="77777777">
            <w:pPr>
              <w:widowControl/>
              <w:autoSpaceDE/>
              <w:autoSpaceDN/>
              <w:adjustRightInd/>
              <w:jc w:val="right"/>
              <w:rPr>
                <w:sz w:val="12"/>
                <w:szCs w:val="12"/>
              </w:rPr>
            </w:pPr>
            <w:r w:rsidRPr="00484D82">
              <w:rPr>
                <w:sz w:val="12"/>
                <w:szCs w:val="12"/>
              </w:rPr>
              <w:t>1/25/2017</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336A59DA" w14:textId="77777777">
            <w:pPr>
              <w:widowControl/>
              <w:autoSpaceDE/>
              <w:autoSpaceDN/>
              <w:adjustRightInd/>
              <w:jc w:val="right"/>
              <w:rPr>
                <w:sz w:val="12"/>
                <w:szCs w:val="12"/>
              </w:rPr>
            </w:pPr>
            <w:r w:rsidRPr="00484D82">
              <w:rPr>
                <w:sz w:val="12"/>
                <w:szCs w:val="12"/>
              </w:rPr>
              <w:t xml:space="preserve">$14,070,000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1205C6A2" w14:textId="383CC77A">
            <w:pPr>
              <w:widowControl/>
              <w:autoSpaceDE/>
              <w:autoSpaceDN/>
              <w:adjustRightInd/>
              <w:jc w:val="right"/>
              <w:rPr>
                <w:sz w:val="12"/>
                <w:szCs w:val="12"/>
              </w:rPr>
            </w:pPr>
            <w:r>
              <w:rPr>
                <w:sz w:val="12"/>
                <w:szCs w:val="12"/>
              </w:rPr>
              <w:t>-</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02A1DE71"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CD04BA" w:rsidR="0048300E" w:rsidP="0048300E" w:rsidRDefault="0048300E" w14:paraId="16DF4143" w14:textId="244B2613">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0DD76144"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1ABB217B" w14:textId="48828090">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80032DE"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5AAC378D" w14:textId="44B0E768">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BDC1250"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64B744BA" w14:textId="567F7B4B">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65D48037" w14:textId="6E84041C">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2447A65C" w14:textId="08C1C5D3">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6BC5CBDF" w14:textId="002F98B4">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1E2B098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741A0A1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602D49A"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5A2D84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635129A9" w14:textId="77777777">
            <w:pPr>
              <w:widowControl/>
              <w:autoSpaceDE/>
              <w:autoSpaceDN/>
              <w:adjustRightInd/>
              <w:jc w:val="right"/>
              <w:rPr>
                <w:sz w:val="12"/>
                <w:szCs w:val="12"/>
              </w:rPr>
            </w:pPr>
            <w:r w:rsidRPr="009A1427">
              <w:rPr>
                <w:sz w:val="12"/>
                <w:szCs w:val="12"/>
              </w:rPr>
              <w:t>-</w:t>
            </w:r>
          </w:p>
        </w:tc>
      </w:tr>
      <w:tr w:rsidRPr="009A1427" w:rsidR="0048300E" w:rsidTr="00923C22" w14:paraId="6ED4342D" w14:textId="77777777">
        <w:trPr>
          <w:trHeight w:val="108"/>
        </w:trPr>
        <w:tc>
          <w:tcPr>
            <w:tcW w:w="1170" w:type="dxa"/>
            <w:tcBorders>
              <w:top w:val="nil"/>
              <w:left w:val="nil"/>
              <w:bottom w:val="nil"/>
              <w:right w:val="nil"/>
            </w:tcBorders>
            <w:shd w:val="clear" w:color="auto" w:fill="auto"/>
            <w:noWrap/>
            <w:vAlign w:val="bottom"/>
            <w:hideMark/>
          </w:tcPr>
          <w:p w:rsidRPr="00484D82" w:rsidR="0048300E" w:rsidP="0048300E" w:rsidRDefault="0048300E" w14:paraId="22917796" w14:textId="77777777">
            <w:pPr>
              <w:widowControl/>
              <w:autoSpaceDE/>
              <w:autoSpaceDN/>
              <w:adjustRightInd/>
              <w:jc w:val="left"/>
              <w:rPr>
                <w:sz w:val="12"/>
                <w:szCs w:val="12"/>
              </w:rPr>
            </w:pPr>
            <w:r w:rsidRPr="00484D82">
              <w:rPr>
                <w:sz w:val="12"/>
                <w:szCs w:val="12"/>
              </w:rPr>
              <w:t>2017 Series B-1</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41A58956" w14:textId="77777777">
            <w:pPr>
              <w:widowControl/>
              <w:autoSpaceDE/>
              <w:autoSpaceDN/>
              <w:adjustRightInd/>
              <w:jc w:val="right"/>
              <w:rPr>
                <w:sz w:val="12"/>
                <w:szCs w:val="12"/>
              </w:rPr>
            </w:pPr>
            <w:r w:rsidRPr="00484D82">
              <w:rPr>
                <w:sz w:val="12"/>
                <w:szCs w:val="12"/>
              </w:rPr>
              <w:t>7/26/2017</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06928BE7" w14:textId="77777777">
            <w:pPr>
              <w:widowControl/>
              <w:autoSpaceDE/>
              <w:autoSpaceDN/>
              <w:adjustRightInd/>
              <w:jc w:val="right"/>
              <w:rPr>
                <w:sz w:val="12"/>
                <w:szCs w:val="12"/>
              </w:rPr>
            </w:pPr>
            <w:r w:rsidRPr="00484D82">
              <w:rPr>
                <w:sz w:val="12"/>
                <w:szCs w:val="12"/>
              </w:rPr>
              <w:t xml:space="preserve">$22,000,000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3F0DC05C" w14:textId="61AC9C8B">
            <w:pPr>
              <w:widowControl/>
              <w:autoSpaceDE/>
              <w:autoSpaceDN/>
              <w:adjustRightInd/>
              <w:jc w:val="right"/>
              <w:rPr>
                <w:sz w:val="12"/>
                <w:szCs w:val="12"/>
              </w:rPr>
            </w:pPr>
            <w:r w:rsidRPr="00CD04BA">
              <w:rPr>
                <w:sz w:val="12"/>
                <w:szCs w:val="12"/>
              </w:rPr>
              <w:t>6,395,000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0D99600B"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CD04BA" w:rsidR="0048300E" w:rsidP="0048300E" w:rsidRDefault="0048300E" w14:paraId="50063892" w14:textId="53109BB9">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9B52A2F"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56200B30" w14:textId="59F61ECE">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265A2088"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6A9ED10E" w14:textId="115D40AD">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69C6E325"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0E04F336" w14:textId="70D6D954">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6EF32040" w14:textId="2494DC08">
            <w:pPr>
              <w:widowControl/>
              <w:autoSpaceDE/>
              <w:autoSpaceDN/>
              <w:adjustRightInd/>
              <w:jc w:val="right"/>
              <w:rPr>
                <w:sz w:val="12"/>
                <w:szCs w:val="12"/>
              </w:rPr>
            </w:pPr>
            <w:r w:rsidRPr="00EE29C6">
              <w:rPr>
                <w:sz w:val="12"/>
                <w:szCs w:val="12"/>
              </w:rPr>
              <w:t>3,155,000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00293BF4" w14:textId="48CFF080">
            <w:pPr>
              <w:widowControl/>
              <w:autoSpaceDE/>
              <w:autoSpaceDN/>
              <w:adjustRightInd/>
              <w:jc w:val="right"/>
              <w:rPr>
                <w:sz w:val="12"/>
                <w:szCs w:val="12"/>
              </w:rPr>
            </w:pPr>
            <w:r>
              <w:rPr>
                <w:sz w:val="12"/>
                <w:szCs w:val="12"/>
              </w:rPr>
              <w:t>3,240,000</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48EDA721" w14:textId="509C8BF9">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60316C43"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6313354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72F0F1E9"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07D6C29"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06AB25C2" w14:textId="77777777">
            <w:pPr>
              <w:widowControl/>
              <w:autoSpaceDE/>
              <w:autoSpaceDN/>
              <w:adjustRightInd/>
              <w:jc w:val="right"/>
              <w:rPr>
                <w:sz w:val="12"/>
                <w:szCs w:val="12"/>
              </w:rPr>
            </w:pPr>
            <w:r w:rsidRPr="009A1427">
              <w:rPr>
                <w:sz w:val="12"/>
                <w:szCs w:val="12"/>
              </w:rPr>
              <w:t>-</w:t>
            </w:r>
          </w:p>
        </w:tc>
      </w:tr>
      <w:tr w:rsidRPr="009A1427" w:rsidR="0048300E" w:rsidTr="00923C22" w14:paraId="071F8B75" w14:textId="77777777">
        <w:trPr>
          <w:trHeight w:val="126"/>
        </w:trPr>
        <w:tc>
          <w:tcPr>
            <w:tcW w:w="1170" w:type="dxa"/>
            <w:tcBorders>
              <w:top w:val="nil"/>
              <w:left w:val="nil"/>
              <w:bottom w:val="nil"/>
              <w:right w:val="nil"/>
            </w:tcBorders>
            <w:shd w:val="clear" w:color="auto" w:fill="auto"/>
            <w:noWrap/>
            <w:vAlign w:val="bottom"/>
            <w:hideMark/>
          </w:tcPr>
          <w:p w:rsidRPr="00484D82" w:rsidR="0048300E" w:rsidP="0048300E" w:rsidRDefault="0048300E" w14:paraId="5DE2A519" w14:textId="77777777">
            <w:pPr>
              <w:widowControl/>
              <w:autoSpaceDE/>
              <w:autoSpaceDN/>
              <w:adjustRightInd/>
              <w:jc w:val="left"/>
              <w:rPr>
                <w:sz w:val="12"/>
                <w:szCs w:val="12"/>
              </w:rPr>
            </w:pPr>
            <w:r w:rsidRPr="00484D82">
              <w:rPr>
                <w:sz w:val="12"/>
                <w:szCs w:val="12"/>
              </w:rPr>
              <w:t>2017 Series B-2</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5AE48892" w14:textId="77777777">
            <w:pPr>
              <w:widowControl/>
              <w:autoSpaceDE/>
              <w:autoSpaceDN/>
              <w:adjustRightInd/>
              <w:jc w:val="right"/>
              <w:rPr>
                <w:sz w:val="12"/>
                <w:szCs w:val="12"/>
              </w:rPr>
            </w:pPr>
            <w:r w:rsidRPr="00484D82">
              <w:rPr>
                <w:sz w:val="12"/>
                <w:szCs w:val="12"/>
              </w:rPr>
              <w:t>7/26/2017</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0C5836BD" w14:textId="77777777">
            <w:pPr>
              <w:widowControl/>
              <w:autoSpaceDE/>
              <w:autoSpaceDN/>
              <w:adjustRightInd/>
              <w:jc w:val="right"/>
              <w:rPr>
                <w:sz w:val="12"/>
                <w:szCs w:val="12"/>
              </w:rPr>
            </w:pPr>
            <w:r w:rsidRPr="00484D82">
              <w:rPr>
                <w:sz w:val="12"/>
                <w:szCs w:val="12"/>
              </w:rPr>
              <w:t xml:space="preserve">$15,740,000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2F38A124" w14:textId="7DC4B9E8">
            <w:pPr>
              <w:widowControl/>
              <w:autoSpaceDE/>
              <w:autoSpaceDN/>
              <w:adjustRightInd/>
              <w:jc w:val="right"/>
              <w:rPr>
                <w:sz w:val="12"/>
                <w:szCs w:val="12"/>
              </w:rPr>
            </w:pPr>
            <w:r w:rsidRPr="00CD04BA">
              <w:rPr>
                <w:sz w:val="12"/>
                <w:szCs w:val="12"/>
              </w:rPr>
              <w:t>1,035,000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2A8AA990"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CD04BA" w:rsidR="0048300E" w:rsidP="0048300E" w:rsidRDefault="0048300E" w14:paraId="2497B7BB" w14:textId="5CE813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6B70402C"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4C5ABD83" w14:textId="3079DBFC">
            <w:pPr>
              <w:widowControl/>
              <w:autoSpaceDE/>
              <w:autoSpaceDN/>
              <w:adjustRightInd/>
              <w:jc w:val="right"/>
              <w:rPr>
                <w:sz w:val="12"/>
                <w:szCs w:val="12"/>
              </w:rPr>
            </w:pPr>
            <w:r w:rsidRPr="00CD04BA">
              <w:rPr>
                <w:sz w:val="12"/>
                <w:szCs w:val="12"/>
              </w:rPr>
              <w:t>1,035,000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50252939"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3CAB595B" w14:textId="6ED15C64">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48FD63F"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6D1AEEB9" w14:textId="31640F22">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3D45261E" w14:textId="69C7AED8">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20D430EE" w14:textId="195E8F1B">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0765E0BF" w14:textId="556D4424">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6A6BC165"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2E740DE"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CB0642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6002941"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5F3B75B5" w14:textId="77777777">
            <w:pPr>
              <w:widowControl/>
              <w:autoSpaceDE/>
              <w:autoSpaceDN/>
              <w:adjustRightInd/>
              <w:jc w:val="right"/>
              <w:rPr>
                <w:sz w:val="12"/>
                <w:szCs w:val="12"/>
              </w:rPr>
            </w:pPr>
            <w:r w:rsidRPr="009A1427">
              <w:rPr>
                <w:sz w:val="12"/>
                <w:szCs w:val="12"/>
              </w:rPr>
              <w:t>-</w:t>
            </w:r>
          </w:p>
        </w:tc>
      </w:tr>
      <w:tr w:rsidRPr="009A1427" w:rsidR="0048300E" w:rsidTr="00923C22" w14:paraId="7D19536A" w14:textId="77777777">
        <w:trPr>
          <w:trHeight w:val="54"/>
        </w:trPr>
        <w:tc>
          <w:tcPr>
            <w:tcW w:w="1170" w:type="dxa"/>
            <w:tcBorders>
              <w:top w:val="nil"/>
              <w:left w:val="nil"/>
              <w:bottom w:val="nil"/>
              <w:right w:val="nil"/>
            </w:tcBorders>
            <w:shd w:val="clear" w:color="auto" w:fill="auto"/>
            <w:noWrap/>
            <w:vAlign w:val="bottom"/>
            <w:hideMark/>
          </w:tcPr>
          <w:p w:rsidRPr="00484D82" w:rsidR="0048300E" w:rsidP="0048300E" w:rsidRDefault="0048300E" w14:paraId="6035ADCA" w14:textId="77777777">
            <w:pPr>
              <w:widowControl/>
              <w:autoSpaceDE/>
              <w:autoSpaceDN/>
              <w:adjustRightInd/>
              <w:jc w:val="left"/>
              <w:rPr>
                <w:sz w:val="12"/>
                <w:szCs w:val="12"/>
              </w:rPr>
            </w:pPr>
            <w:r w:rsidRPr="00484D82">
              <w:rPr>
                <w:sz w:val="12"/>
                <w:szCs w:val="12"/>
              </w:rPr>
              <w:t>2017 Series B-3</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0659179F" w14:textId="77777777">
            <w:pPr>
              <w:widowControl/>
              <w:autoSpaceDE/>
              <w:autoSpaceDN/>
              <w:adjustRightInd/>
              <w:jc w:val="right"/>
              <w:rPr>
                <w:sz w:val="12"/>
                <w:szCs w:val="12"/>
              </w:rPr>
            </w:pPr>
            <w:r w:rsidRPr="00484D82">
              <w:rPr>
                <w:sz w:val="12"/>
                <w:szCs w:val="12"/>
              </w:rPr>
              <w:t>7/26/2017</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22EBDE32" w14:textId="77777777">
            <w:pPr>
              <w:widowControl/>
              <w:autoSpaceDE/>
              <w:autoSpaceDN/>
              <w:adjustRightInd/>
              <w:jc w:val="right"/>
              <w:rPr>
                <w:sz w:val="12"/>
                <w:szCs w:val="12"/>
              </w:rPr>
            </w:pPr>
            <w:r w:rsidRPr="00484D82">
              <w:rPr>
                <w:sz w:val="12"/>
                <w:szCs w:val="12"/>
              </w:rPr>
              <w:t xml:space="preserve">$23,000,000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4DB7D6D1" w14:textId="135735EC">
            <w:pPr>
              <w:widowControl/>
              <w:autoSpaceDE/>
              <w:autoSpaceDN/>
              <w:adjustRightInd/>
              <w:jc w:val="right"/>
              <w:rPr>
                <w:sz w:val="12"/>
                <w:szCs w:val="12"/>
              </w:rPr>
            </w:pPr>
            <w:r w:rsidRPr="00CD04BA">
              <w:rPr>
                <w:sz w:val="12"/>
                <w:szCs w:val="12"/>
              </w:rPr>
              <w:t>23,000,000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20B8E1AD"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CD04BA" w:rsidR="0048300E" w:rsidP="0048300E" w:rsidRDefault="0048300E" w14:paraId="6FB663D7" w14:textId="4DCF03DE">
            <w:pPr>
              <w:widowControl/>
              <w:autoSpaceDE/>
              <w:autoSpaceDN/>
              <w:adjustRightInd/>
              <w:jc w:val="right"/>
              <w:rPr>
                <w:sz w:val="12"/>
                <w:szCs w:val="12"/>
              </w:rPr>
            </w:pPr>
            <w:r w:rsidRPr="00CD04BA">
              <w:rPr>
                <w:sz w:val="12"/>
                <w:szCs w:val="12"/>
              </w:rPr>
              <w:t>23,000,000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43211F93"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68C5169A" w14:textId="6A932A5C">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6C0107BB"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7E927F73" w14:textId="4FFE9DD0">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55305BFB"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3B459A1B" w14:textId="156FD032">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7835C330" w14:textId="0F27C57C">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418E1048" w14:textId="7FC10F31">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02138023" w14:textId="276DF6FF">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41277A5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28DE561"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8A58F6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27C5CF5"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3806EF5B" w14:textId="77777777">
            <w:pPr>
              <w:widowControl/>
              <w:autoSpaceDE/>
              <w:autoSpaceDN/>
              <w:adjustRightInd/>
              <w:jc w:val="right"/>
              <w:rPr>
                <w:sz w:val="12"/>
                <w:szCs w:val="12"/>
              </w:rPr>
            </w:pPr>
            <w:r w:rsidRPr="009A1427">
              <w:rPr>
                <w:sz w:val="12"/>
                <w:szCs w:val="12"/>
              </w:rPr>
              <w:t>-</w:t>
            </w:r>
          </w:p>
        </w:tc>
      </w:tr>
      <w:tr w:rsidRPr="009A1427" w:rsidR="0048300E" w:rsidTr="00923C22" w14:paraId="7379FD57" w14:textId="77777777">
        <w:trPr>
          <w:trHeight w:val="117"/>
        </w:trPr>
        <w:tc>
          <w:tcPr>
            <w:tcW w:w="1170" w:type="dxa"/>
            <w:tcBorders>
              <w:top w:val="nil"/>
              <w:left w:val="nil"/>
              <w:bottom w:val="nil"/>
              <w:right w:val="nil"/>
            </w:tcBorders>
            <w:shd w:val="clear" w:color="auto" w:fill="auto"/>
            <w:noWrap/>
            <w:vAlign w:val="bottom"/>
            <w:hideMark/>
          </w:tcPr>
          <w:p w:rsidRPr="00484D82" w:rsidR="0048300E" w:rsidP="0048300E" w:rsidRDefault="0048300E" w14:paraId="4FA21626" w14:textId="77777777">
            <w:pPr>
              <w:widowControl/>
              <w:autoSpaceDE/>
              <w:autoSpaceDN/>
              <w:adjustRightInd/>
              <w:jc w:val="left"/>
              <w:rPr>
                <w:sz w:val="12"/>
                <w:szCs w:val="12"/>
              </w:rPr>
            </w:pPr>
            <w:r w:rsidRPr="00484D82">
              <w:rPr>
                <w:sz w:val="12"/>
                <w:szCs w:val="12"/>
              </w:rPr>
              <w:t>2017 Series C-1</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18388766" w14:textId="77777777">
            <w:pPr>
              <w:widowControl/>
              <w:autoSpaceDE/>
              <w:autoSpaceDN/>
              <w:adjustRightInd/>
              <w:jc w:val="right"/>
              <w:rPr>
                <w:sz w:val="12"/>
                <w:szCs w:val="12"/>
              </w:rPr>
            </w:pPr>
            <w:r w:rsidRPr="00484D82">
              <w:rPr>
                <w:sz w:val="12"/>
                <w:szCs w:val="12"/>
              </w:rPr>
              <w:t>12/21/2017</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4BAF147E" w14:textId="77777777">
            <w:pPr>
              <w:widowControl/>
              <w:autoSpaceDE/>
              <w:autoSpaceDN/>
              <w:adjustRightInd/>
              <w:jc w:val="right"/>
              <w:rPr>
                <w:sz w:val="12"/>
                <w:szCs w:val="12"/>
              </w:rPr>
            </w:pPr>
            <w:r w:rsidRPr="00484D82">
              <w:rPr>
                <w:sz w:val="12"/>
                <w:szCs w:val="12"/>
              </w:rPr>
              <w:t xml:space="preserve">$14,295,000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16B207B5" w14:textId="39ECFBD3">
            <w:pPr>
              <w:widowControl/>
              <w:autoSpaceDE/>
              <w:autoSpaceDN/>
              <w:adjustRightInd/>
              <w:jc w:val="right"/>
              <w:rPr>
                <w:sz w:val="12"/>
                <w:szCs w:val="12"/>
              </w:rPr>
            </w:pPr>
            <w:r w:rsidRPr="00CD04BA">
              <w:rPr>
                <w:sz w:val="12"/>
                <w:szCs w:val="12"/>
              </w:rPr>
              <w:t>4,545,000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46DE6DBD"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CD04BA" w:rsidR="0048300E" w:rsidP="0048300E" w:rsidRDefault="0048300E" w14:paraId="5E24D455" w14:textId="567C79A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45F2B791"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0B7904BB" w14:textId="14D126FE">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3CB71F40"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58369F42" w14:textId="6E70D9AD">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42888BFB"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0B6EF055" w14:textId="69024BA9">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3A069FAE" w14:textId="6B27E1AB">
            <w:pPr>
              <w:widowControl/>
              <w:autoSpaceDE/>
              <w:autoSpaceDN/>
              <w:adjustRightInd/>
              <w:jc w:val="right"/>
              <w:rPr>
                <w:sz w:val="12"/>
                <w:szCs w:val="12"/>
              </w:rPr>
            </w:pPr>
            <w:r w:rsidRPr="00EE29C6">
              <w:rPr>
                <w:sz w:val="12"/>
                <w:szCs w:val="12"/>
              </w:rPr>
              <w:t>770,000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2B28B5E5" w14:textId="6EA9D3B0">
            <w:pPr>
              <w:widowControl/>
              <w:autoSpaceDE/>
              <w:autoSpaceDN/>
              <w:adjustRightInd/>
              <w:jc w:val="right"/>
              <w:rPr>
                <w:sz w:val="12"/>
                <w:szCs w:val="12"/>
              </w:rPr>
            </w:pPr>
            <w:r w:rsidRPr="00EE29C6">
              <w:rPr>
                <w:sz w:val="12"/>
                <w:szCs w:val="12"/>
              </w:rPr>
              <w:t>3,775,000</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53D6EA4E" w14:textId="303C4F73">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76E7A38D"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F7A43A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082E33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8549F7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21772959" w14:textId="77777777">
            <w:pPr>
              <w:widowControl/>
              <w:autoSpaceDE/>
              <w:autoSpaceDN/>
              <w:adjustRightInd/>
              <w:jc w:val="right"/>
              <w:rPr>
                <w:sz w:val="12"/>
                <w:szCs w:val="12"/>
              </w:rPr>
            </w:pPr>
            <w:r w:rsidRPr="009A1427">
              <w:rPr>
                <w:sz w:val="12"/>
                <w:szCs w:val="12"/>
              </w:rPr>
              <w:t>-</w:t>
            </w:r>
          </w:p>
        </w:tc>
      </w:tr>
      <w:tr w:rsidRPr="009A1427" w:rsidR="0048300E" w:rsidTr="00923C22" w14:paraId="147AF0D0"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29F8F3C9" w14:textId="77777777">
            <w:pPr>
              <w:widowControl/>
              <w:autoSpaceDE/>
              <w:autoSpaceDN/>
              <w:adjustRightInd/>
              <w:jc w:val="left"/>
              <w:rPr>
                <w:sz w:val="12"/>
                <w:szCs w:val="12"/>
              </w:rPr>
            </w:pPr>
            <w:r w:rsidRPr="00484D82">
              <w:rPr>
                <w:sz w:val="12"/>
                <w:szCs w:val="12"/>
              </w:rPr>
              <w:t>2017 Series C-3</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4EAD1F30" w14:textId="77777777">
            <w:pPr>
              <w:widowControl/>
              <w:autoSpaceDE/>
              <w:autoSpaceDN/>
              <w:adjustRightInd/>
              <w:jc w:val="right"/>
              <w:rPr>
                <w:sz w:val="12"/>
                <w:szCs w:val="12"/>
              </w:rPr>
            </w:pPr>
            <w:r w:rsidRPr="00484D82">
              <w:rPr>
                <w:sz w:val="12"/>
                <w:szCs w:val="12"/>
              </w:rPr>
              <w:t>12/21/2017</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629264FA" w14:textId="77777777">
            <w:pPr>
              <w:widowControl/>
              <w:autoSpaceDE/>
              <w:autoSpaceDN/>
              <w:adjustRightInd/>
              <w:jc w:val="right"/>
              <w:rPr>
                <w:sz w:val="12"/>
                <w:szCs w:val="12"/>
              </w:rPr>
            </w:pPr>
            <w:r w:rsidRPr="00484D82">
              <w:rPr>
                <w:sz w:val="12"/>
                <w:szCs w:val="12"/>
              </w:rPr>
              <w:t xml:space="preserve">$20,705,000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2538C448" w14:textId="49EA5946">
            <w:pPr>
              <w:widowControl/>
              <w:autoSpaceDE/>
              <w:autoSpaceDN/>
              <w:adjustRightInd/>
              <w:jc w:val="right"/>
              <w:rPr>
                <w:sz w:val="12"/>
                <w:szCs w:val="12"/>
              </w:rPr>
            </w:pPr>
            <w:r w:rsidRPr="00CD04BA">
              <w:rPr>
                <w:sz w:val="12"/>
                <w:szCs w:val="12"/>
              </w:rPr>
              <w:t>20,705,000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0DCEC27F"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CD04BA" w:rsidR="0048300E" w:rsidP="0048300E" w:rsidRDefault="0048300E" w14:paraId="5008286D" w14:textId="6EDB7CF5">
            <w:pPr>
              <w:widowControl/>
              <w:autoSpaceDE/>
              <w:autoSpaceDN/>
              <w:adjustRightInd/>
              <w:jc w:val="right"/>
              <w:rPr>
                <w:sz w:val="12"/>
                <w:szCs w:val="12"/>
              </w:rPr>
            </w:pPr>
            <w:r w:rsidRPr="00CD04BA">
              <w:rPr>
                <w:sz w:val="12"/>
                <w:szCs w:val="12"/>
              </w:rPr>
              <w:t>20,705,000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6403B077"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7C95C162" w14:textId="23272986">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828CBFB"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70262DEE" w14:textId="283F7760">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03BCE3D3"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007CB98C" w14:textId="000CC7EF">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4BE6E38F" w14:textId="3FD5B7CE">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73B4CB86" w14:textId="676DE6F0">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79F0D288" w14:textId="0A885012">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26C9992E"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1F06313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B9B9520"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AB4CDA9"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7542887C" w14:textId="77777777">
            <w:pPr>
              <w:widowControl/>
              <w:autoSpaceDE/>
              <w:autoSpaceDN/>
              <w:adjustRightInd/>
              <w:jc w:val="right"/>
              <w:rPr>
                <w:sz w:val="12"/>
                <w:szCs w:val="12"/>
              </w:rPr>
            </w:pPr>
            <w:r w:rsidRPr="009A1427">
              <w:rPr>
                <w:sz w:val="12"/>
                <w:szCs w:val="12"/>
              </w:rPr>
              <w:t>-</w:t>
            </w:r>
          </w:p>
        </w:tc>
      </w:tr>
      <w:tr w:rsidRPr="009A1427" w:rsidR="0048300E" w:rsidTr="00923C22" w14:paraId="0AA1C794"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4B752777" w14:textId="77777777">
            <w:pPr>
              <w:widowControl/>
              <w:autoSpaceDE/>
              <w:autoSpaceDN/>
              <w:adjustRightInd/>
              <w:jc w:val="left"/>
              <w:rPr>
                <w:sz w:val="12"/>
                <w:szCs w:val="12"/>
              </w:rPr>
            </w:pPr>
            <w:r w:rsidRPr="00484D82">
              <w:rPr>
                <w:sz w:val="12"/>
                <w:szCs w:val="12"/>
              </w:rPr>
              <w:t>2018 Series A</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6877DA24" w14:textId="77777777">
            <w:pPr>
              <w:widowControl/>
              <w:autoSpaceDE/>
              <w:autoSpaceDN/>
              <w:adjustRightInd/>
              <w:jc w:val="right"/>
              <w:rPr>
                <w:sz w:val="12"/>
                <w:szCs w:val="12"/>
              </w:rPr>
            </w:pPr>
            <w:r w:rsidRPr="00484D82">
              <w:rPr>
                <w:sz w:val="12"/>
                <w:szCs w:val="12"/>
              </w:rPr>
              <w:t>8/27/2018</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58F89615" w14:textId="77777777">
            <w:pPr>
              <w:widowControl/>
              <w:autoSpaceDE/>
              <w:autoSpaceDN/>
              <w:adjustRightInd/>
              <w:jc w:val="right"/>
              <w:rPr>
                <w:sz w:val="12"/>
                <w:szCs w:val="12"/>
              </w:rPr>
            </w:pPr>
            <w:r w:rsidRPr="00484D82">
              <w:rPr>
                <w:sz w:val="12"/>
                <w:szCs w:val="12"/>
              </w:rPr>
              <w:t xml:space="preserve">$68,720,000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53A278E5" w14:textId="5B6A792C">
            <w:pPr>
              <w:widowControl/>
              <w:autoSpaceDE/>
              <w:autoSpaceDN/>
              <w:adjustRightInd/>
              <w:jc w:val="right"/>
              <w:rPr>
                <w:sz w:val="12"/>
                <w:szCs w:val="12"/>
              </w:rPr>
            </w:pPr>
            <w:r w:rsidRPr="00CD04BA">
              <w:rPr>
                <w:sz w:val="12"/>
                <w:szCs w:val="12"/>
              </w:rPr>
              <w:t>6,690,000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1B04DE28"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CD04BA" w:rsidR="0048300E" w:rsidP="0048300E" w:rsidRDefault="0048300E" w14:paraId="24CB6CC4" w14:textId="74985E61">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2B185294"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5F24B428" w14:textId="71643E86">
            <w:pPr>
              <w:widowControl/>
              <w:autoSpaceDE/>
              <w:autoSpaceDN/>
              <w:adjustRightInd/>
              <w:jc w:val="right"/>
              <w:rPr>
                <w:sz w:val="12"/>
                <w:szCs w:val="12"/>
              </w:rPr>
            </w:pPr>
            <w:r w:rsidRPr="00CD04BA">
              <w:rPr>
                <w:sz w:val="12"/>
                <w:szCs w:val="12"/>
              </w:rPr>
              <w:t>6,690,000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E204BCF"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5808FF8B" w14:textId="39689E66">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6C404BF0"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79AE2B39" w14:textId="2E1B1E51">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29BD1F6C" w14:textId="6527C594">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576B337F" w14:textId="5321704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46A370FE" w14:textId="76852230">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0732A2A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C96CD77"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0551E2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C739D4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5A65B370" w14:textId="77777777">
            <w:pPr>
              <w:widowControl/>
              <w:autoSpaceDE/>
              <w:autoSpaceDN/>
              <w:adjustRightInd/>
              <w:jc w:val="right"/>
              <w:rPr>
                <w:sz w:val="12"/>
                <w:szCs w:val="12"/>
              </w:rPr>
            </w:pPr>
            <w:r w:rsidRPr="009A1427">
              <w:rPr>
                <w:sz w:val="12"/>
                <w:szCs w:val="12"/>
              </w:rPr>
              <w:t>-</w:t>
            </w:r>
          </w:p>
        </w:tc>
      </w:tr>
      <w:tr w:rsidRPr="009A1427" w:rsidR="0048300E" w:rsidTr="00923C22" w14:paraId="11078DEA"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7B721DDA" w14:textId="77777777">
            <w:pPr>
              <w:widowControl/>
              <w:autoSpaceDE/>
              <w:autoSpaceDN/>
              <w:adjustRightInd/>
              <w:jc w:val="left"/>
              <w:rPr>
                <w:sz w:val="12"/>
                <w:szCs w:val="12"/>
              </w:rPr>
            </w:pPr>
            <w:r w:rsidRPr="00484D82">
              <w:rPr>
                <w:sz w:val="12"/>
                <w:szCs w:val="12"/>
              </w:rPr>
              <w:t>2019 Series A</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63F03106" w14:textId="77777777">
            <w:pPr>
              <w:widowControl/>
              <w:autoSpaceDE/>
              <w:autoSpaceDN/>
              <w:adjustRightInd/>
              <w:jc w:val="right"/>
              <w:rPr>
                <w:sz w:val="12"/>
                <w:szCs w:val="12"/>
              </w:rPr>
            </w:pPr>
            <w:r w:rsidRPr="00484D82">
              <w:rPr>
                <w:sz w:val="12"/>
                <w:szCs w:val="12"/>
              </w:rPr>
              <w:t>2/14/2019</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1095A4B3" w14:textId="77777777">
            <w:pPr>
              <w:widowControl/>
              <w:autoSpaceDE/>
              <w:autoSpaceDN/>
              <w:adjustRightInd/>
              <w:jc w:val="right"/>
              <w:rPr>
                <w:sz w:val="12"/>
                <w:szCs w:val="12"/>
              </w:rPr>
            </w:pPr>
            <w:r w:rsidRPr="00484D82">
              <w:rPr>
                <w:sz w:val="12"/>
                <w:szCs w:val="12"/>
              </w:rPr>
              <w:t xml:space="preserve">$48,780,000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57DC219F" w14:textId="7CB700E8">
            <w:pPr>
              <w:widowControl/>
              <w:autoSpaceDE/>
              <w:autoSpaceDN/>
              <w:adjustRightInd/>
              <w:jc w:val="right"/>
              <w:rPr>
                <w:sz w:val="12"/>
                <w:szCs w:val="12"/>
              </w:rPr>
            </w:pPr>
            <w:r w:rsidRPr="00CD04BA">
              <w:rPr>
                <w:sz w:val="12"/>
                <w:szCs w:val="12"/>
              </w:rPr>
              <w:t>6,150,000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3302AC40"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0896E4C7" w14:textId="530E471B">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FD34B63"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07FFC513" w14:textId="27FF405F">
            <w:pPr>
              <w:widowControl/>
              <w:autoSpaceDE/>
              <w:autoSpaceDN/>
              <w:adjustRightInd/>
              <w:jc w:val="right"/>
              <w:rPr>
                <w:sz w:val="12"/>
                <w:szCs w:val="12"/>
              </w:rPr>
            </w:pPr>
            <w:r w:rsidRPr="00CD04BA">
              <w:rPr>
                <w:sz w:val="12"/>
                <w:szCs w:val="12"/>
              </w:rPr>
              <w:t>6,150,000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7A380E8A"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5392BD84" w14:textId="52D04FC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3F7D54AF"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46268E59" w14:textId="2549E711">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502FBED4" w14:textId="69F044A3">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52B8A454" w14:textId="68C363D9">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10851824" w14:textId="5C983A1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5CFBC696"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1FE5A75"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5E11EE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86B936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1202D08E" w14:textId="77777777">
            <w:pPr>
              <w:widowControl/>
              <w:autoSpaceDE/>
              <w:autoSpaceDN/>
              <w:adjustRightInd/>
              <w:jc w:val="right"/>
              <w:rPr>
                <w:sz w:val="12"/>
                <w:szCs w:val="12"/>
              </w:rPr>
            </w:pPr>
            <w:r w:rsidRPr="009A1427">
              <w:rPr>
                <w:sz w:val="12"/>
                <w:szCs w:val="12"/>
              </w:rPr>
              <w:t>-</w:t>
            </w:r>
          </w:p>
        </w:tc>
      </w:tr>
      <w:tr w:rsidRPr="009A1427" w:rsidR="0048300E" w:rsidTr="00923C22" w14:paraId="70CEFFF7"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69DBF191" w14:textId="77777777">
            <w:pPr>
              <w:widowControl/>
              <w:autoSpaceDE/>
              <w:autoSpaceDN/>
              <w:adjustRightInd/>
              <w:jc w:val="left"/>
              <w:rPr>
                <w:sz w:val="12"/>
                <w:szCs w:val="12"/>
              </w:rPr>
            </w:pPr>
            <w:r w:rsidRPr="00484D82">
              <w:rPr>
                <w:sz w:val="12"/>
                <w:szCs w:val="12"/>
              </w:rPr>
              <w:t>2019 Series B</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35CF4448" w14:textId="77777777">
            <w:pPr>
              <w:widowControl/>
              <w:autoSpaceDE/>
              <w:autoSpaceDN/>
              <w:adjustRightInd/>
              <w:jc w:val="right"/>
              <w:rPr>
                <w:sz w:val="12"/>
                <w:szCs w:val="12"/>
              </w:rPr>
            </w:pPr>
            <w:r w:rsidRPr="00484D82">
              <w:rPr>
                <w:sz w:val="12"/>
                <w:szCs w:val="12"/>
              </w:rPr>
              <w:t>9/25/2019</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6B7B5A9E" w14:textId="77777777">
            <w:pPr>
              <w:widowControl/>
              <w:autoSpaceDE/>
              <w:autoSpaceDN/>
              <w:adjustRightInd/>
              <w:jc w:val="right"/>
              <w:rPr>
                <w:sz w:val="12"/>
                <w:szCs w:val="12"/>
              </w:rPr>
            </w:pPr>
            <w:r w:rsidRPr="00484D82">
              <w:rPr>
                <w:sz w:val="12"/>
                <w:szCs w:val="12"/>
              </w:rPr>
              <w:t xml:space="preserve">$53,475,000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76503EC7" w14:textId="1A09D1BE">
            <w:pPr>
              <w:widowControl/>
              <w:autoSpaceDE/>
              <w:autoSpaceDN/>
              <w:adjustRightInd/>
              <w:jc w:val="right"/>
              <w:rPr>
                <w:sz w:val="12"/>
                <w:szCs w:val="12"/>
              </w:rPr>
            </w:pPr>
            <w:r w:rsidRPr="00CD04BA">
              <w:rPr>
                <w:sz w:val="12"/>
                <w:szCs w:val="12"/>
              </w:rPr>
              <w:t>17,060,000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7F856155"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3AF402A0" w14:textId="310BC8B2">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3E157AA2"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590E6FC4" w14:textId="101E4C0E">
            <w:pPr>
              <w:widowControl/>
              <w:autoSpaceDE/>
              <w:autoSpaceDN/>
              <w:adjustRightInd/>
              <w:jc w:val="right"/>
              <w:rPr>
                <w:sz w:val="12"/>
                <w:szCs w:val="12"/>
              </w:rPr>
            </w:pPr>
            <w:r w:rsidRPr="00CD04BA">
              <w:rPr>
                <w:sz w:val="12"/>
                <w:szCs w:val="12"/>
              </w:rPr>
              <w:t>8,305,000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9E2A705"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272E251D" w14:textId="1062E85F">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30528927"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696458CF" w14:textId="6D5F7849">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49AFED84" w14:textId="5628CA45">
            <w:pPr>
              <w:widowControl/>
              <w:autoSpaceDE/>
              <w:autoSpaceDN/>
              <w:adjustRightInd/>
              <w:jc w:val="right"/>
              <w:rPr>
                <w:sz w:val="12"/>
                <w:szCs w:val="12"/>
              </w:rPr>
            </w:pPr>
            <w:r w:rsidRPr="00EE29C6">
              <w:rPr>
                <w:sz w:val="12"/>
                <w:szCs w:val="12"/>
              </w:rPr>
              <w:t>6,630,000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7D37C581" w14:textId="2CE18EFF">
            <w:pPr>
              <w:widowControl/>
              <w:autoSpaceDE/>
              <w:autoSpaceDN/>
              <w:adjustRightInd/>
              <w:jc w:val="right"/>
              <w:rPr>
                <w:sz w:val="12"/>
                <w:szCs w:val="12"/>
              </w:rPr>
            </w:pPr>
            <w:r w:rsidRPr="00EE29C6">
              <w:rPr>
                <w:sz w:val="12"/>
                <w:szCs w:val="12"/>
              </w:rPr>
              <w:t>2,125,000</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5FA0DCEC" w14:textId="551DFB9C">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39483BB3"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327266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FFA3316"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C86A6C3"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44B86387" w14:textId="77777777">
            <w:pPr>
              <w:widowControl/>
              <w:autoSpaceDE/>
              <w:autoSpaceDN/>
              <w:adjustRightInd/>
              <w:jc w:val="right"/>
              <w:rPr>
                <w:sz w:val="12"/>
                <w:szCs w:val="12"/>
              </w:rPr>
            </w:pPr>
            <w:r w:rsidRPr="009A1427">
              <w:rPr>
                <w:sz w:val="12"/>
                <w:szCs w:val="12"/>
              </w:rPr>
              <w:t>-</w:t>
            </w:r>
          </w:p>
        </w:tc>
      </w:tr>
      <w:tr w:rsidRPr="009A1427" w:rsidR="0048300E" w:rsidTr="00923C22" w14:paraId="5AB216C5"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503EA356" w14:textId="77777777">
            <w:pPr>
              <w:widowControl/>
              <w:autoSpaceDE/>
              <w:autoSpaceDN/>
              <w:adjustRightInd/>
              <w:jc w:val="left"/>
              <w:rPr>
                <w:sz w:val="12"/>
                <w:szCs w:val="12"/>
              </w:rPr>
            </w:pPr>
            <w:r w:rsidRPr="00484D82">
              <w:rPr>
                <w:sz w:val="12"/>
                <w:szCs w:val="12"/>
              </w:rPr>
              <w:t>2020 Series A</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0E0CF6C8" w14:textId="77777777">
            <w:pPr>
              <w:widowControl/>
              <w:autoSpaceDE/>
              <w:autoSpaceDN/>
              <w:adjustRightInd/>
              <w:jc w:val="right"/>
              <w:rPr>
                <w:sz w:val="12"/>
                <w:szCs w:val="12"/>
              </w:rPr>
            </w:pPr>
            <w:r w:rsidRPr="00484D82">
              <w:rPr>
                <w:sz w:val="12"/>
                <w:szCs w:val="12"/>
              </w:rPr>
              <w:t>1/30/2020</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226416A6" w14:textId="77777777">
            <w:pPr>
              <w:widowControl/>
              <w:autoSpaceDE/>
              <w:autoSpaceDN/>
              <w:adjustRightInd/>
              <w:jc w:val="right"/>
              <w:rPr>
                <w:sz w:val="12"/>
                <w:szCs w:val="12"/>
              </w:rPr>
            </w:pPr>
            <w:r w:rsidRPr="00484D82">
              <w:rPr>
                <w:sz w:val="12"/>
                <w:szCs w:val="12"/>
              </w:rPr>
              <w:t xml:space="preserve">$61,290,000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74C5966C" w14:textId="395C4A1B">
            <w:pPr>
              <w:widowControl/>
              <w:autoSpaceDE/>
              <w:autoSpaceDN/>
              <w:adjustRightInd/>
              <w:jc w:val="right"/>
              <w:rPr>
                <w:sz w:val="12"/>
                <w:szCs w:val="12"/>
              </w:rPr>
            </w:pPr>
            <w:r w:rsidRPr="00CD04BA">
              <w:rPr>
                <w:sz w:val="12"/>
                <w:szCs w:val="12"/>
              </w:rPr>
              <w:t>19,505,000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5B28AF4F"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42DA5020" w14:textId="65EE71C5">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4C40C114"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6B3BF3DB" w14:textId="5D7379AE">
            <w:pPr>
              <w:widowControl/>
              <w:autoSpaceDE/>
              <w:autoSpaceDN/>
              <w:adjustRightInd/>
              <w:jc w:val="right"/>
              <w:rPr>
                <w:sz w:val="12"/>
                <w:szCs w:val="12"/>
              </w:rPr>
            </w:pPr>
            <w:r w:rsidRPr="00CD04BA">
              <w:rPr>
                <w:sz w:val="12"/>
                <w:szCs w:val="12"/>
              </w:rPr>
              <w:t>10,580,000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7606FF5B"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057F4E5B" w14:textId="6F17EE90">
            <w:pPr>
              <w:widowControl/>
              <w:autoSpaceDE/>
              <w:autoSpaceDN/>
              <w:adjustRightInd/>
              <w:jc w:val="right"/>
              <w:rPr>
                <w:sz w:val="12"/>
                <w:szCs w:val="12"/>
              </w:rPr>
            </w:pPr>
            <w:r w:rsidRPr="00CD04BA">
              <w:rPr>
                <w:sz w:val="12"/>
                <w:szCs w:val="12"/>
              </w:rPr>
              <w:t>6,145,000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7FEDBC1E"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5E56BA8A" w14:textId="1F0BDF32">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403F32D9" w14:textId="60FDD0BF">
            <w:pPr>
              <w:widowControl/>
              <w:autoSpaceDE/>
              <w:autoSpaceDN/>
              <w:adjustRightInd/>
              <w:jc w:val="right"/>
              <w:rPr>
                <w:sz w:val="12"/>
                <w:szCs w:val="12"/>
              </w:rPr>
            </w:pPr>
            <w:r w:rsidRPr="00EE29C6">
              <w:rPr>
                <w:sz w:val="12"/>
                <w:szCs w:val="12"/>
              </w:rPr>
              <w:t>2,780,000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538E8C31" w14:textId="5ACE588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1EA51A15" w14:textId="761D1262">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3EE648C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383007E"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73B6A176"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05D14D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4DF56860" w14:textId="77777777">
            <w:pPr>
              <w:widowControl/>
              <w:autoSpaceDE/>
              <w:autoSpaceDN/>
              <w:adjustRightInd/>
              <w:jc w:val="right"/>
              <w:rPr>
                <w:sz w:val="12"/>
                <w:szCs w:val="12"/>
              </w:rPr>
            </w:pPr>
            <w:r w:rsidRPr="009A1427">
              <w:rPr>
                <w:sz w:val="12"/>
                <w:szCs w:val="12"/>
              </w:rPr>
              <w:t>-</w:t>
            </w:r>
          </w:p>
        </w:tc>
      </w:tr>
      <w:tr w:rsidRPr="009A1427" w:rsidR="0048300E" w:rsidTr="00923C22" w14:paraId="7541656A"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7D2072FB" w14:textId="77777777">
            <w:pPr>
              <w:widowControl/>
              <w:autoSpaceDE/>
              <w:autoSpaceDN/>
              <w:adjustRightInd/>
              <w:jc w:val="left"/>
              <w:rPr>
                <w:sz w:val="12"/>
                <w:szCs w:val="12"/>
              </w:rPr>
            </w:pPr>
            <w:r w:rsidRPr="00484D82">
              <w:rPr>
                <w:sz w:val="12"/>
                <w:szCs w:val="12"/>
              </w:rPr>
              <w:t>2020 Series B-1</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60E80B35" w14:textId="77777777">
            <w:pPr>
              <w:widowControl/>
              <w:autoSpaceDE/>
              <w:autoSpaceDN/>
              <w:adjustRightInd/>
              <w:jc w:val="right"/>
              <w:rPr>
                <w:sz w:val="12"/>
                <w:szCs w:val="12"/>
              </w:rPr>
            </w:pPr>
            <w:r w:rsidRPr="00484D82">
              <w:rPr>
                <w:sz w:val="12"/>
                <w:szCs w:val="12"/>
              </w:rPr>
              <w:t>8/28/2020</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4102CC31" w14:textId="77777777">
            <w:pPr>
              <w:widowControl/>
              <w:autoSpaceDE/>
              <w:autoSpaceDN/>
              <w:adjustRightInd/>
              <w:jc w:val="right"/>
              <w:rPr>
                <w:sz w:val="12"/>
                <w:szCs w:val="12"/>
              </w:rPr>
            </w:pPr>
            <w:r w:rsidRPr="00484D82">
              <w:rPr>
                <w:sz w:val="12"/>
                <w:szCs w:val="12"/>
              </w:rPr>
              <w:t xml:space="preserve">$100,500,000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236048C6" w14:textId="559E0E9F">
            <w:pPr>
              <w:widowControl/>
              <w:autoSpaceDE/>
              <w:autoSpaceDN/>
              <w:adjustRightInd/>
              <w:jc w:val="right"/>
              <w:rPr>
                <w:sz w:val="12"/>
                <w:szCs w:val="12"/>
              </w:rPr>
            </w:pPr>
            <w:r w:rsidRPr="00CD04BA">
              <w:rPr>
                <w:sz w:val="12"/>
                <w:szCs w:val="12"/>
              </w:rPr>
              <w:t>61,735,000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3FD486A8"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573EB3BF" w14:textId="264A45EF">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B8282A0"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78D9FE9A" w14:textId="2717D61F">
            <w:pPr>
              <w:widowControl/>
              <w:autoSpaceDE/>
              <w:autoSpaceDN/>
              <w:adjustRightInd/>
              <w:jc w:val="right"/>
              <w:rPr>
                <w:sz w:val="12"/>
                <w:szCs w:val="12"/>
              </w:rPr>
            </w:pPr>
            <w:r w:rsidRPr="00CD04BA">
              <w:rPr>
                <w:sz w:val="12"/>
                <w:szCs w:val="12"/>
              </w:rPr>
              <w:t>14,855,000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5E0948EA"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253F134C" w14:textId="0B4B6831">
            <w:pPr>
              <w:widowControl/>
              <w:autoSpaceDE/>
              <w:autoSpaceDN/>
              <w:adjustRightInd/>
              <w:jc w:val="right"/>
              <w:rPr>
                <w:sz w:val="12"/>
                <w:szCs w:val="12"/>
              </w:rPr>
            </w:pPr>
            <w:r w:rsidRPr="00CD04BA">
              <w:rPr>
                <w:sz w:val="12"/>
                <w:szCs w:val="12"/>
              </w:rPr>
              <w:t>8,140,000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7FD41FB9"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07D2099A" w14:textId="343F5490">
            <w:pPr>
              <w:widowControl/>
              <w:autoSpaceDE/>
              <w:autoSpaceDN/>
              <w:adjustRightInd/>
              <w:jc w:val="right"/>
              <w:rPr>
                <w:sz w:val="12"/>
                <w:szCs w:val="12"/>
              </w:rPr>
            </w:pPr>
            <w:r w:rsidRPr="00EE29C6">
              <w:rPr>
                <w:sz w:val="12"/>
                <w:szCs w:val="12"/>
              </w:rPr>
              <w:t>38,025,000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1FC70322" w14:textId="5F729403">
            <w:pPr>
              <w:widowControl/>
              <w:autoSpaceDE/>
              <w:autoSpaceDN/>
              <w:adjustRightInd/>
              <w:jc w:val="right"/>
              <w:rPr>
                <w:sz w:val="12"/>
                <w:szCs w:val="12"/>
              </w:rPr>
            </w:pPr>
            <w:r w:rsidRPr="00EE29C6">
              <w:rPr>
                <w:sz w:val="12"/>
                <w:szCs w:val="12"/>
              </w:rPr>
              <w:t>715,000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30CFECF2" w14:textId="7E396092">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33C1BF3B" w14:textId="4A03E222">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2AD20091"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56C951D"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1A15C97"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6669EBA3"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0881C3CE" w14:textId="77777777">
            <w:pPr>
              <w:widowControl/>
              <w:autoSpaceDE/>
              <w:autoSpaceDN/>
              <w:adjustRightInd/>
              <w:jc w:val="right"/>
              <w:rPr>
                <w:sz w:val="12"/>
                <w:szCs w:val="12"/>
              </w:rPr>
            </w:pPr>
            <w:r w:rsidRPr="009A1427">
              <w:rPr>
                <w:sz w:val="12"/>
                <w:szCs w:val="12"/>
              </w:rPr>
              <w:t>-</w:t>
            </w:r>
          </w:p>
        </w:tc>
      </w:tr>
      <w:tr w:rsidRPr="009A1427" w:rsidR="0048300E" w:rsidTr="00923C22" w14:paraId="10979CF3"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68DC7A75" w14:textId="77777777">
            <w:pPr>
              <w:widowControl/>
              <w:autoSpaceDE/>
              <w:autoSpaceDN/>
              <w:adjustRightInd/>
              <w:jc w:val="left"/>
              <w:rPr>
                <w:sz w:val="12"/>
                <w:szCs w:val="12"/>
              </w:rPr>
            </w:pPr>
            <w:r w:rsidRPr="00484D82">
              <w:rPr>
                <w:sz w:val="12"/>
                <w:szCs w:val="12"/>
              </w:rPr>
              <w:t>2020 Series B-2</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6D52CA85" w14:textId="77777777">
            <w:pPr>
              <w:widowControl/>
              <w:autoSpaceDE/>
              <w:autoSpaceDN/>
              <w:adjustRightInd/>
              <w:jc w:val="right"/>
              <w:rPr>
                <w:sz w:val="12"/>
                <w:szCs w:val="12"/>
              </w:rPr>
            </w:pPr>
            <w:r w:rsidRPr="00484D82">
              <w:rPr>
                <w:sz w:val="12"/>
                <w:szCs w:val="12"/>
              </w:rPr>
              <w:t>8/28/2020</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1C303F5D" w14:textId="77777777">
            <w:pPr>
              <w:widowControl/>
              <w:autoSpaceDE/>
              <w:autoSpaceDN/>
              <w:adjustRightInd/>
              <w:jc w:val="right"/>
              <w:rPr>
                <w:sz w:val="12"/>
                <w:szCs w:val="12"/>
              </w:rPr>
            </w:pPr>
            <w:r w:rsidRPr="00484D82">
              <w:rPr>
                <w:sz w:val="12"/>
                <w:szCs w:val="12"/>
              </w:rPr>
              <w:t xml:space="preserve">$12,715,000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01FB8DC2" w14:textId="44F29859">
            <w:pPr>
              <w:widowControl/>
              <w:autoSpaceDE/>
              <w:autoSpaceDN/>
              <w:adjustRightInd/>
              <w:jc w:val="right"/>
              <w:rPr>
                <w:sz w:val="12"/>
                <w:szCs w:val="12"/>
              </w:rPr>
            </w:pPr>
            <w:r w:rsidRPr="00CD04BA">
              <w:rPr>
                <w:sz w:val="12"/>
                <w:szCs w:val="12"/>
              </w:rPr>
              <w:t>900,000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2A79FD15"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24EECB8D" w14:textId="5E8FBCA2">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78039E2F"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3DD87998" w14:textId="78E1DAD4">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34BD9443"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67ED9239" w14:textId="0DB33452">
            <w:pPr>
              <w:widowControl/>
              <w:autoSpaceDE/>
              <w:autoSpaceDN/>
              <w:adjustRightInd/>
              <w:jc w:val="right"/>
              <w:rPr>
                <w:sz w:val="12"/>
                <w:szCs w:val="12"/>
              </w:rPr>
            </w:pPr>
            <w:r w:rsidRPr="00CD04BA">
              <w:rPr>
                <w:sz w:val="12"/>
                <w:szCs w:val="12"/>
              </w:rPr>
              <w:t>900,000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200F8447"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0E525D08" w14:textId="103F3D5C">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08C7A917" w14:textId="350C6AFD">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6EAE9F22" w14:textId="4DDB97FC">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3C1BDC01" w14:textId="2F721DB6">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13D3E78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3672095"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6659C07B"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1C3A0C0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79ECE845" w14:textId="77777777">
            <w:pPr>
              <w:widowControl/>
              <w:autoSpaceDE/>
              <w:autoSpaceDN/>
              <w:adjustRightInd/>
              <w:jc w:val="right"/>
              <w:rPr>
                <w:sz w:val="12"/>
                <w:szCs w:val="12"/>
              </w:rPr>
            </w:pPr>
            <w:r w:rsidRPr="009A1427">
              <w:rPr>
                <w:sz w:val="12"/>
                <w:szCs w:val="12"/>
              </w:rPr>
              <w:t>-</w:t>
            </w:r>
          </w:p>
        </w:tc>
      </w:tr>
      <w:tr w:rsidRPr="009A1427" w:rsidR="0048300E" w:rsidTr="00923C22" w14:paraId="66FC7E98"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236CCFC0" w14:textId="77777777">
            <w:pPr>
              <w:widowControl/>
              <w:autoSpaceDE/>
              <w:autoSpaceDN/>
              <w:adjustRightInd/>
              <w:jc w:val="left"/>
              <w:rPr>
                <w:sz w:val="12"/>
                <w:szCs w:val="12"/>
              </w:rPr>
            </w:pPr>
            <w:r w:rsidRPr="00484D82">
              <w:rPr>
                <w:sz w:val="12"/>
                <w:szCs w:val="12"/>
              </w:rPr>
              <w:t>2021 Series A</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206AB871" w14:textId="77777777">
            <w:pPr>
              <w:widowControl/>
              <w:autoSpaceDE/>
              <w:autoSpaceDN/>
              <w:adjustRightInd/>
              <w:jc w:val="right"/>
              <w:rPr>
                <w:sz w:val="12"/>
                <w:szCs w:val="12"/>
              </w:rPr>
            </w:pPr>
            <w:r w:rsidRPr="00484D82">
              <w:rPr>
                <w:sz w:val="12"/>
                <w:szCs w:val="12"/>
              </w:rPr>
              <w:t>1/28/2021</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393289AA" w14:textId="77777777">
            <w:pPr>
              <w:widowControl/>
              <w:autoSpaceDE/>
              <w:autoSpaceDN/>
              <w:adjustRightInd/>
              <w:jc w:val="right"/>
              <w:rPr>
                <w:sz w:val="12"/>
                <w:szCs w:val="12"/>
              </w:rPr>
            </w:pPr>
            <w:r w:rsidRPr="00484D82">
              <w:rPr>
                <w:sz w:val="12"/>
                <w:szCs w:val="12"/>
              </w:rPr>
              <w:t xml:space="preserve">$55,945,000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62D80497" w14:textId="7DF4B44C">
            <w:pPr>
              <w:widowControl/>
              <w:autoSpaceDE/>
              <w:autoSpaceDN/>
              <w:adjustRightInd/>
              <w:jc w:val="right"/>
              <w:rPr>
                <w:sz w:val="12"/>
                <w:szCs w:val="12"/>
              </w:rPr>
            </w:pPr>
            <w:r w:rsidRPr="00CD04BA">
              <w:rPr>
                <w:sz w:val="12"/>
                <w:szCs w:val="12"/>
              </w:rPr>
              <w:t>46,555,000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1434F9C9"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4F5F6132" w14:textId="1549EA6B">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9209874"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12855317" w14:textId="6B788120">
            <w:pPr>
              <w:widowControl/>
              <w:autoSpaceDE/>
              <w:autoSpaceDN/>
              <w:adjustRightInd/>
              <w:jc w:val="right"/>
              <w:rPr>
                <w:sz w:val="12"/>
                <w:szCs w:val="12"/>
              </w:rPr>
            </w:pPr>
            <w:r w:rsidRPr="00CD04BA">
              <w:rPr>
                <w:sz w:val="12"/>
                <w:szCs w:val="12"/>
              </w:rPr>
              <w:t>12,100,000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FD14EA2"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3BC255F3" w14:textId="051590C4">
            <w:pPr>
              <w:widowControl/>
              <w:autoSpaceDE/>
              <w:autoSpaceDN/>
              <w:adjustRightInd/>
              <w:jc w:val="right"/>
              <w:rPr>
                <w:sz w:val="12"/>
                <w:szCs w:val="12"/>
              </w:rPr>
            </w:pPr>
            <w:r w:rsidRPr="00CD04BA">
              <w:rPr>
                <w:sz w:val="12"/>
                <w:szCs w:val="12"/>
              </w:rPr>
              <w:t>6,600,000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29680E7D"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1800A8A1" w14:textId="29CA89D5">
            <w:pPr>
              <w:widowControl/>
              <w:autoSpaceDE/>
              <w:autoSpaceDN/>
              <w:adjustRightInd/>
              <w:jc w:val="right"/>
              <w:rPr>
                <w:sz w:val="12"/>
                <w:szCs w:val="12"/>
              </w:rPr>
            </w:pPr>
            <w:r w:rsidRPr="00EE29C6">
              <w:rPr>
                <w:sz w:val="12"/>
                <w:szCs w:val="12"/>
              </w:rPr>
              <w:t>11,285,000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6C51EC72" w14:textId="78C5A246">
            <w:pPr>
              <w:widowControl/>
              <w:autoSpaceDE/>
              <w:autoSpaceDN/>
              <w:adjustRightInd/>
              <w:jc w:val="right"/>
              <w:rPr>
                <w:sz w:val="12"/>
                <w:szCs w:val="12"/>
              </w:rPr>
            </w:pPr>
            <w:r w:rsidRPr="00EE29C6">
              <w:rPr>
                <w:sz w:val="12"/>
                <w:szCs w:val="12"/>
              </w:rPr>
              <w:t>16,570,000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1DE8C7F4" w14:textId="12BA850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064B9CE8" w14:textId="27AD2BA8">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1DCF2BC7"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FCF2D50"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A0A1C7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0F40416"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1C4D9291" w14:textId="77777777">
            <w:pPr>
              <w:widowControl/>
              <w:autoSpaceDE/>
              <w:autoSpaceDN/>
              <w:adjustRightInd/>
              <w:jc w:val="right"/>
              <w:rPr>
                <w:sz w:val="12"/>
                <w:szCs w:val="12"/>
              </w:rPr>
            </w:pPr>
            <w:r w:rsidRPr="009A1427">
              <w:rPr>
                <w:sz w:val="12"/>
                <w:szCs w:val="12"/>
              </w:rPr>
              <w:t>-</w:t>
            </w:r>
          </w:p>
        </w:tc>
      </w:tr>
      <w:tr w:rsidRPr="009A1427" w:rsidR="0048300E" w:rsidTr="00923C22" w14:paraId="5D633120"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7F9176B7" w14:textId="77777777">
            <w:pPr>
              <w:widowControl/>
              <w:autoSpaceDE/>
              <w:autoSpaceDN/>
              <w:adjustRightInd/>
              <w:jc w:val="left"/>
              <w:rPr>
                <w:sz w:val="12"/>
                <w:szCs w:val="12"/>
              </w:rPr>
            </w:pPr>
            <w:r w:rsidRPr="00484D82">
              <w:rPr>
                <w:sz w:val="12"/>
                <w:szCs w:val="12"/>
              </w:rPr>
              <w:t>2021 Series B</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0A844118" w14:textId="77777777">
            <w:pPr>
              <w:widowControl/>
              <w:autoSpaceDE/>
              <w:autoSpaceDN/>
              <w:adjustRightInd/>
              <w:jc w:val="right"/>
              <w:rPr>
                <w:sz w:val="12"/>
                <w:szCs w:val="12"/>
              </w:rPr>
            </w:pPr>
            <w:r w:rsidRPr="00484D82">
              <w:rPr>
                <w:sz w:val="12"/>
                <w:szCs w:val="12"/>
              </w:rPr>
              <w:t>6/28/2021</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0EC1FDE1" w14:textId="77777777">
            <w:pPr>
              <w:widowControl/>
              <w:autoSpaceDE/>
              <w:autoSpaceDN/>
              <w:adjustRightInd/>
              <w:jc w:val="right"/>
              <w:rPr>
                <w:sz w:val="12"/>
                <w:szCs w:val="12"/>
              </w:rPr>
            </w:pPr>
            <w:r w:rsidRPr="00484D82">
              <w:rPr>
                <w:sz w:val="12"/>
                <w:szCs w:val="12"/>
              </w:rPr>
              <w:t xml:space="preserve">$99,205,000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43355124" w14:textId="6977C27C">
            <w:pPr>
              <w:widowControl/>
              <w:autoSpaceDE/>
              <w:autoSpaceDN/>
              <w:adjustRightInd/>
              <w:jc w:val="right"/>
              <w:rPr>
                <w:sz w:val="12"/>
                <w:szCs w:val="12"/>
              </w:rPr>
            </w:pPr>
            <w:r w:rsidRPr="00CD04BA">
              <w:rPr>
                <w:sz w:val="12"/>
                <w:szCs w:val="12"/>
              </w:rPr>
              <w:t>82,235,000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6F76B8F4"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38A2518A" w14:textId="2D746C18">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461F005C"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2E5DB279" w14:textId="29B16098">
            <w:pPr>
              <w:widowControl/>
              <w:autoSpaceDE/>
              <w:autoSpaceDN/>
              <w:adjustRightInd/>
              <w:jc w:val="right"/>
              <w:rPr>
                <w:sz w:val="12"/>
                <w:szCs w:val="12"/>
              </w:rPr>
            </w:pPr>
            <w:r w:rsidRPr="00CD04BA">
              <w:rPr>
                <w:sz w:val="12"/>
                <w:szCs w:val="12"/>
              </w:rPr>
              <w:t>23,380,000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5B9498C2"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6EB52B48" w14:textId="107C28D8">
            <w:pPr>
              <w:widowControl/>
              <w:autoSpaceDE/>
              <w:autoSpaceDN/>
              <w:adjustRightInd/>
              <w:jc w:val="right"/>
              <w:rPr>
                <w:sz w:val="12"/>
                <w:szCs w:val="12"/>
              </w:rPr>
            </w:pPr>
            <w:r w:rsidRPr="00CD04BA">
              <w:rPr>
                <w:sz w:val="12"/>
                <w:szCs w:val="12"/>
              </w:rPr>
              <w:t>10,575,000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374A5D12"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3AE15561" w14:textId="297FE908">
            <w:pPr>
              <w:widowControl/>
              <w:autoSpaceDE/>
              <w:autoSpaceDN/>
              <w:adjustRightInd/>
              <w:jc w:val="right"/>
              <w:rPr>
                <w:sz w:val="12"/>
                <w:szCs w:val="12"/>
              </w:rPr>
            </w:pPr>
            <w:r w:rsidRPr="00EE29C6">
              <w:rPr>
                <w:sz w:val="12"/>
                <w:szCs w:val="12"/>
              </w:rPr>
              <w:t>26,190,000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71953BE8" w14:textId="075E067C">
            <w:pPr>
              <w:widowControl/>
              <w:autoSpaceDE/>
              <w:autoSpaceDN/>
              <w:adjustRightInd/>
              <w:jc w:val="right"/>
              <w:rPr>
                <w:sz w:val="12"/>
                <w:szCs w:val="12"/>
              </w:rPr>
            </w:pPr>
            <w:r w:rsidRPr="00EE29C6">
              <w:rPr>
                <w:sz w:val="12"/>
                <w:szCs w:val="12"/>
              </w:rPr>
              <w:t>22,090,000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0528330A" w14:textId="149EEE68">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723AAE91" w14:textId="3C699B5C">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5047E9C2"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71DFA5B2"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BE47EE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77E5F4E1"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4BF05113" w14:textId="77777777">
            <w:pPr>
              <w:widowControl/>
              <w:autoSpaceDE/>
              <w:autoSpaceDN/>
              <w:adjustRightInd/>
              <w:jc w:val="right"/>
              <w:rPr>
                <w:sz w:val="12"/>
                <w:szCs w:val="12"/>
              </w:rPr>
            </w:pPr>
            <w:r w:rsidRPr="009A1427">
              <w:rPr>
                <w:sz w:val="12"/>
                <w:szCs w:val="12"/>
              </w:rPr>
              <w:t>-</w:t>
            </w:r>
          </w:p>
        </w:tc>
      </w:tr>
      <w:tr w:rsidRPr="009A1427" w:rsidR="0048300E" w:rsidTr="00923C22" w14:paraId="1BBDF775"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41606FB1" w14:textId="77777777">
            <w:pPr>
              <w:widowControl/>
              <w:autoSpaceDE/>
              <w:autoSpaceDN/>
              <w:adjustRightInd/>
              <w:jc w:val="left"/>
              <w:rPr>
                <w:sz w:val="12"/>
                <w:szCs w:val="12"/>
              </w:rPr>
            </w:pPr>
            <w:r w:rsidRPr="00484D82">
              <w:rPr>
                <w:sz w:val="12"/>
                <w:szCs w:val="12"/>
              </w:rPr>
              <w:t>2021 Series C-1</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2BA9B5B0" w14:textId="77777777">
            <w:pPr>
              <w:widowControl/>
              <w:autoSpaceDE/>
              <w:autoSpaceDN/>
              <w:adjustRightInd/>
              <w:jc w:val="right"/>
              <w:rPr>
                <w:sz w:val="12"/>
                <w:szCs w:val="12"/>
              </w:rPr>
            </w:pPr>
            <w:r w:rsidRPr="00484D82">
              <w:rPr>
                <w:sz w:val="12"/>
                <w:szCs w:val="12"/>
              </w:rPr>
              <w:t>11/23/2021</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28ABF95B" w14:textId="77777777">
            <w:pPr>
              <w:widowControl/>
              <w:autoSpaceDE/>
              <w:autoSpaceDN/>
              <w:adjustRightInd/>
              <w:jc w:val="right"/>
              <w:rPr>
                <w:sz w:val="12"/>
                <w:szCs w:val="12"/>
              </w:rPr>
            </w:pPr>
            <w:r w:rsidRPr="00484D82">
              <w:rPr>
                <w:sz w:val="12"/>
                <w:szCs w:val="12"/>
              </w:rPr>
              <w:t xml:space="preserve">$69,290,000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6889D86B" w14:textId="1BC10981">
            <w:pPr>
              <w:widowControl/>
              <w:autoSpaceDE/>
              <w:autoSpaceDN/>
              <w:adjustRightInd/>
              <w:jc w:val="right"/>
              <w:rPr>
                <w:sz w:val="12"/>
                <w:szCs w:val="12"/>
              </w:rPr>
            </w:pPr>
            <w:r w:rsidRPr="00CD04BA">
              <w:rPr>
                <w:sz w:val="12"/>
                <w:szCs w:val="12"/>
              </w:rPr>
              <w:t>64,420,000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0B408233"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44CFA5A2" w14:textId="26AAD6B2">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6D122026"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6B684C03" w14:textId="0D87369A">
            <w:pPr>
              <w:widowControl/>
              <w:autoSpaceDE/>
              <w:autoSpaceDN/>
              <w:adjustRightInd/>
              <w:jc w:val="right"/>
              <w:rPr>
                <w:sz w:val="12"/>
                <w:szCs w:val="12"/>
              </w:rPr>
            </w:pPr>
            <w:r w:rsidRPr="00CD04BA">
              <w:rPr>
                <w:sz w:val="12"/>
                <w:szCs w:val="12"/>
              </w:rPr>
              <w:t>22,140,000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B38F2D2"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72C83322" w14:textId="1F97F963">
            <w:pPr>
              <w:widowControl/>
              <w:autoSpaceDE/>
              <w:autoSpaceDN/>
              <w:adjustRightInd/>
              <w:jc w:val="right"/>
              <w:rPr>
                <w:sz w:val="12"/>
                <w:szCs w:val="12"/>
              </w:rPr>
            </w:pPr>
            <w:r w:rsidRPr="00CD04BA">
              <w:rPr>
                <w:sz w:val="12"/>
                <w:szCs w:val="12"/>
              </w:rPr>
              <w:t>6,980,000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055E9F2F"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1A0D7D0F" w14:textId="5EC6F1D8">
            <w:pPr>
              <w:widowControl/>
              <w:autoSpaceDE/>
              <w:autoSpaceDN/>
              <w:adjustRightInd/>
              <w:jc w:val="right"/>
              <w:rPr>
                <w:sz w:val="12"/>
                <w:szCs w:val="12"/>
              </w:rPr>
            </w:pPr>
            <w:r w:rsidRPr="00EE29C6">
              <w:rPr>
                <w:sz w:val="12"/>
                <w:szCs w:val="12"/>
              </w:rPr>
              <w:t>950,000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128357A8" w14:textId="46972E0D">
            <w:pPr>
              <w:widowControl/>
              <w:autoSpaceDE/>
              <w:autoSpaceDN/>
              <w:adjustRightInd/>
              <w:jc w:val="right"/>
              <w:rPr>
                <w:sz w:val="12"/>
                <w:szCs w:val="12"/>
              </w:rPr>
            </w:pPr>
            <w:r w:rsidRPr="00EE29C6">
              <w:rPr>
                <w:sz w:val="12"/>
                <w:szCs w:val="12"/>
              </w:rPr>
              <w:t>29,215,000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53C68C24" w14:textId="11A03001">
            <w:pPr>
              <w:widowControl/>
              <w:autoSpaceDE/>
              <w:autoSpaceDN/>
              <w:adjustRightInd/>
              <w:jc w:val="right"/>
              <w:rPr>
                <w:sz w:val="12"/>
                <w:szCs w:val="12"/>
              </w:rPr>
            </w:pPr>
            <w:r w:rsidRPr="00EE29C6">
              <w:rPr>
                <w:sz w:val="12"/>
                <w:szCs w:val="12"/>
              </w:rPr>
              <w:t>5,135,000</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02FB1F31" w14:textId="2EFE5CBD">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76E853AB"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9DEC22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1CB4CD4"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6F4F21C0"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49CEC08F" w14:textId="77777777">
            <w:pPr>
              <w:widowControl/>
              <w:autoSpaceDE/>
              <w:autoSpaceDN/>
              <w:adjustRightInd/>
              <w:jc w:val="right"/>
              <w:rPr>
                <w:sz w:val="12"/>
                <w:szCs w:val="12"/>
              </w:rPr>
            </w:pPr>
            <w:r w:rsidRPr="009A1427">
              <w:rPr>
                <w:sz w:val="12"/>
                <w:szCs w:val="12"/>
              </w:rPr>
              <w:t>-</w:t>
            </w:r>
          </w:p>
        </w:tc>
      </w:tr>
      <w:tr w:rsidRPr="009A1427" w:rsidR="0048300E" w:rsidTr="00923C22" w14:paraId="5A06FBF4" w14:textId="77777777">
        <w:trPr>
          <w:trHeight w:val="72"/>
        </w:trPr>
        <w:tc>
          <w:tcPr>
            <w:tcW w:w="1170" w:type="dxa"/>
            <w:tcBorders>
              <w:top w:val="nil"/>
              <w:left w:val="nil"/>
              <w:bottom w:val="nil"/>
              <w:right w:val="nil"/>
            </w:tcBorders>
            <w:shd w:val="clear" w:color="auto" w:fill="auto"/>
            <w:noWrap/>
            <w:vAlign w:val="bottom"/>
            <w:hideMark/>
          </w:tcPr>
          <w:p w:rsidRPr="00484D82" w:rsidR="0048300E" w:rsidP="0048300E" w:rsidRDefault="0048300E" w14:paraId="61CAFE3F" w14:textId="77777777">
            <w:pPr>
              <w:widowControl/>
              <w:autoSpaceDE/>
              <w:autoSpaceDN/>
              <w:adjustRightInd/>
              <w:jc w:val="left"/>
              <w:rPr>
                <w:sz w:val="12"/>
                <w:szCs w:val="12"/>
              </w:rPr>
            </w:pPr>
            <w:r w:rsidRPr="00484D82">
              <w:rPr>
                <w:sz w:val="12"/>
                <w:szCs w:val="12"/>
              </w:rPr>
              <w:t>2021 Series C-2</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4388A050" w14:textId="77777777">
            <w:pPr>
              <w:widowControl/>
              <w:autoSpaceDE/>
              <w:autoSpaceDN/>
              <w:adjustRightInd/>
              <w:jc w:val="right"/>
              <w:rPr>
                <w:sz w:val="12"/>
                <w:szCs w:val="12"/>
              </w:rPr>
            </w:pPr>
            <w:r w:rsidRPr="00484D82">
              <w:rPr>
                <w:sz w:val="12"/>
                <w:szCs w:val="12"/>
              </w:rPr>
              <w:t>11/23/2021</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6B7AE657" w14:textId="77777777">
            <w:pPr>
              <w:widowControl/>
              <w:autoSpaceDE/>
              <w:autoSpaceDN/>
              <w:adjustRightInd/>
              <w:jc w:val="right"/>
              <w:rPr>
                <w:sz w:val="12"/>
                <w:szCs w:val="12"/>
              </w:rPr>
            </w:pPr>
            <w:r w:rsidRPr="00484D82">
              <w:rPr>
                <w:sz w:val="12"/>
                <w:szCs w:val="12"/>
              </w:rPr>
              <w:t xml:space="preserve">$6,710,000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64E38A2B" w14:textId="3DABA28F">
            <w:pPr>
              <w:widowControl/>
              <w:autoSpaceDE/>
              <w:autoSpaceDN/>
              <w:adjustRightInd/>
              <w:jc w:val="right"/>
              <w:rPr>
                <w:sz w:val="12"/>
                <w:szCs w:val="12"/>
              </w:rPr>
            </w:pPr>
            <w:r w:rsidRPr="00CD04BA">
              <w:rPr>
                <w:sz w:val="12"/>
                <w:szCs w:val="12"/>
              </w:rPr>
              <w:t>3,205,000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0838897D"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7BFF292B" w14:textId="2B28D7E1">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06DB4FA2"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268ABAD1" w14:textId="0631696E">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332DA9E9"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79DC1C25" w14:textId="56A3F84B">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0C30A2BE"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40E00AB2" w14:textId="4C65FD4F">
            <w:pPr>
              <w:widowControl/>
              <w:autoSpaceDE/>
              <w:autoSpaceDN/>
              <w:adjustRightInd/>
              <w:jc w:val="right"/>
              <w:rPr>
                <w:sz w:val="12"/>
                <w:szCs w:val="12"/>
              </w:rPr>
            </w:pPr>
            <w:r w:rsidRPr="00EE29C6">
              <w:rPr>
                <w:sz w:val="12"/>
                <w:szCs w:val="12"/>
              </w:rPr>
              <w:t>3,205,000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6E0726ED" w14:textId="363E01B9">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236D5141" w14:textId="18BA23DB">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33D2E788" w14:textId="152C5CE4">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3D0919BC"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12D062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7520399"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060E0F9"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1FA36283" w14:textId="77777777">
            <w:pPr>
              <w:widowControl/>
              <w:autoSpaceDE/>
              <w:autoSpaceDN/>
              <w:adjustRightInd/>
              <w:jc w:val="right"/>
              <w:rPr>
                <w:sz w:val="12"/>
                <w:szCs w:val="12"/>
              </w:rPr>
            </w:pPr>
            <w:r w:rsidRPr="009A1427">
              <w:rPr>
                <w:sz w:val="12"/>
                <w:szCs w:val="12"/>
              </w:rPr>
              <w:t>-</w:t>
            </w:r>
          </w:p>
        </w:tc>
      </w:tr>
      <w:tr w:rsidRPr="009A1427" w:rsidR="0048300E" w:rsidTr="00923C22" w14:paraId="1B7BB388"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58FCA8FD" w14:textId="77777777">
            <w:pPr>
              <w:widowControl/>
              <w:autoSpaceDE/>
              <w:autoSpaceDN/>
              <w:adjustRightInd/>
              <w:jc w:val="left"/>
              <w:rPr>
                <w:sz w:val="12"/>
                <w:szCs w:val="12"/>
              </w:rPr>
            </w:pPr>
            <w:r w:rsidRPr="00484D82">
              <w:rPr>
                <w:sz w:val="12"/>
                <w:szCs w:val="12"/>
              </w:rPr>
              <w:t>2022 Series A</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6FEBDA95" w14:textId="77777777">
            <w:pPr>
              <w:widowControl/>
              <w:autoSpaceDE/>
              <w:autoSpaceDN/>
              <w:adjustRightInd/>
              <w:jc w:val="right"/>
              <w:rPr>
                <w:sz w:val="12"/>
                <w:szCs w:val="12"/>
              </w:rPr>
            </w:pPr>
            <w:r w:rsidRPr="00484D82">
              <w:rPr>
                <w:sz w:val="12"/>
                <w:szCs w:val="12"/>
              </w:rPr>
              <w:t>2/23/2022</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462D7CD1" w14:textId="77777777">
            <w:pPr>
              <w:widowControl/>
              <w:autoSpaceDE/>
              <w:autoSpaceDN/>
              <w:adjustRightInd/>
              <w:jc w:val="right"/>
              <w:rPr>
                <w:sz w:val="12"/>
                <w:szCs w:val="12"/>
              </w:rPr>
            </w:pPr>
            <w:r w:rsidRPr="00484D82">
              <w:rPr>
                <w:sz w:val="12"/>
                <w:szCs w:val="12"/>
              </w:rPr>
              <w:t xml:space="preserve">$85,570,000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5A1A2CF9" w14:textId="0F14A215">
            <w:pPr>
              <w:widowControl/>
              <w:autoSpaceDE/>
              <w:autoSpaceDN/>
              <w:adjustRightInd/>
              <w:jc w:val="right"/>
              <w:rPr>
                <w:sz w:val="12"/>
                <w:szCs w:val="12"/>
              </w:rPr>
            </w:pPr>
            <w:r w:rsidRPr="00CD04BA">
              <w:rPr>
                <w:sz w:val="12"/>
                <w:szCs w:val="12"/>
              </w:rPr>
              <w:t>78,570,000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393C3E80"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57367982" w14:textId="62053B56">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5FE0553A"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3C328C94" w14:textId="7A1BA62C">
            <w:pPr>
              <w:widowControl/>
              <w:autoSpaceDE/>
              <w:autoSpaceDN/>
              <w:adjustRightInd/>
              <w:jc w:val="right"/>
              <w:rPr>
                <w:sz w:val="12"/>
                <w:szCs w:val="12"/>
              </w:rPr>
            </w:pPr>
            <w:r w:rsidRPr="00CD04BA">
              <w:rPr>
                <w:sz w:val="12"/>
                <w:szCs w:val="12"/>
              </w:rPr>
              <w:t>26,030,000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7A47E2ED"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32D9A425" w14:textId="257FF49A">
            <w:pPr>
              <w:widowControl/>
              <w:autoSpaceDE/>
              <w:autoSpaceDN/>
              <w:adjustRightInd/>
              <w:jc w:val="right"/>
              <w:rPr>
                <w:sz w:val="12"/>
                <w:szCs w:val="12"/>
              </w:rPr>
            </w:pPr>
            <w:r>
              <w:rPr>
                <w:sz w:val="12"/>
                <w:szCs w:val="12"/>
              </w:rPr>
              <w:t>11,055,000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627AF7A1"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227AD3AD" w14:textId="79B4DECA">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5D1754CF" w14:textId="48C17D13">
            <w:pPr>
              <w:widowControl/>
              <w:autoSpaceDE/>
              <w:autoSpaceDN/>
              <w:adjustRightInd/>
              <w:jc w:val="right"/>
              <w:rPr>
                <w:sz w:val="12"/>
                <w:szCs w:val="12"/>
              </w:rPr>
            </w:pPr>
            <w:r w:rsidRPr="00EE29C6">
              <w:rPr>
                <w:sz w:val="12"/>
                <w:szCs w:val="12"/>
              </w:rPr>
              <w:t>19,175,000</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631D758B" w14:textId="2C3081F2">
            <w:pPr>
              <w:widowControl/>
              <w:autoSpaceDE/>
              <w:autoSpaceDN/>
              <w:adjustRightInd/>
              <w:jc w:val="right"/>
              <w:rPr>
                <w:sz w:val="12"/>
                <w:szCs w:val="12"/>
              </w:rPr>
            </w:pPr>
            <w:r w:rsidRPr="00EE29C6">
              <w:rPr>
                <w:sz w:val="12"/>
                <w:szCs w:val="12"/>
              </w:rPr>
              <w:t>22,310,000</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7C33485C" w14:textId="7F0F2BE3">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566BDCB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2FF5CE2"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199AFC02"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69C28B27"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67615160" w14:textId="77777777">
            <w:pPr>
              <w:widowControl/>
              <w:autoSpaceDE/>
              <w:autoSpaceDN/>
              <w:adjustRightInd/>
              <w:jc w:val="right"/>
              <w:rPr>
                <w:sz w:val="12"/>
                <w:szCs w:val="12"/>
              </w:rPr>
            </w:pPr>
            <w:r w:rsidRPr="009A1427">
              <w:rPr>
                <w:sz w:val="12"/>
                <w:szCs w:val="12"/>
              </w:rPr>
              <w:t>-</w:t>
            </w:r>
          </w:p>
        </w:tc>
      </w:tr>
      <w:tr w:rsidRPr="009A1427" w:rsidR="0048300E" w:rsidTr="00923C22" w14:paraId="4BDC1B44"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73A33235" w14:textId="77777777">
            <w:pPr>
              <w:widowControl/>
              <w:autoSpaceDE/>
              <w:autoSpaceDN/>
              <w:adjustRightInd/>
              <w:jc w:val="left"/>
              <w:rPr>
                <w:sz w:val="12"/>
                <w:szCs w:val="12"/>
              </w:rPr>
            </w:pPr>
            <w:r w:rsidRPr="00484D82">
              <w:rPr>
                <w:sz w:val="12"/>
                <w:szCs w:val="12"/>
              </w:rPr>
              <w:t>2022 Series B</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56CA183C" w14:textId="77777777">
            <w:pPr>
              <w:widowControl/>
              <w:autoSpaceDE/>
              <w:autoSpaceDN/>
              <w:adjustRightInd/>
              <w:jc w:val="right"/>
              <w:rPr>
                <w:sz w:val="12"/>
                <w:szCs w:val="12"/>
              </w:rPr>
            </w:pPr>
            <w:r w:rsidRPr="00484D82">
              <w:rPr>
                <w:sz w:val="12"/>
                <w:szCs w:val="12"/>
              </w:rPr>
              <w:t>6/16/2022</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22108EBD" w14:textId="77777777">
            <w:pPr>
              <w:widowControl/>
              <w:autoSpaceDE/>
              <w:autoSpaceDN/>
              <w:adjustRightInd/>
              <w:jc w:val="right"/>
              <w:rPr>
                <w:sz w:val="12"/>
                <w:szCs w:val="12"/>
              </w:rPr>
            </w:pPr>
            <w:r w:rsidRPr="00484D82">
              <w:rPr>
                <w:sz w:val="12"/>
                <w:szCs w:val="12"/>
              </w:rPr>
              <w:t xml:space="preserve">$116,855,000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7040B370" w14:textId="3B2C209A">
            <w:pPr>
              <w:widowControl/>
              <w:autoSpaceDE/>
              <w:autoSpaceDN/>
              <w:adjustRightInd/>
              <w:jc w:val="right"/>
              <w:rPr>
                <w:sz w:val="12"/>
                <w:szCs w:val="12"/>
              </w:rPr>
            </w:pPr>
            <w:r w:rsidRPr="00CD04BA">
              <w:rPr>
                <w:sz w:val="12"/>
                <w:szCs w:val="12"/>
              </w:rPr>
              <w:t>109,845,000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7D30B42A"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507C9F6D" w14:textId="4D1E4663">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57FCEF4A"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1D74C9CB" w14:textId="7C72F7B4">
            <w:pPr>
              <w:widowControl/>
              <w:autoSpaceDE/>
              <w:autoSpaceDN/>
              <w:adjustRightInd/>
              <w:jc w:val="right"/>
              <w:rPr>
                <w:sz w:val="12"/>
                <w:szCs w:val="12"/>
              </w:rPr>
            </w:pPr>
            <w:r w:rsidRPr="00CD04BA">
              <w:rPr>
                <w:sz w:val="12"/>
                <w:szCs w:val="12"/>
              </w:rPr>
              <w:t>37,830,000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246E3768"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33504F46" w14:textId="3F2932E7">
            <w:pPr>
              <w:widowControl/>
              <w:autoSpaceDE/>
              <w:autoSpaceDN/>
              <w:adjustRightInd/>
              <w:jc w:val="right"/>
              <w:rPr>
                <w:sz w:val="12"/>
                <w:szCs w:val="12"/>
              </w:rPr>
            </w:pPr>
            <w:r w:rsidRPr="00CD04BA">
              <w:rPr>
                <w:sz w:val="12"/>
                <w:szCs w:val="12"/>
              </w:rPr>
              <w:t>11,775,000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2AFDF6A4"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6BEBAC9F" w14:textId="51778282">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4B4A2EB2" w14:textId="76946BD9">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77EE41E5" w14:textId="23C93E04">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0A62E93A" w14:textId="7A7F8666">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0F9A1371" w14:textId="77777777">
            <w:pPr>
              <w:widowControl/>
              <w:autoSpaceDE/>
              <w:autoSpaceDN/>
              <w:adjustRightInd/>
              <w:jc w:val="right"/>
              <w:rPr>
                <w:sz w:val="12"/>
                <w:szCs w:val="12"/>
              </w:rPr>
            </w:pPr>
            <w:r w:rsidRPr="00A0434B">
              <w:rPr>
                <w:sz w:val="12"/>
                <w:szCs w:val="12"/>
              </w:rPr>
              <w:t xml:space="preserve">4,840,000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4E88076" w14:textId="77777777">
            <w:pPr>
              <w:widowControl/>
              <w:autoSpaceDE/>
              <w:autoSpaceDN/>
              <w:adjustRightInd/>
              <w:jc w:val="right"/>
              <w:rPr>
                <w:sz w:val="12"/>
                <w:szCs w:val="12"/>
              </w:rPr>
            </w:pPr>
            <w:r w:rsidRPr="00A0434B">
              <w:rPr>
                <w:sz w:val="12"/>
                <w:szCs w:val="12"/>
              </w:rPr>
              <w:t xml:space="preserve">55,400,000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695015E"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1D62261A"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595C7AB3" w14:textId="77777777">
            <w:pPr>
              <w:widowControl/>
              <w:autoSpaceDE/>
              <w:autoSpaceDN/>
              <w:adjustRightInd/>
              <w:jc w:val="right"/>
              <w:rPr>
                <w:sz w:val="12"/>
                <w:szCs w:val="12"/>
              </w:rPr>
            </w:pPr>
            <w:r w:rsidRPr="009A1427">
              <w:rPr>
                <w:sz w:val="12"/>
                <w:szCs w:val="12"/>
              </w:rPr>
              <w:t>-</w:t>
            </w:r>
          </w:p>
        </w:tc>
      </w:tr>
      <w:tr w:rsidRPr="009A1427" w:rsidR="0048300E" w:rsidTr="00923C22" w14:paraId="00F759D1"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560ECB4E" w14:textId="77777777">
            <w:pPr>
              <w:widowControl/>
              <w:autoSpaceDE/>
              <w:autoSpaceDN/>
              <w:adjustRightInd/>
              <w:jc w:val="left"/>
              <w:rPr>
                <w:sz w:val="12"/>
                <w:szCs w:val="12"/>
              </w:rPr>
            </w:pPr>
            <w:r w:rsidRPr="00484D82">
              <w:rPr>
                <w:sz w:val="12"/>
                <w:szCs w:val="12"/>
              </w:rPr>
              <w:t>2022 Series C-1</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109A53BE" w14:textId="77777777">
            <w:pPr>
              <w:widowControl/>
              <w:autoSpaceDE/>
              <w:autoSpaceDN/>
              <w:adjustRightInd/>
              <w:jc w:val="right"/>
              <w:rPr>
                <w:sz w:val="12"/>
                <w:szCs w:val="12"/>
              </w:rPr>
            </w:pPr>
            <w:r w:rsidRPr="00484D82">
              <w:rPr>
                <w:sz w:val="12"/>
                <w:szCs w:val="12"/>
              </w:rPr>
              <w:t>9/27/2022</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0B8B62CA" w14:textId="77777777">
            <w:pPr>
              <w:widowControl/>
              <w:autoSpaceDE/>
              <w:autoSpaceDN/>
              <w:adjustRightInd/>
              <w:jc w:val="right"/>
              <w:rPr>
                <w:sz w:val="12"/>
                <w:szCs w:val="12"/>
              </w:rPr>
            </w:pPr>
            <w:r w:rsidRPr="00484D82">
              <w:rPr>
                <w:sz w:val="12"/>
                <w:szCs w:val="12"/>
              </w:rPr>
              <w:t xml:space="preserve">$149,825,000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7D598CC9" w14:textId="34523936">
            <w:pPr>
              <w:widowControl/>
              <w:autoSpaceDE/>
              <w:autoSpaceDN/>
              <w:adjustRightInd/>
              <w:jc w:val="right"/>
              <w:rPr>
                <w:sz w:val="12"/>
                <w:szCs w:val="12"/>
              </w:rPr>
            </w:pPr>
            <w:r w:rsidRPr="00CD04BA">
              <w:rPr>
                <w:sz w:val="12"/>
                <w:szCs w:val="12"/>
              </w:rPr>
              <w:t>147,915,000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6F7AFE11"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5C71C68A" w14:textId="69ED04D8">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3DA796C"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3F70DD2E" w14:textId="442D4059">
            <w:pPr>
              <w:widowControl/>
              <w:autoSpaceDE/>
              <w:autoSpaceDN/>
              <w:adjustRightInd/>
              <w:jc w:val="right"/>
              <w:rPr>
                <w:sz w:val="12"/>
                <w:szCs w:val="12"/>
              </w:rPr>
            </w:pPr>
            <w:r w:rsidRPr="00CD04BA">
              <w:rPr>
                <w:sz w:val="12"/>
                <w:szCs w:val="12"/>
              </w:rPr>
              <w:t>23,090,000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67E20959"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658D7ACA" w14:textId="540FBB45">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7FAC80F4"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17DC0E39" w14:textId="5984C02E">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701A64AA" w14:textId="30C1F9B4">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3F94C44B" w14:textId="3342C7A9">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48300E" w:rsidR="0048300E" w:rsidP="0048300E" w:rsidRDefault="0048300E" w14:paraId="493B58DF" w14:textId="0BB615B6">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04CD44DF"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1D7DB07" w14:textId="77777777">
            <w:pPr>
              <w:widowControl/>
              <w:autoSpaceDE/>
              <w:autoSpaceDN/>
              <w:adjustRightInd/>
              <w:jc w:val="right"/>
              <w:rPr>
                <w:sz w:val="12"/>
                <w:szCs w:val="12"/>
              </w:rPr>
            </w:pPr>
            <w:r w:rsidRPr="00A0434B">
              <w:rPr>
                <w:sz w:val="12"/>
                <w:szCs w:val="12"/>
              </w:rPr>
              <w:t xml:space="preserve">19,730,000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60FA8856" w14:textId="77777777">
            <w:pPr>
              <w:widowControl/>
              <w:autoSpaceDE/>
              <w:autoSpaceDN/>
              <w:adjustRightInd/>
              <w:jc w:val="right"/>
              <w:rPr>
                <w:sz w:val="12"/>
                <w:szCs w:val="12"/>
              </w:rPr>
            </w:pPr>
            <w:r w:rsidRPr="00A0434B">
              <w:rPr>
                <w:sz w:val="12"/>
                <w:szCs w:val="12"/>
              </w:rPr>
              <w:t xml:space="preserve">105,095,000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64D418F"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5CD8B728" w14:textId="77777777">
            <w:pPr>
              <w:widowControl/>
              <w:autoSpaceDE/>
              <w:autoSpaceDN/>
              <w:adjustRightInd/>
              <w:jc w:val="right"/>
              <w:rPr>
                <w:sz w:val="12"/>
                <w:szCs w:val="12"/>
              </w:rPr>
            </w:pPr>
            <w:r w:rsidRPr="009A1427">
              <w:rPr>
                <w:sz w:val="12"/>
                <w:szCs w:val="12"/>
              </w:rPr>
              <w:t>-</w:t>
            </w:r>
          </w:p>
        </w:tc>
      </w:tr>
      <w:tr w:rsidRPr="009A1427" w:rsidR="0048300E" w:rsidTr="00923C22" w14:paraId="0561AB99"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2C3D6A10" w14:textId="77777777">
            <w:pPr>
              <w:widowControl/>
              <w:autoSpaceDE/>
              <w:autoSpaceDN/>
              <w:adjustRightInd/>
              <w:jc w:val="left"/>
              <w:rPr>
                <w:sz w:val="12"/>
                <w:szCs w:val="12"/>
              </w:rPr>
            </w:pPr>
            <w:r w:rsidRPr="00484D82">
              <w:rPr>
                <w:sz w:val="12"/>
                <w:szCs w:val="12"/>
              </w:rPr>
              <w:t>2022 Series C-2</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4B1AB810" w14:textId="77777777">
            <w:pPr>
              <w:widowControl/>
              <w:autoSpaceDE/>
              <w:autoSpaceDN/>
              <w:adjustRightInd/>
              <w:jc w:val="right"/>
              <w:rPr>
                <w:sz w:val="12"/>
                <w:szCs w:val="12"/>
              </w:rPr>
            </w:pPr>
            <w:r w:rsidRPr="00484D82">
              <w:rPr>
                <w:sz w:val="12"/>
                <w:szCs w:val="12"/>
              </w:rPr>
              <w:t>9/27/2022</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5B141165" w14:textId="77777777">
            <w:pPr>
              <w:widowControl/>
              <w:autoSpaceDE/>
              <w:autoSpaceDN/>
              <w:adjustRightInd/>
              <w:jc w:val="right"/>
              <w:rPr>
                <w:sz w:val="12"/>
                <w:szCs w:val="12"/>
              </w:rPr>
            </w:pPr>
            <w:r w:rsidRPr="00484D82">
              <w:rPr>
                <w:sz w:val="12"/>
                <w:szCs w:val="12"/>
              </w:rPr>
              <w:t xml:space="preserve">$3,780,000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2BEC2E1A" w14:textId="5C717031">
            <w:pPr>
              <w:widowControl/>
              <w:autoSpaceDE/>
              <w:autoSpaceDN/>
              <w:adjustRightInd/>
              <w:jc w:val="right"/>
              <w:rPr>
                <w:sz w:val="12"/>
                <w:szCs w:val="12"/>
              </w:rPr>
            </w:pPr>
            <w:r w:rsidRPr="00CD04BA">
              <w:rPr>
                <w:sz w:val="12"/>
                <w:szCs w:val="12"/>
              </w:rPr>
              <w:t>1,000,000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1EB17031"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1829CBFD" w14:textId="6189994D">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168367A1"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4A2B403D" w14:textId="04A3CF00">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784C3933"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Pr="009A1427" w:rsidR="0048300E" w:rsidP="0048300E" w:rsidRDefault="0048300E" w14:paraId="1F3B5FF3" w14:textId="0A18AB6F">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43DCC205"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EE29C6" w:rsidR="0048300E" w:rsidP="0048300E" w:rsidRDefault="0048300E" w14:paraId="070C245E" w14:textId="234FC29A">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77DBE8DC" w14:textId="38437850">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4A814166" w14:textId="75051603">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48300E" w:rsidR="0048300E" w:rsidP="0048300E" w:rsidRDefault="0048300E" w14:paraId="5BB6BB19" w14:textId="18853BD5">
            <w:pPr>
              <w:widowControl/>
              <w:autoSpaceDE/>
              <w:autoSpaceDN/>
              <w:adjustRightInd/>
              <w:jc w:val="right"/>
              <w:rPr>
                <w:sz w:val="12"/>
                <w:szCs w:val="12"/>
              </w:rPr>
            </w:pPr>
            <w:r w:rsidRPr="0048300E">
              <w:rPr>
                <w:sz w:val="12"/>
                <w:szCs w:val="12"/>
              </w:rPr>
              <w:t>1,000,000</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0C348E25"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73DCFAC"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7954D618"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6A6440A"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738D0E12" w14:textId="77777777">
            <w:pPr>
              <w:widowControl/>
              <w:autoSpaceDE/>
              <w:autoSpaceDN/>
              <w:adjustRightInd/>
              <w:jc w:val="right"/>
              <w:rPr>
                <w:sz w:val="12"/>
                <w:szCs w:val="12"/>
              </w:rPr>
            </w:pPr>
            <w:r w:rsidRPr="009A1427">
              <w:rPr>
                <w:sz w:val="12"/>
                <w:szCs w:val="12"/>
              </w:rPr>
              <w:t>-</w:t>
            </w:r>
          </w:p>
        </w:tc>
      </w:tr>
      <w:tr w:rsidRPr="009A1427" w:rsidR="0048300E" w:rsidTr="00923C22" w14:paraId="26741DE9"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0F00C528" w14:textId="77777777">
            <w:pPr>
              <w:widowControl/>
              <w:autoSpaceDE/>
              <w:autoSpaceDN/>
              <w:adjustRightInd/>
              <w:jc w:val="left"/>
              <w:rPr>
                <w:sz w:val="12"/>
                <w:szCs w:val="12"/>
              </w:rPr>
            </w:pPr>
            <w:r w:rsidRPr="00484D82">
              <w:rPr>
                <w:sz w:val="12"/>
                <w:szCs w:val="12"/>
              </w:rPr>
              <w:t>2023 Series A-1</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2B984854" w14:textId="77777777">
            <w:pPr>
              <w:widowControl/>
              <w:autoSpaceDE/>
              <w:autoSpaceDN/>
              <w:adjustRightInd/>
              <w:jc w:val="right"/>
              <w:rPr>
                <w:sz w:val="12"/>
                <w:szCs w:val="12"/>
              </w:rPr>
            </w:pPr>
            <w:r w:rsidRPr="00484D82">
              <w:rPr>
                <w:sz w:val="12"/>
                <w:szCs w:val="12"/>
              </w:rPr>
              <w:t>1/26/2023</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0C1B8C38" w14:textId="77777777">
            <w:pPr>
              <w:widowControl/>
              <w:autoSpaceDE/>
              <w:autoSpaceDN/>
              <w:adjustRightInd/>
              <w:jc w:val="right"/>
              <w:rPr>
                <w:sz w:val="12"/>
                <w:szCs w:val="12"/>
              </w:rPr>
            </w:pPr>
            <w:r w:rsidRPr="00484D82">
              <w:rPr>
                <w:sz w:val="12"/>
                <w:szCs w:val="12"/>
              </w:rPr>
              <w:t xml:space="preserve">$72,645,000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17DF01AF" w14:textId="593C7750">
            <w:pPr>
              <w:widowControl/>
              <w:autoSpaceDE/>
              <w:autoSpaceDN/>
              <w:adjustRightInd/>
              <w:jc w:val="right"/>
              <w:rPr>
                <w:sz w:val="12"/>
                <w:szCs w:val="12"/>
              </w:rPr>
            </w:pPr>
            <w:r w:rsidRPr="00CD04BA">
              <w:rPr>
                <w:sz w:val="12"/>
                <w:szCs w:val="12"/>
              </w:rPr>
              <w:t>71,680,000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61505909"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62748C87" w14:textId="41FCC64B">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2C400437"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2EEE7E69" w14:textId="55181B01">
            <w:pPr>
              <w:widowControl/>
              <w:autoSpaceDE/>
              <w:autoSpaceDN/>
              <w:adjustRightInd/>
              <w:jc w:val="right"/>
              <w:rPr>
                <w:sz w:val="12"/>
                <w:szCs w:val="12"/>
              </w:rPr>
            </w:pPr>
            <w:r w:rsidRPr="00CD04BA">
              <w:rPr>
                <w:sz w:val="12"/>
                <w:szCs w:val="12"/>
              </w:rPr>
              <w:t>23,595,000</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0E74401D"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Pr="009A1427" w:rsidR="0048300E" w:rsidP="0048300E" w:rsidRDefault="0048300E" w14:paraId="1CCC5455" w14:textId="09172240">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65CBF268"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EE29C6" w:rsidR="0048300E" w:rsidP="0048300E" w:rsidRDefault="0048300E" w14:paraId="5C1F5C17" w14:textId="7A5D96B3">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3A1CD62B" w14:textId="1285E54F">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7F50F41A" w14:textId="3ADE94D4">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48300E" w:rsidR="0048300E" w:rsidP="0048300E" w:rsidRDefault="0048300E" w14:paraId="5FB18A65" w14:textId="7354F43C">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391735C2" w14:textId="77777777">
            <w:pPr>
              <w:widowControl/>
              <w:autoSpaceDE/>
              <w:autoSpaceDN/>
              <w:adjustRightInd/>
              <w:jc w:val="right"/>
              <w:rPr>
                <w:sz w:val="12"/>
                <w:szCs w:val="12"/>
              </w:rPr>
            </w:pPr>
            <w:r w:rsidRPr="00A0434B">
              <w:rPr>
                <w:sz w:val="12"/>
                <w:szCs w:val="12"/>
              </w:rPr>
              <w:t xml:space="preserve">2,850,000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4A7630FD" w14:textId="77777777">
            <w:pPr>
              <w:widowControl/>
              <w:autoSpaceDE/>
              <w:autoSpaceDN/>
              <w:adjustRightInd/>
              <w:jc w:val="right"/>
              <w:rPr>
                <w:sz w:val="12"/>
                <w:szCs w:val="12"/>
              </w:rPr>
            </w:pPr>
            <w:r>
              <w:rPr>
                <w:sz w:val="12"/>
                <w:szCs w:val="12"/>
              </w:rPr>
              <w:t>6,090,000</w:t>
            </w:r>
            <w:r w:rsidRPr="00A0434B">
              <w:rPr>
                <w:sz w:val="12"/>
                <w:szCs w:val="12"/>
              </w:rPr>
              <w:t xml:space="preserve">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34227C3" w14:textId="77777777">
            <w:pPr>
              <w:widowControl/>
              <w:autoSpaceDE/>
              <w:autoSpaceDN/>
              <w:adjustRightInd/>
              <w:jc w:val="right"/>
              <w:rPr>
                <w:sz w:val="12"/>
                <w:szCs w:val="12"/>
              </w:rPr>
            </w:pPr>
            <w:r w:rsidRPr="00A0434B">
              <w:rPr>
                <w:sz w:val="12"/>
                <w:szCs w:val="12"/>
              </w:rPr>
              <w:t xml:space="preserve">39,145,000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BFC331E"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6541C01E" w14:textId="77777777">
            <w:pPr>
              <w:widowControl/>
              <w:autoSpaceDE/>
              <w:autoSpaceDN/>
              <w:adjustRightInd/>
              <w:jc w:val="right"/>
              <w:rPr>
                <w:sz w:val="12"/>
                <w:szCs w:val="12"/>
              </w:rPr>
            </w:pPr>
            <w:r w:rsidRPr="009A1427">
              <w:rPr>
                <w:sz w:val="12"/>
                <w:szCs w:val="12"/>
              </w:rPr>
              <w:t>-</w:t>
            </w:r>
          </w:p>
        </w:tc>
      </w:tr>
      <w:tr w:rsidRPr="009A1427" w:rsidR="0048300E" w:rsidTr="00923C22" w14:paraId="6E0D26C8"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4FAC3368" w14:textId="77777777">
            <w:pPr>
              <w:widowControl/>
              <w:autoSpaceDE/>
              <w:autoSpaceDN/>
              <w:adjustRightInd/>
              <w:jc w:val="left"/>
              <w:rPr>
                <w:sz w:val="12"/>
                <w:szCs w:val="12"/>
              </w:rPr>
            </w:pPr>
            <w:r w:rsidRPr="00484D82">
              <w:rPr>
                <w:sz w:val="12"/>
                <w:szCs w:val="12"/>
              </w:rPr>
              <w:t>2023 Series B-1</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1C3D0CBA" w14:textId="77777777">
            <w:pPr>
              <w:widowControl/>
              <w:autoSpaceDE/>
              <w:autoSpaceDN/>
              <w:adjustRightInd/>
              <w:jc w:val="right"/>
              <w:rPr>
                <w:sz w:val="12"/>
                <w:szCs w:val="12"/>
              </w:rPr>
            </w:pPr>
            <w:r w:rsidRPr="00484D82">
              <w:rPr>
                <w:sz w:val="12"/>
                <w:szCs w:val="12"/>
              </w:rPr>
              <w:t>5/11/2023</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6D1DFD48" w14:textId="77777777">
            <w:pPr>
              <w:widowControl/>
              <w:autoSpaceDE/>
              <w:autoSpaceDN/>
              <w:adjustRightInd/>
              <w:jc w:val="right"/>
              <w:rPr>
                <w:sz w:val="12"/>
                <w:szCs w:val="12"/>
              </w:rPr>
            </w:pPr>
            <w:r w:rsidRPr="00484D82">
              <w:rPr>
                <w:sz w:val="12"/>
                <w:szCs w:val="12"/>
              </w:rPr>
              <w:t xml:space="preserve">$44,805,000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328A9876" w14:textId="222AC720">
            <w:pPr>
              <w:widowControl/>
              <w:autoSpaceDE/>
              <w:autoSpaceDN/>
              <w:adjustRightInd/>
              <w:jc w:val="right"/>
              <w:rPr>
                <w:sz w:val="12"/>
                <w:szCs w:val="12"/>
              </w:rPr>
            </w:pPr>
            <w:r w:rsidRPr="00CD04BA">
              <w:rPr>
                <w:sz w:val="12"/>
                <w:szCs w:val="12"/>
              </w:rPr>
              <w:t>44,805,000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0A07B086"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640BCD5C" w14:textId="02758961">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33D2239B"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1FACBB57" w14:textId="1C64FE2E">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409BBDC4"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Pr="009A1427" w:rsidR="0048300E" w:rsidP="0048300E" w:rsidRDefault="0048300E" w14:paraId="31CBD4C8" w14:textId="57223E00">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73AEC88E"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EE29C6" w:rsidR="0048300E" w:rsidP="0048300E" w:rsidRDefault="0048300E" w14:paraId="1350EFDE" w14:textId="5CBCB7C8">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230EC9ED" w14:textId="4510E64A">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09655E5F" w14:textId="3CE8E2F5">
            <w:pPr>
              <w:widowControl/>
              <w:autoSpaceDE/>
              <w:autoSpaceDN/>
              <w:adjustRightInd/>
              <w:jc w:val="right"/>
              <w:rPr>
                <w:sz w:val="12"/>
                <w:szCs w:val="12"/>
              </w:rPr>
            </w:pPr>
            <w:r w:rsidRPr="00EE29C6">
              <w:rPr>
                <w:sz w:val="12"/>
                <w:szCs w:val="12"/>
              </w:rPr>
              <w:t>90,000</w:t>
            </w:r>
          </w:p>
        </w:tc>
        <w:tc>
          <w:tcPr>
            <w:tcW w:w="816" w:type="dxa"/>
            <w:tcBorders>
              <w:top w:val="nil"/>
              <w:left w:val="nil"/>
              <w:bottom w:val="nil"/>
              <w:right w:val="nil"/>
            </w:tcBorders>
            <w:shd w:val="clear" w:color="auto" w:fill="auto"/>
            <w:noWrap/>
            <w:vAlign w:val="bottom"/>
          </w:tcPr>
          <w:p w:rsidRPr="0048300E" w:rsidR="0048300E" w:rsidP="0048300E" w:rsidRDefault="0048300E" w14:paraId="10E20AC0" w14:textId="3F136D31">
            <w:pPr>
              <w:widowControl/>
              <w:autoSpaceDE/>
              <w:autoSpaceDN/>
              <w:adjustRightInd/>
              <w:jc w:val="right"/>
              <w:rPr>
                <w:sz w:val="12"/>
                <w:szCs w:val="12"/>
              </w:rPr>
            </w:pPr>
            <w:r w:rsidRPr="0048300E">
              <w:rPr>
                <w:sz w:val="12"/>
                <w:szCs w:val="12"/>
              </w:rPr>
              <w:t>1,545,000</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4AC32FFB" w14:textId="77777777">
            <w:pPr>
              <w:widowControl/>
              <w:autoSpaceDE/>
              <w:autoSpaceDN/>
              <w:adjustRightInd/>
              <w:jc w:val="right"/>
              <w:rPr>
                <w:sz w:val="12"/>
                <w:szCs w:val="12"/>
              </w:rPr>
            </w:pPr>
            <w:r w:rsidRPr="00A0434B">
              <w:rPr>
                <w:sz w:val="12"/>
                <w:szCs w:val="12"/>
              </w:rPr>
              <w:t xml:space="preserve">910,000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D148DEB" w14:textId="77777777">
            <w:pPr>
              <w:widowControl/>
              <w:autoSpaceDE/>
              <w:autoSpaceDN/>
              <w:adjustRightInd/>
              <w:jc w:val="right"/>
              <w:rPr>
                <w:sz w:val="12"/>
                <w:szCs w:val="12"/>
              </w:rPr>
            </w:pPr>
            <w:r w:rsidRPr="00A0434B">
              <w:rPr>
                <w:sz w:val="12"/>
                <w:szCs w:val="12"/>
              </w:rPr>
              <w:t xml:space="preserve">12,090,000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8955320" w14:textId="77777777">
            <w:pPr>
              <w:widowControl/>
              <w:autoSpaceDE/>
              <w:autoSpaceDN/>
              <w:adjustRightInd/>
              <w:jc w:val="right"/>
              <w:rPr>
                <w:sz w:val="12"/>
                <w:szCs w:val="12"/>
              </w:rPr>
            </w:pPr>
            <w:r w:rsidRPr="00A0434B">
              <w:rPr>
                <w:sz w:val="12"/>
                <w:szCs w:val="12"/>
              </w:rPr>
              <w:t xml:space="preserve">30,170,000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73A2DBE5"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49DAE843" w14:textId="77777777">
            <w:pPr>
              <w:widowControl/>
              <w:autoSpaceDE/>
              <w:autoSpaceDN/>
              <w:adjustRightInd/>
              <w:jc w:val="right"/>
              <w:rPr>
                <w:sz w:val="12"/>
                <w:szCs w:val="12"/>
              </w:rPr>
            </w:pPr>
            <w:r w:rsidRPr="009A1427">
              <w:rPr>
                <w:sz w:val="12"/>
                <w:szCs w:val="12"/>
              </w:rPr>
              <w:t>-</w:t>
            </w:r>
          </w:p>
        </w:tc>
      </w:tr>
      <w:tr w:rsidRPr="009A1427" w:rsidR="0048300E" w:rsidTr="00923C22" w14:paraId="284644EE"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0995BBB3" w14:textId="77777777">
            <w:pPr>
              <w:widowControl/>
              <w:autoSpaceDE/>
              <w:autoSpaceDN/>
              <w:adjustRightInd/>
              <w:jc w:val="left"/>
              <w:rPr>
                <w:sz w:val="12"/>
                <w:szCs w:val="12"/>
              </w:rPr>
            </w:pPr>
            <w:r w:rsidRPr="00484D82">
              <w:rPr>
                <w:sz w:val="12"/>
                <w:szCs w:val="12"/>
              </w:rPr>
              <w:t>2023 Series B-2</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504E6B03" w14:textId="77777777">
            <w:pPr>
              <w:widowControl/>
              <w:autoSpaceDE/>
              <w:autoSpaceDN/>
              <w:adjustRightInd/>
              <w:jc w:val="right"/>
              <w:rPr>
                <w:sz w:val="12"/>
                <w:szCs w:val="12"/>
              </w:rPr>
            </w:pPr>
            <w:r w:rsidRPr="00484D82">
              <w:rPr>
                <w:sz w:val="12"/>
                <w:szCs w:val="12"/>
              </w:rPr>
              <w:t>5/11/2023</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6B6C39A3" w14:textId="77777777">
            <w:pPr>
              <w:widowControl/>
              <w:autoSpaceDE/>
              <w:autoSpaceDN/>
              <w:adjustRightInd/>
              <w:jc w:val="right"/>
              <w:rPr>
                <w:sz w:val="12"/>
                <w:szCs w:val="12"/>
              </w:rPr>
            </w:pPr>
            <w:r w:rsidRPr="00484D82">
              <w:rPr>
                <w:sz w:val="12"/>
                <w:szCs w:val="12"/>
              </w:rPr>
              <w:t xml:space="preserve">$5,020,000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31EC2378" w14:textId="6BAD0EC5">
            <w:pPr>
              <w:widowControl/>
              <w:autoSpaceDE/>
              <w:autoSpaceDN/>
              <w:adjustRightInd/>
              <w:jc w:val="right"/>
              <w:rPr>
                <w:sz w:val="12"/>
                <w:szCs w:val="12"/>
              </w:rPr>
            </w:pPr>
            <w:r w:rsidRPr="00CD04BA">
              <w:rPr>
                <w:sz w:val="12"/>
                <w:szCs w:val="12"/>
              </w:rPr>
              <w:t>3,890,000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4B1972CF"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2A563C3A" w14:textId="608588EA">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49514C6B"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4EED8C6C" w14:textId="374E80B4">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0A30E620"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Pr="009A1427" w:rsidR="0048300E" w:rsidP="0048300E" w:rsidRDefault="0048300E" w14:paraId="10F919C4" w14:textId="4A8E4E96">
            <w:pPr>
              <w:widowControl/>
              <w:autoSpaceDE/>
              <w:autoSpaceDN/>
              <w:adjustRightInd/>
              <w:jc w:val="right"/>
              <w:rPr>
                <w:sz w:val="12"/>
                <w:szCs w:val="12"/>
              </w:rPr>
            </w:pPr>
            <w:r w:rsidRPr="00CD04BA">
              <w:rPr>
                <w:sz w:val="12"/>
                <w:szCs w:val="12"/>
              </w:rPr>
              <w:t>3,890,000</w:t>
            </w:r>
          </w:p>
        </w:tc>
        <w:tc>
          <w:tcPr>
            <w:tcW w:w="260" w:type="dxa"/>
            <w:tcBorders>
              <w:top w:val="nil"/>
              <w:left w:val="nil"/>
              <w:bottom w:val="nil"/>
              <w:right w:val="nil"/>
            </w:tcBorders>
            <w:shd w:val="clear" w:color="auto" w:fill="auto"/>
            <w:noWrap/>
            <w:vAlign w:val="bottom"/>
          </w:tcPr>
          <w:p w:rsidRPr="009A1427" w:rsidR="0048300E" w:rsidP="0048300E" w:rsidRDefault="0048300E" w14:paraId="3F5E3A43"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EE29C6" w:rsidR="0048300E" w:rsidP="0048300E" w:rsidRDefault="0048300E" w14:paraId="1CEDEFD0" w14:textId="07571315">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6F15BF5F" w14:textId="1DA103A0">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305BA449" w14:textId="7B301EAB">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46BA5943" w14:textId="2C426CAE">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75FF49E3"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DC26E8B"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0717A5B0"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313C0696"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66D5846D" w14:textId="77777777">
            <w:pPr>
              <w:widowControl/>
              <w:autoSpaceDE/>
              <w:autoSpaceDN/>
              <w:adjustRightInd/>
              <w:jc w:val="right"/>
              <w:rPr>
                <w:sz w:val="12"/>
                <w:szCs w:val="12"/>
              </w:rPr>
            </w:pPr>
            <w:r w:rsidRPr="009A1427">
              <w:rPr>
                <w:sz w:val="12"/>
                <w:szCs w:val="12"/>
              </w:rPr>
              <w:t>-</w:t>
            </w:r>
          </w:p>
        </w:tc>
      </w:tr>
      <w:tr w:rsidRPr="009A1427" w:rsidR="0048300E" w:rsidTr="00923C22" w14:paraId="2829157F" w14:textId="77777777">
        <w:trPr>
          <w:trHeight w:val="48"/>
        </w:trPr>
        <w:tc>
          <w:tcPr>
            <w:tcW w:w="1170" w:type="dxa"/>
            <w:tcBorders>
              <w:top w:val="nil"/>
              <w:left w:val="nil"/>
              <w:bottom w:val="nil"/>
              <w:right w:val="nil"/>
            </w:tcBorders>
            <w:shd w:val="clear" w:color="auto" w:fill="auto"/>
            <w:noWrap/>
            <w:vAlign w:val="bottom"/>
            <w:hideMark/>
          </w:tcPr>
          <w:p w:rsidRPr="00484D82" w:rsidR="0048300E" w:rsidP="0048300E" w:rsidRDefault="0048300E" w14:paraId="2ACF378D" w14:textId="77777777">
            <w:pPr>
              <w:widowControl/>
              <w:autoSpaceDE/>
              <w:autoSpaceDN/>
              <w:adjustRightInd/>
              <w:jc w:val="left"/>
              <w:rPr>
                <w:sz w:val="12"/>
                <w:szCs w:val="12"/>
              </w:rPr>
            </w:pPr>
            <w:r w:rsidRPr="00484D82">
              <w:rPr>
                <w:sz w:val="12"/>
                <w:szCs w:val="12"/>
              </w:rPr>
              <w:t>2023 Series C-1</w:t>
            </w:r>
          </w:p>
        </w:tc>
        <w:tc>
          <w:tcPr>
            <w:tcW w:w="763" w:type="dxa"/>
            <w:tcBorders>
              <w:top w:val="nil"/>
              <w:left w:val="nil"/>
              <w:bottom w:val="nil"/>
              <w:right w:val="nil"/>
            </w:tcBorders>
            <w:shd w:val="clear" w:color="auto" w:fill="auto"/>
            <w:noWrap/>
            <w:vAlign w:val="bottom"/>
            <w:hideMark/>
          </w:tcPr>
          <w:p w:rsidRPr="00484D82" w:rsidR="0048300E" w:rsidP="0048300E" w:rsidRDefault="0048300E" w14:paraId="6A92F4EF" w14:textId="77777777">
            <w:pPr>
              <w:widowControl/>
              <w:autoSpaceDE/>
              <w:autoSpaceDN/>
              <w:adjustRightInd/>
              <w:jc w:val="right"/>
              <w:rPr>
                <w:sz w:val="12"/>
                <w:szCs w:val="12"/>
              </w:rPr>
            </w:pPr>
            <w:r w:rsidRPr="00484D82">
              <w:rPr>
                <w:sz w:val="12"/>
                <w:szCs w:val="12"/>
              </w:rPr>
              <w:t>8/17/2023</w:t>
            </w:r>
          </w:p>
        </w:tc>
        <w:tc>
          <w:tcPr>
            <w:tcW w:w="966" w:type="dxa"/>
            <w:tcBorders>
              <w:top w:val="nil"/>
              <w:left w:val="nil"/>
              <w:bottom w:val="nil"/>
              <w:right w:val="nil"/>
            </w:tcBorders>
            <w:shd w:val="clear" w:color="auto" w:fill="auto"/>
            <w:noWrap/>
            <w:vAlign w:val="bottom"/>
            <w:hideMark/>
          </w:tcPr>
          <w:p w:rsidRPr="00484D82" w:rsidR="0048300E" w:rsidP="0048300E" w:rsidRDefault="0048300E" w14:paraId="22CB776D" w14:textId="77777777">
            <w:pPr>
              <w:widowControl/>
              <w:autoSpaceDE/>
              <w:autoSpaceDN/>
              <w:adjustRightInd/>
              <w:jc w:val="right"/>
              <w:rPr>
                <w:sz w:val="12"/>
                <w:szCs w:val="12"/>
              </w:rPr>
            </w:pPr>
            <w:r w:rsidRPr="00484D82">
              <w:rPr>
                <w:sz w:val="12"/>
                <w:szCs w:val="12"/>
              </w:rPr>
              <w:t xml:space="preserve">$45,000,000 </w:t>
            </w:r>
          </w:p>
        </w:tc>
        <w:tc>
          <w:tcPr>
            <w:tcW w:w="966" w:type="dxa"/>
            <w:tcBorders>
              <w:top w:val="nil"/>
              <w:left w:val="nil"/>
              <w:bottom w:val="nil"/>
              <w:right w:val="nil"/>
            </w:tcBorders>
            <w:shd w:val="clear" w:color="auto" w:fill="auto"/>
            <w:noWrap/>
            <w:vAlign w:val="bottom"/>
            <w:hideMark/>
          </w:tcPr>
          <w:p w:rsidRPr="00CD04BA" w:rsidR="0048300E" w:rsidP="0048300E" w:rsidRDefault="0048300E" w14:paraId="72B15B13" w14:textId="06158E68">
            <w:pPr>
              <w:widowControl/>
              <w:autoSpaceDE/>
              <w:autoSpaceDN/>
              <w:adjustRightInd/>
              <w:jc w:val="right"/>
              <w:rPr>
                <w:sz w:val="12"/>
                <w:szCs w:val="12"/>
              </w:rPr>
            </w:pPr>
            <w:r w:rsidRPr="00CD04BA">
              <w:rPr>
                <w:sz w:val="12"/>
                <w:szCs w:val="12"/>
              </w:rPr>
              <w:t>45,000,000</w:t>
            </w:r>
          </w:p>
        </w:tc>
        <w:tc>
          <w:tcPr>
            <w:tcW w:w="249" w:type="dxa"/>
            <w:tcBorders>
              <w:top w:val="nil"/>
              <w:left w:val="nil"/>
              <w:bottom w:val="nil"/>
              <w:right w:val="nil"/>
            </w:tcBorders>
            <w:shd w:val="clear" w:color="auto" w:fill="auto"/>
            <w:noWrap/>
            <w:vAlign w:val="bottom"/>
            <w:hideMark/>
          </w:tcPr>
          <w:p w:rsidRPr="009A1427" w:rsidR="0048300E" w:rsidP="0048300E" w:rsidRDefault="0048300E" w14:paraId="18FFD6E0"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29E3034D" w14:textId="18CD3121">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05027618"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CD04BA" w:rsidR="0048300E" w:rsidP="0048300E" w:rsidRDefault="0048300E" w14:paraId="4A793762" w14:textId="430A6FB8">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274E7B14"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48300E" w:rsidP="0048300E" w:rsidRDefault="0048300E" w14:paraId="08D464E4" w14:textId="038CAFF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9A1427" w:rsidR="0048300E" w:rsidP="0048300E" w:rsidRDefault="0048300E" w14:paraId="572F4243"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EE29C6" w:rsidR="0048300E" w:rsidP="0048300E" w:rsidRDefault="0048300E" w14:paraId="4B0DF076" w14:textId="21A31872">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70CEBCD3" w14:textId="39F5BD09">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EE29C6" w:rsidR="0048300E" w:rsidP="0048300E" w:rsidRDefault="0048300E" w14:paraId="462EE250" w14:textId="036B7275">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48300E" w:rsidR="0048300E" w:rsidP="0048300E" w:rsidRDefault="0048300E" w14:paraId="0FACF40D" w14:textId="039C3BB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48300E" w:rsidP="0048300E" w:rsidRDefault="0048300E" w14:paraId="791B5A28"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95E9CA8" w14:textId="77777777">
            <w:pPr>
              <w:widowControl/>
              <w:autoSpaceDE/>
              <w:autoSpaceDN/>
              <w:adjustRightInd/>
              <w:jc w:val="right"/>
              <w:rPr>
                <w:sz w:val="12"/>
                <w:szCs w:val="12"/>
              </w:rPr>
            </w:pPr>
            <w:r w:rsidRPr="00A0434B">
              <w:rPr>
                <w:sz w:val="12"/>
                <w:szCs w:val="12"/>
              </w:rPr>
              <w:t xml:space="preserve">21,740,000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2DAC90B4" w14:textId="77777777">
            <w:pPr>
              <w:widowControl/>
              <w:autoSpaceDE/>
              <w:autoSpaceDN/>
              <w:adjustRightInd/>
              <w:jc w:val="right"/>
              <w:rPr>
                <w:sz w:val="12"/>
                <w:szCs w:val="12"/>
              </w:rPr>
            </w:pPr>
            <w:r w:rsidRPr="00A0434B">
              <w:rPr>
                <w:sz w:val="12"/>
                <w:szCs w:val="12"/>
              </w:rPr>
              <w:t xml:space="preserve">23,260,000 </w:t>
            </w:r>
          </w:p>
        </w:tc>
        <w:tc>
          <w:tcPr>
            <w:tcW w:w="876" w:type="dxa"/>
            <w:tcBorders>
              <w:top w:val="nil"/>
              <w:left w:val="nil"/>
              <w:bottom w:val="nil"/>
              <w:right w:val="nil"/>
            </w:tcBorders>
            <w:shd w:val="clear" w:color="auto" w:fill="auto"/>
            <w:noWrap/>
            <w:vAlign w:val="bottom"/>
            <w:hideMark/>
          </w:tcPr>
          <w:p w:rsidRPr="00A0434B" w:rsidR="0048300E" w:rsidP="0048300E" w:rsidRDefault="0048300E" w14:paraId="503821A8" w14:textId="77777777">
            <w:pPr>
              <w:widowControl/>
              <w:autoSpaceDE/>
              <w:autoSpaceDN/>
              <w:adjustRightInd/>
              <w:jc w:val="right"/>
              <w:rPr>
                <w:sz w:val="12"/>
                <w:szCs w:val="12"/>
              </w:rPr>
            </w:pPr>
            <w:r w:rsidRPr="009A1427">
              <w:rPr>
                <w:sz w:val="12"/>
                <w:szCs w:val="12"/>
              </w:rPr>
              <w:t>-</w:t>
            </w:r>
          </w:p>
        </w:tc>
        <w:tc>
          <w:tcPr>
            <w:tcW w:w="876" w:type="dxa"/>
            <w:tcBorders>
              <w:top w:val="nil"/>
              <w:left w:val="nil"/>
              <w:bottom w:val="nil"/>
              <w:right w:val="nil"/>
            </w:tcBorders>
            <w:shd w:val="clear" w:color="auto" w:fill="auto"/>
            <w:noWrap/>
            <w:vAlign w:val="bottom"/>
            <w:hideMark/>
          </w:tcPr>
          <w:p w:rsidRPr="009A1427" w:rsidR="0048300E" w:rsidP="0048300E" w:rsidRDefault="0048300E" w14:paraId="147002D3" w14:textId="77777777">
            <w:pPr>
              <w:widowControl/>
              <w:autoSpaceDE/>
              <w:autoSpaceDN/>
              <w:adjustRightInd/>
              <w:jc w:val="right"/>
              <w:rPr>
                <w:sz w:val="12"/>
                <w:szCs w:val="12"/>
              </w:rPr>
            </w:pPr>
            <w:r w:rsidRPr="009A1427">
              <w:rPr>
                <w:sz w:val="12"/>
                <w:szCs w:val="12"/>
              </w:rPr>
              <w:t>-</w:t>
            </w:r>
          </w:p>
        </w:tc>
      </w:tr>
      <w:tr w:rsidRPr="009A1427" w:rsidR="0048300E" w:rsidTr="00923C22" w14:paraId="290B498C" w14:textId="77777777">
        <w:trPr>
          <w:trHeight w:val="48"/>
        </w:trPr>
        <w:tc>
          <w:tcPr>
            <w:tcW w:w="1170" w:type="dxa"/>
            <w:tcBorders>
              <w:top w:val="nil"/>
              <w:left w:val="nil"/>
              <w:bottom w:val="nil"/>
              <w:right w:val="nil"/>
            </w:tcBorders>
            <w:shd w:val="clear" w:color="auto" w:fill="auto"/>
            <w:noWrap/>
            <w:vAlign w:val="bottom"/>
          </w:tcPr>
          <w:p w:rsidRPr="00484D82" w:rsidR="0048300E" w:rsidP="0048300E" w:rsidRDefault="0048300E" w14:paraId="4B2A6F7E" w14:textId="77777777">
            <w:pPr>
              <w:widowControl/>
              <w:autoSpaceDE/>
              <w:autoSpaceDN/>
              <w:adjustRightInd/>
              <w:jc w:val="left"/>
              <w:rPr>
                <w:sz w:val="12"/>
                <w:szCs w:val="12"/>
              </w:rPr>
            </w:pPr>
            <w:r w:rsidRPr="00484D82">
              <w:rPr>
                <w:sz w:val="12"/>
                <w:szCs w:val="12"/>
              </w:rPr>
              <w:t>2023 Series D-1</w:t>
            </w:r>
          </w:p>
        </w:tc>
        <w:tc>
          <w:tcPr>
            <w:tcW w:w="763" w:type="dxa"/>
            <w:tcBorders>
              <w:top w:val="nil"/>
              <w:left w:val="nil"/>
              <w:bottom w:val="nil"/>
              <w:right w:val="nil"/>
            </w:tcBorders>
            <w:shd w:val="clear" w:color="auto" w:fill="auto"/>
            <w:noWrap/>
            <w:vAlign w:val="bottom"/>
          </w:tcPr>
          <w:p w:rsidRPr="00484D82" w:rsidR="0048300E" w:rsidP="0048300E" w:rsidRDefault="0048300E" w14:paraId="3604241E" w14:textId="77777777">
            <w:pPr>
              <w:widowControl/>
              <w:autoSpaceDE/>
              <w:autoSpaceDN/>
              <w:adjustRightInd/>
              <w:jc w:val="right"/>
              <w:rPr>
                <w:sz w:val="12"/>
                <w:szCs w:val="12"/>
              </w:rPr>
            </w:pPr>
            <w:r w:rsidRPr="00484D82">
              <w:rPr>
                <w:sz w:val="12"/>
                <w:szCs w:val="12"/>
              </w:rPr>
              <w:t>11/16/2023</w:t>
            </w:r>
          </w:p>
        </w:tc>
        <w:tc>
          <w:tcPr>
            <w:tcW w:w="966" w:type="dxa"/>
            <w:tcBorders>
              <w:top w:val="nil"/>
              <w:left w:val="nil"/>
              <w:bottom w:val="nil"/>
              <w:right w:val="nil"/>
            </w:tcBorders>
            <w:shd w:val="clear" w:color="auto" w:fill="auto"/>
            <w:noWrap/>
            <w:vAlign w:val="bottom"/>
          </w:tcPr>
          <w:p w:rsidRPr="00484D82" w:rsidR="0048300E" w:rsidP="0048300E" w:rsidRDefault="0048300E" w14:paraId="57EA6997" w14:textId="77777777">
            <w:pPr>
              <w:widowControl/>
              <w:autoSpaceDE/>
              <w:autoSpaceDN/>
              <w:adjustRightInd/>
              <w:jc w:val="right"/>
              <w:rPr>
                <w:sz w:val="12"/>
                <w:szCs w:val="12"/>
              </w:rPr>
            </w:pPr>
            <w:r w:rsidRPr="00484D82">
              <w:rPr>
                <w:sz w:val="12"/>
                <w:szCs w:val="12"/>
              </w:rPr>
              <w:t xml:space="preserve">$65,890,000 </w:t>
            </w:r>
          </w:p>
        </w:tc>
        <w:tc>
          <w:tcPr>
            <w:tcW w:w="966" w:type="dxa"/>
            <w:tcBorders>
              <w:top w:val="nil"/>
              <w:left w:val="nil"/>
              <w:bottom w:val="nil"/>
              <w:right w:val="nil"/>
            </w:tcBorders>
            <w:shd w:val="clear" w:color="auto" w:fill="auto"/>
            <w:noWrap/>
            <w:vAlign w:val="bottom"/>
          </w:tcPr>
          <w:p w:rsidRPr="00CD04BA" w:rsidR="0048300E" w:rsidP="0048300E" w:rsidRDefault="0048300E" w14:paraId="56E1A5C3" w14:textId="4CAA797B">
            <w:pPr>
              <w:widowControl/>
              <w:autoSpaceDE/>
              <w:autoSpaceDN/>
              <w:adjustRightInd/>
              <w:jc w:val="right"/>
              <w:rPr>
                <w:sz w:val="12"/>
                <w:szCs w:val="12"/>
              </w:rPr>
            </w:pPr>
            <w:r w:rsidRPr="00CD04BA">
              <w:rPr>
                <w:sz w:val="12"/>
                <w:szCs w:val="12"/>
              </w:rPr>
              <w:t>65,890,000</w:t>
            </w:r>
          </w:p>
        </w:tc>
        <w:tc>
          <w:tcPr>
            <w:tcW w:w="249" w:type="dxa"/>
            <w:tcBorders>
              <w:top w:val="nil"/>
              <w:left w:val="nil"/>
              <w:bottom w:val="nil"/>
              <w:right w:val="nil"/>
            </w:tcBorders>
            <w:shd w:val="clear" w:color="auto" w:fill="auto"/>
            <w:noWrap/>
            <w:vAlign w:val="bottom"/>
          </w:tcPr>
          <w:p w:rsidRPr="009A1427" w:rsidR="0048300E" w:rsidP="0048300E" w:rsidRDefault="0048300E" w14:paraId="29A116DD"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23F6DAC7" w14:textId="41DB0F63">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5033CA80"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CD04BA" w:rsidR="0048300E" w:rsidP="0048300E" w:rsidRDefault="0048300E" w14:paraId="6DEC71E8" w14:textId="1F16E45D">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22DAB038"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Pr="009A1427" w:rsidR="0048300E" w:rsidP="0048300E" w:rsidRDefault="0048300E" w14:paraId="3AA70D37" w14:textId="147DEA5C">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35B2CBA7"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EE29C6" w:rsidR="0048300E" w:rsidP="0048300E" w:rsidRDefault="0048300E" w14:paraId="273B82E3" w14:textId="3284A34C">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3119014D" w14:textId="3494F6D5">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2753C1B6" w14:textId="6816D701">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48300E" w:rsidR="0048300E" w:rsidP="0048300E" w:rsidRDefault="0048300E" w14:paraId="533B3BAE" w14:textId="681EAAF9">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A0434B" w:rsidR="0048300E" w:rsidP="0048300E" w:rsidRDefault="0048300E" w14:paraId="226D76E0"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tcPr>
          <w:p w:rsidRPr="00A0434B" w:rsidR="0048300E" w:rsidP="0048300E" w:rsidRDefault="0048300E" w14:paraId="5C764218" w14:textId="77777777">
            <w:pPr>
              <w:widowControl/>
              <w:autoSpaceDE/>
              <w:autoSpaceDN/>
              <w:adjustRightInd/>
              <w:jc w:val="right"/>
              <w:rPr>
                <w:sz w:val="12"/>
                <w:szCs w:val="12"/>
              </w:rPr>
            </w:pPr>
            <w:r w:rsidRPr="00A0434B">
              <w:rPr>
                <w:sz w:val="12"/>
                <w:szCs w:val="12"/>
              </w:rPr>
              <w:t xml:space="preserve">605,000 </w:t>
            </w:r>
          </w:p>
        </w:tc>
        <w:tc>
          <w:tcPr>
            <w:tcW w:w="876" w:type="dxa"/>
            <w:tcBorders>
              <w:top w:val="nil"/>
              <w:left w:val="nil"/>
              <w:bottom w:val="nil"/>
              <w:right w:val="nil"/>
            </w:tcBorders>
            <w:shd w:val="clear" w:color="auto" w:fill="auto"/>
            <w:noWrap/>
            <w:vAlign w:val="bottom"/>
          </w:tcPr>
          <w:p w:rsidRPr="00A0434B" w:rsidR="0048300E" w:rsidP="0048300E" w:rsidRDefault="0048300E" w14:paraId="3FD280F0" w14:textId="77777777">
            <w:pPr>
              <w:widowControl/>
              <w:autoSpaceDE/>
              <w:autoSpaceDN/>
              <w:adjustRightInd/>
              <w:jc w:val="right"/>
              <w:rPr>
                <w:sz w:val="12"/>
                <w:szCs w:val="12"/>
              </w:rPr>
            </w:pPr>
            <w:r w:rsidRPr="00A0434B">
              <w:rPr>
                <w:sz w:val="12"/>
                <w:szCs w:val="12"/>
              </w:rPr>
              <w:t xml:space="preserve">7,855,000 </w:t>
            </w:r>
          </w:p>
        </w:tc>
        <w:tc>
          <w:tcPr>
            <w:tcW w:w="876" w:type="dxa"/>
            <w:tcBorders>
              <w:top w:val="nil"/>
              <w:left w:val="nil"/>
              <w:bottom w:val="nil"/>
              <w:right w:val="nil"/>
            </w:tcBorders>
            <w:shd w:val="clear" w:color="auto" w:fill="auto"/>
            <w:noWrap/>
            <w:vAlign w:val="bottom"/>
          </w:tcPr>
          <w:p w:rsidRPr="00A0434B" w:rsidR="0048300E" w:rsidP="0048300E" w:rsidRDefault="0048300E" w14:paraId="09A95873" w14:textId="77777777">
            <w:pPr>
              <w:widowControl/>
              <w:autoSpaceDE/>
              <w:autoSpaceDN/>
              <w:adjustRightInd/>
              <w:jc w:val="right"/>
              <w:rPr>
                <w:sz w:val="12"/>
                <w:szCs w:val="12"/>
              </w:rPr>
            </w:pPr>
            <w:r w:rsidRPr="00A0434B">
              <w:rPr>
                <w:sz w:val="12"/>
                <w:szCs w:val="12"/>
              </w:rPr>
              <w:t xml:space="preserve">57,430,000 </w:t>
            </w:r>
          </w:p>
        </w:tc>
        <w:tc>
          <w:tcPr>
            <w:tcW w:w="876" w:type="dxa"/>
            <w:tcBorders>
              <w:top w:val="nil"/>
              <w:left w:val="nil"/>
              <w:bottom w:val="nil"/>
              <w:right w:val="nil"/>
            </w:tcBorders>
            <w:shd w:val="clear" w:color="auto" w:fill="auto"/>
            <w:noWrap/>
            <w:vAlign w:val="bottom"/>
          </w:tcPr>
          <w:p w:rsidRPr="009A1427" w:rsidR="0048300E" w:rsidP="0048300E" w:rsidRDefault="0048300E" w14:paraId="40B2DE69" w14:textId="77777777">
            <w:pPr>
              <w:widowControl/>
              <w:autoSpaceDE/>
              <w:autoSpaceDN/>
              <w:adjustRightInd/>
              <w:jc w:val="right"/>
              <w:rPr>
                <w:sz w:val="12"/>
                <w:szCs w:val="12"/>
              </w:rPr>
            </w:pPr>
            <w:r>
              <w:rPr>
                <w:sz w:val="12"/>
                <w:szCs w:val="12"/>
              </w:rPr>
              <w:t>-</w:t>
            </w:r>
          </w:p>
        </w:tc>
      </w:tr>
      <w:tr w:rsidRPr="009A1427" w:rsidR="0048300E" w:rsidTr="00923C22" w14:paraId="339012A8" w14:textId="77777777">
        <w:trPr>
          <w:trHeight w:val="48"/>
        </w:trPr>
        <w:tc>
          <w:tcPr>
            <w:tcW w:w="1170" w:type="dxa"/>
            <w:tcBorders>
              <w:top w:val="nil"/>
              <w:left w:val="nil"/>
              <w:bottom w:val="nil"/>
              <w:right w:val="nil"/>
            </w:tcBorders>
            <w:shd w:val="clear" w:color="auto" w:fill="auto"/>
            <w:noWrap/>
            <w:vAlign w:val="bottom"/>
          </w:tcPr>
          <w:p w:rsidRPr="00484D82" w:rsidR="0048300E" w:rsidP="0048300E" w:rsidRDefault="0048300E" w14:paraId="31114CD0" w14:textId="77777777">
            <w:pPr>
              <w:widowControl/>
              <w:autoSpaceDE/>
              <w:autoSpaceDN/>
              <w:adjustRightInd/>
              <w:jc w:val="left"/>
              <w:rPr>
                <w:sz w:val="12"/>
                <w:szCs w:val="12"/>
              </w:rPr>
            </w:pPr>
            <w:r w:rsidRPr="00484D82">
              <w:rPr>
                <w:sz w:val="12"/>
                <w:szCs w:val="12"/>
              </w:rPr>
              <w:t>2023 Series D-2</w:t>
            </w:r>
          </w:p>
        </w:tc>
        <w:tc>
          <w:tcPr>
            <w:tcW w:w="763" w:type="dxa"/>
            <w:tcBorders>
              <w:top w:val="nil"/>
              <w:left w:val="nil"/>
              <w:bottom w:val="nil"/>
              <w:right w:val="nil"/>
            </w:tcBorders>
            <w:shd w:val="clear" w:color="auto" w:fill="auto"/>
            <w:noWrap/>
            <w:vAlign w:val="bottom"/>
          </w:tcPr>
          <w:p w:rsidRPr="00484D82" w:rsidR="0048300E" w:rsidP="0048300E" w:rsidRDefault="0048300E" w14:paraId="7FBC8FF1" w14:textId="77777777">
            <w:pPr>
              <w:widowControl/>
              <w:autoSpaceDE/>
              <w:autoSpaceDN/>
              <w:adjustRightInd/>
              <w:jc w:val="right"/>
              <w:rPr>
                <w:sz w:val="12"/>
                <w:szCs w:val="12"/>
              </w:rPr>
            </w:pPr>
            <w:r w:rsidRPr="00484D82">
              <w:rPr>
                <w:sz w:val="12"/>
                <w:szCs w:val="12"/>
              </w:rPr>
              <w:t>11/16/2023</w:t>
            </w:r>
          </w:p>
        </w:tc>
        <w:tc>
          <w:tcPr>
            <w:tcW w:w="966" w:type="dxa"/>
            <w:tcBorders>
              <w:top w:val="nil"/>
              <w:left w:val="nil"/>
              <w:bottom w:val="nil"/>
              <w:right w:val="nil"/>
            </w:tcBorders>
            <w:shd w:val="clear" w:color="auto" w:fill="auto"/>
            <w:noWrap/>
            <w:vAlign w:val="bottom"/>
          </w:tcPr>
          <w:p w:rsidRPr="00484D82" w:rsidR="0048300E" w:rsidP="0048300E" w:rsidRDefault="0048300E" w14:paraId="7FEAFC38" w14:textId="77777777">
            <w:pPr>
              <w:widowControl/>
              <w:autoSpaceDE/>
              <w:autoSpaceDN/>
              <w:adjustRightInd/>
              <w:jc w:val="right"/>
              <w:rPr>
                <w:sz w:val="12"/>
                <w:szCs w:val="12"/>
              </w:rPr>
            </w:pPr>
            <w:r w:rsidRPr="00484D82">
              <w:rPr>
                <w:sz w:val="12"/>
                <w:szCs w:val="12"/>
              </w:rPr>
              <w:t xml:space="preserve">$4,110,000 </w:t>
            </w:r>
          </w:p>
        </w:tc>
        <w:tc>
          <w:tcPr>
            <w:tcW w:w="966" w:type="dxa"/>
            <w:tcBorders>
              <w:top w:val="nil"/>
              <w:left w:val="nil"/>
              <w:bottom w:val="nil"/>
              <w:right w:val="nil"/>
            </w:tcBorders>
            <w:shd w:val="clear" w:color="auto" w:fill="auto"/>
            <w:noWrap/>
            <w:vAlign w:val="bottom"/>
          </w:tcPr>
          <w:p w:rsidRPr="00CD04BA" w:rsidR="0048300E" w:rsidP="0048300E" w:rsidRDefault="0048300E" w14:paraId="74DAF14B" w14:textId="6EEEA8C1">
            <w:pPr>
              <w:widowControl/>
              <w:autoSpaceDE/>
              <w:autoSpaceDN/>
              <w:adjustRightInd/>
              <w:jc w:val="right"/>
              <w:rPr>
                <w:sz w:val="12"/>
                <w:szCs w:val="12"/>
              </w:rPr>
            </w:pPr>
            <w:r w:rsidRPr="00CD04BA">
              <w:rPr>
                <w:sz w:val="12"/>
                <w:szCs w:val="12"/>
              </w:rPr>
              <w:t>3,685,000</w:t>
            </w:r>
          </w:p>
        </w:tc>
        <w:tc>
          <w:tcPr>
            <w:tcW w:w="249" w:type="dxa"/>
            <w:tcBorders>
              <w:top w:val="nil"/>
              <w:left w:val="nil"/>
              <w:bottom w:val="nil"/>
              <w:right w:val="nil"/>
            </w:tcBorders>
            <w:shd w:val="clear" w:color="auto" w:fill="auto"/>
            <w:noWrap/>
            <w:vAlign w:val="bottom"/>
          </w:tcPr>
          <w:p w:rsidRPr="009A1427" w:rsidR="0048300E" w:rsidP="0048300E" w:rsidRDefault="0048300E" w14:paraId="0E67BB51"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3C89C9A6" w14:textId="7AD52855">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0D09BA20"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CD04BA" w:rsidR="0048300E" w:rsidP="0048300E" w:rsidRDefault="0048300E" w14:paraId="493628C7" w14:textId="55513659">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3DC73B40"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Pr="009A1427" w:rsidR="0048300E" w:rsidP="0048300E" w:rsidRDefault="0048300E" w14:paraId="1F38E1BD" w14:textId="07B4EE1F">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6438E12E"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EE29C6" w:rsidR="0048300E" w:rsidP="0048300E" w:rsidRDefault="0048300E" w14:paraId="75239386" w14:textId="57B17CB4">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70DF7882" w14:textId="55512EE4">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481F04BE" w14:textId="4F28FCFE">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48300E" w:rsidR="0048300E" w:rsidP="0048300E" w:rsidRDefault="0048300E" w14:paraId="6905CE0E" w14:textId="36D62F49">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A0434B" w:rsidR="0048300E" w:rsidP="0048300E" w:rsidRDefault="0048300E" w14:paraId="1EBED18B"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tcPr>
          <w:p w:rsidRPr="00A0434B" w:rsidR="0048300E" w:rsidP="0048300E" w:rsidRDefault="00CC07D3" w14:paraId="19798EE6" w14:textId="6318A90E">
            <w:pPr>
              <w:widowControl/>
              <w:autoSpaceDE/>
              <w:autoSpaceDN/>
              <w:adjustRightInd/>
              <w:jc w:val="right"/>
              <w:rPr>
                <w:sz w:val="12"/>
                <w:szCs w:val="12"/>
              </w:rPr>
            </w:pPr>
            <w:r>
              <w:rPr>
                <w:sz w:val="12"/>
                <w:szCs w:val="12"/>
              </w:rPr>
              <w:t>2,480</w:t>
            </w:r>
            <w:r w:rsidRPr="00A0434B" w:rsidR="0048300E">
              <w:rPr>
                <w:sz w:val="12"/>
                <w:szCs w:val="12"/>
              </w:rPr>
              <w:t xml:space="preserve">,000 </w:t>
            </w:r>
          </w:p>
        </w:tc>
        <w:tc>
          <w:tcPr>
            <w:tcW w:w="876" w:type="dxa"/>
            <w:tcBorders>
              <w:top w:val="nil"/>
              <w:left w:val="nil"/>
              <w:bottom w:val="nil"/>
              <w:right w:val="nil"/>
            </w:tcBorders>
            <w:shd w:val="clear" w:color="auto" w:fill="auto"/>
            <w:noWrap/>
            <w:vAlign w:val="bottom"/>
          </w:tcPr>
          <w:p w:rsidRPr="00A0434B" w:rsidR="0048300E" w:rsidP="0048300E" w:rsidRDefault="0048300E" w14:paraId="676BD961" w14:textId="77777777">
            <w:pPr>
              <w:widowControl/>
              <w:autoSpaceDE/>
              <w:autoSpaceDN/>
              <w:adjustRightInd/>
              <w:jc w:val="right"/>
              <w:rPr>
                <w:sz w:val="12"/>
                <w:szCs w:val="12"/>
              </w:rPr>
            </w:pPr>
            <w:r w:rsidRPr="00A0434B">
              <w:rPr>
                <w:sz w:val="12"/>
                <w:szCs w:val="12"/>
              </w:rPr>
              <w:t xml:space="preserve">1,205,000 </w:t>
            </w:r>
          </w:p>
        </w:tc>
        <w:tc>
          <w:tcPr>
            <w:tcW w:w="876" w:type="dxa"/>
            <w:tcBorders>
              <w:top w:val="nil"/>
              <w:left w:val="nil"/>
              <w:bottom w:val="nil"/>
              <w:right w:val="nil"/>
            </w:tcBorders>
            <w:shd w:val="clear" w:color="auto" w:fill="auto"/>
            <w:noWrap/>
            <w:vAlign w:val="bottom"/>
          </w:tcPr>
          <w:p w:rsidRPr="00A0434B" w:rsidR="0048300E" w:rsidP="0048300E" w:rsidRDefault="0048300E" w14:paraId="2F7F578C" w14:textId="77777777">
            <w:pPr>
              <w:widowControl/>
              <w:autoSpaceDE/>
              <w:autoSpaceDN/>
              <w:adjustRightInd/>
              <w:jc w:val="right"/>
              <w:rPr>
                <w:sz w:val="12"/>
                <w:szCs w:val="12"/>
              </w:rPr>
            </w:pPr>
            <w:r>
              <w:rPr>
                <w:sz w:val="12"/>
                <w:szCs w:val="12"/>
              </w:rPr>
              <w:t>-</w:t>
            </w:r>
            <w:r w:rsidRPr="00A0434B">
              <w:rPr>
                <w:sz w:val="12"/>
                <w:szCs w:val="12"/>
              </w:rPr>
              <w:t xml:space="preserve"> </w:t>
            </w:r>
          </w:p>
        </w:tc>
        <w:tc>
          <w:tcPr>
            <w:tcW w:w="876" w:type="dxa"/>
            <w:tcBorders>
              <w:top w:val="nil"/>
              <w:left w:val="nil"/>
              <w:bottom w:val="nil"/>
              <w:right w:val="nil"/>
            </w:tcBorders>
            <w:shd w:val="clear" w:color="auto" w:fill="auto"/>
            <w:noWrap/>
            <w:vAlign w:val="bottom"/>
          </w:tcPr>
          <w:p w:rsidRPr="009A1427" w:rsidR="0048300E" w:rsidP="0048300E" w:rsidRDefault="0048300E" w14:paraId="434E729F" w14:textId="77777777">
            <w:pPr>
              <w:widowControl/>
              <w:autoSpaceDE/>
              <w:autoSpaceDN/>
              <w:adjustRightInd/>
              <w:jc w:val="right"/>
              <w:rPr>
                <w:sz w:val="12"/>
                <w:szCs w:val="12"/>
              </w:rPr>
            </w:pPr>
            <w:r>
              <w:rPr>
                <w:sz w:val="12"/>
                <w:szCs w:val="12"/>
              </w:rPr>
              <w:t>-</w:t>
            </w:r>
          </w:p>
        </w:tc>
      </w:tr>
      <w:tr w:rsidRPr="009A1427" w:rsidR="0048300E" w:rsidTr="00923C22" w14:paraId="61CCD6CE" w14:textId="77777777">
        <w:trPr>
          <w:trHeight w:val="48"/>
        </w:trPr>
        <w:tc>
          <w:tcPr>
            <w:tcW w:w="1170" w:type="dxa"/>
            <w:tcBorders>
              <w:top w:val="nil"/>
              <w:left w:val="nil"/>
              <w:bottom w:val="nil"/>
              <w:right w:val="nil"/>
            </w:tcBorders>
            <w:shd w:val="clear" w:color="auto" w:fill="auto"/>
            <w:noWrap/>
            <w:vAlign w:val="bottom"/>
          </w:tcPr>
          <w:p w:rsidRPr="00484D82" w:rsidR="0048300E" w:rsidP="0048300E" w:rsidRDefault="0048300E" w14:paraId="39288927" w14:textId="77777777">
            <w:pPr>
              <w:widowControl/>
              <w:autoSpaceDE/>
              <w:autoSpaceDN/>
              <w:adjustRightInd/>
              <w:jc w:val="left"/>
              <w:rPr>
                <w:sz w:val="12"/>
                <w:szCs w:val="12"/>
              </w:rPr>
            </w:pPr>
            <w:r>
              <w:rPr>
                <w:sz w:val="12"/>
                <w:szCs w:val="12"/>
              </w:rPr>
              <w:t>2024 Series A-1</w:t>
            </w:r>
          </w:p>
        </w:tc>
        <w:tc>
          <w:tcPr>
            <w:tcW w:w="763" w:type="dxa"/>
            <w:tcBorders>
              <w:top w:val="nil"/>
              <w:left w:val="nil"/>
              <w:bottom w:val="nil"/>
              <w:right w:val="nil"/>
            </w:tcBorders>
            <w:shd w:val="clear" w:color="auto" w:fill="auto"/>
            <w:noWrap/>
            <w:vAlign w:val="bottom"/>
          </w:tcPr>
          <w:p w:rsidRPr="00484D82" w:rsidR="0048300E" w:rsidP="0048300E" w:rsidRDefault="0048300E" w14:paraId="63227A01" w14:textId="77777777">
            <w:pPr>
              <w:widowControl/>
              <w:autoSpaceDE/>
              <w:autoSpaceDN/>
              <w:adjustRightInd/>
              <w:jc w:val="right"/>
              <w:rPr>
                <w:sz w:val="12"/>
                <w:szCs w:val="12"/>
              </w:rPr>
            </w:pPr>
            <w:r>
              <w:rPr>
                <w:sz w:val="12"/>
                <w:szCs w:val="12"/>
              </w:rPr>
              <w:t>2/21/2024</w:t>
            </w:r>
          </w:p>
        </w:tc>
        <w:tc>
          <w:tcPr>
            <w:tcW w:w="966" w:type="dxa"/>
            <w:tcBorders>
              <w:top w:val="nil"/>
              <w:left w:val="nil"/>
              <w:bottom w:val="nil"/>
              <w:right w:val="nil"/>
            </w:tcBorders>
            <w:shd w:val="clear" w:color="auto" w:fill="auto"/>
            <w:noWrap/>
            <w:vAlign w:val="bottom"/>
          </w:tcPr>
          <w:p w:rsidRPr="00484D82" w:rsidR="0048300E" w:rsidP="0048300E" w:rsidRDefault="0048300E" w14:paraId="3CAF543A" w14:textId="77777777">
            <w:pPr>
              <w:widowControl/>
              <w:autoSpaceDE/>
              <w:autoSpaceDN/>
              <w:adjustRightInd/>
              <w:jc w:val="right"/>
              <w:rPr>
                <w:sz w:val="12"/>
                <w:szCs w:val="12"/>
              </w:rPr>
            </w:pPr>
            <w:r>
              <w:rPr>
                <w:sz w:val="12"/>
                <w:szCs w:val="12"/>
              </w:rPr>
              <w:t>$101,250,000</w:t>
            </w:r>
          </w:p>
        </w:tc>
        <w:tc>
          <w:tcPr>
            <w:tcW w:w="966" w:type="dxa"/>
            <w:tcBorders>
              <w:top w:val="nil"/>
              <w:left w:val="nil"/>
              <w:bottom w:val="nil"/>
              <w:right w:val="nil"/>
            </w:tcBorders>
            <w:shd w:val="clear" w:color="auto" w:fill="auto"/>
            <w:noWrap/>
            <w:vAlign w:val="bottom"/>
          </w:tcPr>
          <w:p w:rsidRPr="00CD04BA" w:rsidR="0048300E" w:rsidP="0048300E" w:rsidRDefault="0048300E" w14:paraId="2D3F0312" w14:textId="52F4198F">
            <w:pPr>
              <w:widowControl/>
              <w:autoSpaceDE/>
              <w:autoSpaceDN/>
              <w:adjustRightInd/>
              <w:jc w:val="right"/>
              <w:rPr>
                <w:sz w:val="12"/>
                <w:szCs w:val="12"/>
              </w:rPr>
            </w:pPr>
            <w:r w:rsidRPr="00CD04BA">
              <w:rPr>
                <w:sz w:val="12"/>
                <w:szCs w:val="12"/>
              </w:rPr>
              <w:t>101,250,000</w:t>
            </w:r>
          </w:p>
        </w:tc>
        <w:tc>
          <w:tcPr>
            <w:tcW w:w="249" w:type="dxa"/>
            <w:tcBorders>
              <w:top w:val="nil"/>
              <w:left w:val="nil"/>
              <w:bottom w:val="nil"/>
              <w:right w:val="nil"/>
            </w:tcBorders>
            <w:shd w:val="clear" w:color="auto" w:fill="auto"/>
            <w:noWrap/>
            <w:vAlign w:val="bottom"/>
          </w:tcPr>
          <w:p w:rsidRPr="009A1427" w:rsidR="0048300E" w:rsidP="0048300E" w:rsidRDefault="0048300E" w14:paraId="6565A6BF"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CD04BA" w:rsidR="0048300E" w:rsidP="0048300E" w:rsidRDefault="0048300E" w14:paraId="07BAEC18" w14:textId="68D3D44D">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29000E1E"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CD04BA" w:rsidR="0048300E" w:rsidP="0048300E" w:rsidRDefault="0048300E" w14:paraId="022A4DA0" w14:textId="12E23974">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2BF0937F"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0048300E" w:rsidP="0048300E" w:rsidRDefault="0048300E" w14:paraId="47573499" w14:textId="39199A00">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48300E" w:rsidP="0048300E" w:rsidRDefault="0048300E" w14:paraId="7789AAAB"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EE29C6" w:rsidR="0048300E" w:rsidP="0048300E" w:rsidRDefault="0048300E" w14:paraId="77656132" w14:textId="513C22D1">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074EBDC5" w14:textId="6402608C">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EE29C6" w:rsidR="0048300E" w:rsidP="0048300E" w:rsidRDefault="0048300E" w14:paraId="72D2D2C1" w14:textId="5FF2001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48300E" w:rsidR="0048300E" w:rsidP="0048300E" w:rsidRDefault="0048300E" w14:paraId="1CEC2C0E" w14:textId="39A36C4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0048300E" w:rsidP="0048300E" w:rsidRDefault="0048300E" w14:paraId="2B62C4F7" w14:textId="77777777">
            <w:pPr>
              <w:widowControl/>
              <w:autoSpaceDE/>
              <w:autoSpaceDN/>
              <w:adjustRightInd/>
              <w:jc w:val="right"/>
              <w:rPr>
                <w:sz w:val="12"/>
                <w:szCs w:val="12"/>
              </w:rPr>
            </w:pPr>
            <w:r>
              <w:rPr>
                <w:sz w:val="12"/>
                <w:szCs w:val="12"/>
              </w:rPr>
              <w:t>4,995,000</w:t>
            </w:r>
          </w:p>
        </w:tc>
        <w:tc>
          <w:tcPr>
            <w:tcW w:w="876" w:type="dxa"/>
            <w:tcBorders>
              <w:top w:val="nil"/>
              <w:left w:val="nil"/>
              <w:bottom w:val="nil"/>
              <w:right w:val="nil"/>
            </w:tcBorders>
            <w:shd w:val="clear" w:color="auto" w:fill="auto"/>
            <w:noWrap/>
            <w:vAlign w:val="bottom"/>
          </w:tcPr>
          <w:p w:rsidRPr="00A0434B" w:rsidR="0048300E" w:rsidP="0048300E" w:rsidRDefault="0048300E" w14:paraId="072B1432" w14:textId="77777777">
            <w:pPr>
              <w:widowControl/>
              <w:autoSpaceDE/>
              <w:autoSpaceDN/>
              <w:adjustRightInd/>
              <w:jc w:val="right"/>
              <w:rPr>
                <w:sz w:val="12"/>
                <w:szCs w:val="12"/>
              </w:rPr>
            </w:pPr>
            <w:r>
              <w:rPr>
                <w:sz w:val="12"/>
                <w:szCs w:val="12"/>
              </w:rPr>
              <w:t>7,250,000</w:t>
            </w:r>
          </w:p>
        </w:tc>
        <w:tc>
          <w:tcPr>
            <w:tcW w:w="876" w:type="dxa"/>
            <w:tcBorders>
              <w:top w:val="nil"/>
              <w:left w:val="nil"/>
              <w:bottom w:val="nil"/>
              <w:right w:val="nil"/>
            </w:tcBorders>
            <w:shd w:val="clear" w:color="auto" w:fill="auto"/>
            <w:noWrap/>
            <w:vAlign w:val="bottom"/>
          </w:tcPr>
          <w:p w:rsidRPr="00A0434B" w:rsidR="0048300E" w:rsidP="0048300E" w:rsidRDefault="0048300E" w14:paraId="1AB27B30" w14:textId="77777777">
            <w:pPr>
              <w:widowControl/>
              <w:autoSpaceDE/>
              <w:autoSpaceDN/>
              <w:adjustRightInd/>
              <w:jc w:val="right"/>
              <w:rPr>
                <w:sz w:val="12"/>
                <w:szCs w:val="12"/>
              </w:rPr>
            </w:pPr>
            <w:r>
              <w:rPr>
                <w:sz w:val="12"/>
                <w:szCs w:val="12"/>
              </w:rPr>
              <w:t>89,005,000</w:t>
            </w:r>
          </w:p>
        </w:tc>
        <w:tc>
          <w:tcPr>
            <w:tcW w:w="876" w:type="dxa"/>
            <w:tcBorders>
              <w:top w:val="nil"/>
              <w:left w:val="nil"/>
              <w:bottom w:val="nil"/>
              <w:right w:val="nil"/>
            </w:tcBorders>
            <w:shd w:val="clear" w:color="auto" w:fill="auto"/>
            <w:noWrap/>
            <w:vAlign w:val="bottom"/>
          </w:tcPr>
          <w:p w:rsidR="0048300E" w:rsidP="0048300E" w:rsidRDefault="0048300E" w14:paraId="4C2C9CAE"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48300E" w:rsidP="0048300E" w:rsidRDefault="0048300E" w14:paraId="66839A8C" w14:textId="77777777">
            <w:pPr>
              <w:widowControl/>
              <w:autoSpaceDE/>
              <w:autoSpaceDN/>
              <w:adjustRightInd/>
              <w:jc w:val="right"/>
              <w:rPr>
                <w:sz w:val="12"/>
                <w:szCs w:val="12"/>
              </w:rPr>
            </w:pPr>
            <w:r>
              <w:rPr>
                <w:sz w:val="12"/>
                <w:szCs w:val="12"/>
              </w:rPr>
              <w:t>-</w:t>
            </w:r>
          </w:p>
        </w:tc>
      </w:tr>
      <w:tr w:rsidRPr="009A1427" w:rsidR="00CD04BA" w:rsidTr="00923C22" w14:paraId="366B7560" w14:textId="77777777">
        <w:trPr>
          <w:trHeight w:val="48"/>
        </w:trPr>
        <w:tc>
          <w:tcPr>
            <w:tcW w:w="1170" w:type="dxa"/>
            <w:tcBorders>
              <w:top w:val="nil"/>
              <w:left w:val="nil"/>
              <w:bottom w:val="nil"/>
              <w:right w:val="nil"/>
            </w:tcBorders>
            <w:shd w:val="clear" w:color="auto" w:fill="auto"/>
            <w:noWrap/>
            <w:vAlign w:val="bottom"/>
          </w:tcPr>
          <w:p w:rsidR="00CD04BA" w:rsidP="00CD04BA" w:rsidRDefault="00CD04BA" w14:paraId="5CC72B95" w14:textId="67681D3D">
            <w:pPr>
              <w:widowControl/>
              <w:autoSpaceDE/>
              <w:autoSpaceDN/>
              <w:adjustRightInd/>
              <w:jc w:val="left"/>
              <w:rPr>
                <w:sz w:val="12"/>
                <w:szCs w:val="12"/>
              </w:rPr>
            </w:pPr>
            <w:r>
              <w:rPr>
                <w:sz w:val="12"/>
                <w:szCs w:val="12"/>
              </w:rPr>
              <w:t>2024 Series B-1</w:t>
            </w:r>
          </w:p>
        </w:tc>
        <w:tc>
          <w:tcPr>
            <w:tcW w:w="763" w:type="dxa"/>
            <w:tcBorders>
              <w:top w:val="nil"/>
              <w:left w:val="nil"/>
              <w:bottom w:val="nil"/>
              <w:right w:val="nil"/>
            </w:tcBorders>
            <w:shd w:val="clear" w:color="auto" w:fill="auto"/>
            <w:noWrap/>
            <w:vAlign w:val="bottom"/>
          </w:tcPr>
          <w:p w:rsidR="00CD04BA" w:rsidP="00CD04BA" w:rsidRDefault="00CD04BA" w14:paraId="5FDFE877" w14:textId="7D0388C2">
            <w:pPr>
              <w:widowControl/>
              <w:autoSpaceDE/>
              <w:autoSpaceDN/>
              <w:adjustRightInd/>
              <w:jc w:val="right"/>
              <w:rPr>
                <w:sz w:val="12"/>
                <w:szCs w:val="12"/>
              </w:rPr>
            </w:pPr>
            <w:r>
              <w:rPr>
                <w:sz w:val="12"/>
                <w:szCs w:val="12"/>
              </w:rPr>
              <w:t>5/22/2024</w:t>
            </w:r>
          </w:p>
        </w:tc>
        <w:tc>
          <w:tcPr>
            <w:tcW w:w="966" w:type="dxa"/>
            <w:tcBorders>
              <w:top w:val="nil"/>
              <w:left w:val="nil"/>
              <w:bottom w:val="nil"/>
              <w:right w:val="nil"/>
            </w:tcBorders>
            <w:shd w:val="clear" w:color="auto" w:fill="auto"/>
            <w:noWrap/>
            <w:vAlign w:val="bottom"/>
          </w:tcPr>
          <w:p w:rsidR="00CD04BA" w:rsidP="00CD04BA" w:rsidRDefault="00CD04BA" w14:paraId="2BE6084E" w14:textId="4850ADFC">
            <w:pPr>
              <w:widowControl/>
              <w:autoSpaceDE/>
              <w:autoSpaceDN/>
              <w:adjustRightInd/>
              <w:jc w:val="right"/>
              <w:rPr>
                <w:sz w:val="12"/>
                <w:szCs w:val="12"/>
              </w:rPr>
            </w:pPr>
            <w:r>
              <w:rPr>
                <w:sz w:val="12"/>
                <w:szCs w:val="12"/>
              </w:rPr>
              <w:t>$85,935,000</w:t>
            </w:r>
          </w:p>
        </w:tc>
        <w:tc>
          <w:tcPr>
            <w:tcW w:w="966" w:type="dxa"/>
            <w:tcBorders>
              <w:top w:val="nil"/>
              <w:left w:val="nil"/>
              <w:bottom w:val="nil"/>
              <w:right w:val="nil"/>
            </w:tcBorders>
            <w:shd w:val="clear" w:color="auto" w:fill="auto"/>
            <w:noWrap/>
            <w:vAlign w:val="bottom"/>
          </w:tcPr>
          <w:p w:rsidR="00CD04BA" w:rsidP="00CD04BA" w:rsidRDefault="00CD04BA" w14:paraId="32D96178" w14:textId="3D07B7DF">
            <w:pPr>
              <w:widowControl/>
              <w:autoSpaceDE/>
              <w:autoSpaceDN/>
              <w:adjustRightInd/>
              <w:jc w:val="right"/>
              <w:rPr>
                <w:sz w:val="12"/>
                <w:szCs w:val="12"/>
              </w:rPr>
            </w:pPr>
            <w:r>
              <w:rPr>
                <w:sz w:val="12"/>
                <w:szCs w:val="12"/>
              </w:rPr>
              <w:t>85,935,000</w:t>
            </w:r>
          </w:p>
        </w:tc>
        <w:tc>
          <w:tcPr>
            <w:tcW w:w="249" w:type="dxa"/>
            <w:tcBorders>
              <w:top w:val="nil"/>
              <w:left w:val="nil"/>
              <w:bottom w:val="nil"/>
              <w:right w:val="nil"/>
            </w:tcBorders>
            <w:shd w:val="clear" w:color="auto" w:fill="auto"/>
            <w:noWrap/>
            <w:vAlign w:val="bottom"/>
          </w:tcPr>
          <w:p w:rsidRPr="009A1427" w:rsidR="00CD04BA" w:rsidP="00CD04BA" w:rsidRDefault="00CD04BA" w14:paraId="587CF6DC" w14:textId="7D119785">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00CD04BA" w:rsidP="00CD04BA" w:rsidRDefault="00CD04BA" w14:paraId="4D172D96" w14:textId="08FA1295">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D04BA" w:rsidP="00CD04BA" w:rsidRDefault="00CD04BA" w14:paraId="0D3CC144"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00CD04BA" w:rsidP="00CD04BA" w:rsidRDefault="00CD04BA" w14:paraId="6ECF0526" w14:textId="49ECAC31">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D04BA" w:rsidP="00CD04BA" w:rsidRDefault="00CD04BA" w14:paraId="17056C88"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00CD04BA" w:rsidP="00CD04BA" w:rsidRDefault="00CD04BA" w14:paraId="46215C45" w14:textId="799D3FFB">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D04BA" w:rsidP="00CD04BA" w:rsidRDefault="00CD04BA" w14:paraId="08DDAC1F"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00CD04BA" w:rsidP="00CD04BA" w:rsidRDefault="00CD04BA" w14:paraId="3B20C7B3" w14:textId="3B4B4CD1">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D04BA" w:rsidP="00CD04BA" w:rsidRDefault="00CD04BA" w14:paraId="7399FED5" w14:textId="766831D6">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D04BA" w:rsidP="00CD04BA" w:rsidRDefault="00CD04BA" w14:paraId="75D2254A" w14:textId="72F877B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00CD04BA" w:rsidP="00CD04BA" w:rsidRDefault="00CD04BA" w14:paraId="19ED8816" w14:textId="02CC8593">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00CD04BA" w:rsidP="00CD04BA" w:rsidRDefault="00CD04BA" w14:paraId="488A85BD" w14:textId="15E44AF2">
            <w:pPr>
              <w:widowControl/>
              <w:autoSpaceDE/>
              <w:autoSpaceDN/>
              <w:adjustRightInd/>
              <w:jc w:val="right"/>
              <w:rPr>
                <w:sz w:val="12"/>
                <w:szCs w:val="12"/>
              </w:rPr>
            </w:pPr>
            <w:r>
              <w:rPr>
                <w:sz w:val="12"/>
                <w:szCs w:val="12"/>
              </w:rPr>
              <w:t>2,550,000</w:t>
            </w:r>
          </w:p>
        </w:tc>
        <w:tc>
          <w:tcPr>
            <w:tcW w:w="876" w:type="dxa"/>
            <w:tcBorders>
              <w:top w:val="nil"/>
              <w:left w:val="nil"/>
              <w:bottom w:val="nil"/>
              <w:right w:val="nil"/>
            </w:tcBorders>
            <w:shd w:val="clear" w:color="auto" w:fill="auto"/>
            <w:noWrap/>
            <w:vAlign w:val="bottom"/>
          </w:tcPr>
          <w:p w:rsidR="00CD04BA" w:rsidP="00CD04BA" w:rsidRDefault="00CD04BA" w14:paraId="05398406" w14:textId="3380B487">
            <w:pPr>
              <w:widowControl/>
              <w:autoSpaceDE/>
              <w:autoSpaceDN/>
              <w:adjustRightInd/>
              <w:jc w:val="right"/>
              <w:rPr>
                <w:sz w:val="12"/>
                <w:szCs w:val="12"/>
              </w:rPr>
            </w:pPr>
            <w:r>
              <w:rPr>
                <w:sz w:val="12"/>
                <w:szCs w:val="12"/>
              </w:rPr>
              <w:t>9,825,000</w:t>
            </w:r>
          </w:p>
        </w:tc>
        <w:tc>
          <w:tcPr>
            <w:tcW w:w="876" w:type="dxa"/>
            <w:tcBorders>
              <w:top w:val="nil"/>
              <w:left w:val="nil"/>
              <w:bottom w:val="nil"/>
              <w:right w:val="nil"/>
            </w:tcBorders>
            <w:shd w:val="clear" w:color="auto" w:fill="auto"/>
            <w:noWrap/>
            <w:vAlign w:val="bottom"/>
          </w:tcPr>
          <w:p w:rsidR="00CD04BA" w:rsidP="00CD04BA" w:rsidRDefault="00CD04BA" w14:paraId="0A8A7DED" w14:textId="1E874E03">
            <w:pPr>
              <w:widowControl/>
              <w:autoSpaceDE/>
              <w:autoSpaceDN/>
              <w:adjustRightInd/>
              <w:jc w:val="right"/>
              <w:rPr>
                <w:sz w:val="12"/>
                <w:szCs w:val="12"/>
              </w:rPr>
            </w:pPr>
            <w:r>
              <w:rPr>
                <w:sz w:val="12"/>
                <w:szCs w:val="12"/>
              </w:rPr>
              <w:t>73,560,000</w:t>
            </w:r>
          </w:p>
        </w:tc>
        <w:tc>
          <w:tcPr>
            <w:tcW w:w="876" w:type="dxa"/>
            <w:tcBorders>
              <w:top w:val="nil"/>
              <w:left w:val="nil"/>
              <w:bottom w:val="nil"/>
              <w:right w:val="nil"/>
            </w:tcBorders>
            <w:shd w:val="clear" w:color="auto" w:fill="auto"/>
            <w:noWrap/>
            <w:vAlign w:val="bottom"/>
          </w:tcPr>
          <w:p w:rsidR="00CD04BA" w:rsidP="00CD04BA" w:rsidRDefault="00CD04BA" w14:paraId="7E0D92DC" w14:textId="2DF97F32">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D04BA" w:rsidP="00CD04BA" w:rsidRDefault="00CD04BA" w14:paraId="69C7F0BD" w14:textId="17B4CA59">
            <w:pPr>
              <w:widowControl/>
              <w:autoSpaceDE/>
              <w:autoSpaceDN/>
              <w:adjustRightInd/>
              <w:jc w:val="right"/>
              <w:rPr>
                <w:sz w:val="12"/>
                <w:szCs w:val="12"/>
              </w:rPr>
            </w:pPr>
            <w:r>
              <w:rPr>
                <w:sz w:val="12"/>
                <w:szCs w:val="12"/>
              </w:rPr>
              <w:t>-</w:t>
            </w:r>
          </w:p>
        </w:tc>
      </w:tr>
      <w:tr w:rsidRPr="009A1427" w:rsidR="00CD04BA" w:rsidTr="00923C22" w14:paraId="7912B500" w14:textId="77777777">
        <w:trPr>
          <w:trHeight w:val="48"/>
        </w:trPr>
        <w:tc>
          <w:tcPr>
            <w:tcW w:w="1170" w:type="dxa"/>
            <w:tcBorders>
              <w:top w:val="nil"/>
              <w:left w:val="nil"/>
              <w:bottom w:val="nil"/>
              <w:right w:val="nil"/>
            </w:tcBorders>
            <w:shd w:val="clear" w:color="auto" w:fill="auto"/>
            <w:noWrap/>
            <w:vAlign w:val="bottom"/>
          </w:tcPr>
          <w:p w:rsidR="00CD04BA" w:rsidP="00CD04BA" w:rsidRDefault="00CD04BA" w14:paraId="126D3639" w14:textId="51825F86">
            <w:pPr>
              <w:widowControl/>
              <w:autoSpaceDE/>
              <w:autoSpaceDN/>
              <w:adjustRightInd/>
              <w:jc w:val="left"/>
              <w:rPr>
                <w:sz w:val="12"/>
                <w:szCs w:val="12"/>
              </w:rPr>
            </w:pPr>
            <w:r>
              <w:rPr>
                <w:sz w:val="12"/>
                <w:szCs w:val="12"/>
              </w:rPr>
              <w:t>2024 Series B-2</w:t>
            </w:r>
          </w:p>
        </w:tc>
        <w:tc>
          <w:tcPr>
            <w:tcW w:w="763" w:type="dxa"/>
            <w:tcBorders>
              <w:top w:val="nil"/>
              <w:left w:val="nil"/>
              <w:bottom w:val="nil"/>
              <w:right w:val="nil"/>
            </w:tcBorders>
            <w:shd w:val="clear" w:color="auto" w:fill="auto"/>
            <w:noWrap/>
            <w:vAlign w:val="bottom"/>
          </w:tcPr>
          <w:p w:rsidR="00CD04BA" w:rsidP="00CD04BA" w:rsidRDefault="00CD04BA" w14:paraId="02C5D7FE" w14:textId="7CEB09BB">
            <w:pPr>
              <w:widowControl/>
              <w:autoSpaceDE/>
              <w:autoSpaceDN/>
              <w:adjustRightInd/>
              <w:jc w:val="right"/>
              <w:rPr>
                <w:sz w:val="12"/>
                <w:szCs w:val="12"/>
              </w:rPr>
            </w:pPr>
            <w:r>
              <w:rPr>
                <w:sz w:val="12"/>
                <w:szCs w:val="12"/>
              </w:rPr>
              <w:t>5/22/2024</w:t>
            </w:r>
          </w:p>
        </w:tc>
        <w:tc>
          <w:tcPr>
            <w:tcW w:w="966" w:type="dxa"/>
            <w:tcBorders>
              <w:top w:val="nil"/>
              <w:left w:val="nil"/>
              <w:bottom w:val="nil"/>
              <w:right w:val="nil"/>
            </w:tcBorders>
            <w:shd w:val="clear" w:color="auto" w:fill="auto"/>
            <w:noWrap/>
            <w:vAlign w:val="bottom"/>
          </w:tcPr>
          <w:p w:rsidR="00CD04BA" w:rsidP="00CD04BA" w:rsidRDefault="00CD04BA" w14:paraId="7AFBCFFC" w14:textId="468D0EEB">
            <w:pPr>
              <w:widowControl/>
              <w:autoSpaceDE/>
              <w:autoSpaceDN/>
              <w:adjustRightInd/>
              <w:jc w:val="right"/>
              <w:rPr>
                <w:sz w:val="12"/>
                <w:szCs w:val="12"/>
              </w:rPr>
            </w:pPr>
            <w:r>
              <w:rPr>
                <w:sz w:val="12"/>
                <w:szCs w:val="12"/>
              </w:rPr>
              <w:t>$4,065,000</w:t>
            </w:r>
          </w:p>
        </w:tc>
        <w:tc>
          <w:tcPr>
            <w:tcW w:w="966" w:type="dxa"/>
            <w:tcBorders>
              <w:top w:val="nil"/>
              <w:left w:val="nil"/>
              <w:bottom w:val="nil"/>
              <w:right w:val="nil"/>
            </w:tcBorders>
            <w:shd w:val="clear" w:color="auto" w:fill="auto"/>
            <w:noWrap/>
            <w:vAlign w:val="bottom"/>
          </w:tcPr>
          <w:p w:rsidR="00CD04BA" w:rsidP="00CD04BA" w:rsidRDefault="00CD04BA" w14:paraId="2966F6E7" w14:textId="0EEC29BF">
            <w:pPr>
              <w:widowControl/>
              <w:autoSpaceDE/>
              <w:autoSpaceDN/>
              <w:adjustRightInd/>
              <w:jc w:val="right"/>
              <w:rPr>
                <w:sz w:val="12"/>
                <w:szCs w:val="12"/>
              </w:rPr>
            </w:pPr>
            <w:r>
              <w:rPr>
                <w:sz w:val="12"/>
                <w:szCs w:val="12"/>
              </w:rPr>
              <w:t>$4,065,000</w:t>
            </w:r>
          </w:p>
        </w:tc>
        <w:tc>
          <w:tcPr>
            <w:tcW w:w="249" w:type="dxa"/>
            <w:tcBorders>
              <w:top w:val="nil"/>
              <w:left w:val="nil"/>
              <w:bottom w:val="nil"/>
              <w:right w:val="nil"/>
            </w:tcBorders>
            <w:shd w:val="clear" w:color="auto" w:fill="auto"/>
            <w:noWrap/>
            <w:vAlign w:val="bottom"/>
          </w:tcPr>
          <w:p w:rsidRPr="009A1427" w:rsidR="00CD04BA" w:rsidP="00CD04BA" w:rsidRDefault="00CD04BA" w14:paraId="6E1ACC2A"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00CD04BA" w:rsidP="00CD04BA" w:rsidRDefault="00CD04BA" w14:paraId="151755B4" w14:textId="50FD72BA">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D04BA" w:rsidP="00CD04BA" w:rsidRDefault="00CD04BA" w14:paraId="3B3FAA57"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00CD04BA" w:rsidP="00CD04BA" w:rsidRDefault="00CD04BA" w14:paraId="14769E2E" w14:textId="0BDDAF40">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D04BA" w:rsidP="00CD04BA" w:rsidRDefault="00CD04BA" w14:paraId="259F04A2"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00CD04BA" w:rsidP="00CD04BA" w:rsidRDefault="00CD04BA" w14:paraId="60817DFC" w14:textId="12F47CAA">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D04BA" w:rsidP="00CD04BA" w:rsidRDefault="00CD04BA" w14:paraId="62CB2328"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00CD04BA" w:rsidP="00CD04BA" w:rsidRDefault="00CD04BA" w14:paraId="2610A3FA" w14:textId="7C0308E8">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D04BA" w:rsidP="00CD04BA" w:rsidRDefault="00CD04BA" w14:paraId="676F7D9E" w14:textId="2AA903A8">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D04BA" w:rsidP="00CD04BA" w:rsidRDefault="00CD04BA" w14:paraId="3B330166" w14:textId="00FD3FBD">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00CD04BA" w:rsidP="00CD04BA" w:rsidRDefault="00CD04BA" w14:paraId="2EC96838" w14:textId="649822B4">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00CD04BA" w:rsidP="00CD04BA" w:rsidRDefault="00CD04BA" w14:paraId="7FAFEEBA" w14:textId="4C3207B8">
            <w:pPr>
              <w:widowControl/>
              <w:autoSpaceDE/>
              <w:autoSpaceDN/>
              <w:adjustRightInd/>
              <w:jc w:val="right"/>
              <w:rPr>
                <w:sz w:val="12"/>
                <w:szCs w:val="12"/>
              </w:rPr>
            </w:pPr>
            <w:r>
              <w:rPr>
                <w:sz w:val="12"/>
                <w:szCs w:val="12"/>
              </w:rPr>
              <w:t>4,065,000</w:t>
            </w:r>
          </w:p>
        </w:tc>
        <w:tc>
          <w:tcPr>
            <w:tcW w:w="876" w:type="dxa"/>
            <w:tcBorders>
              <w:top w:val="nil"/>
              <w:left w:val="nil"/>
              <w:bottom w:val="nil"/>
              <w:right w:val="nil"/>
            </w:tcBorders>
            <w:shd w:val="clear" w:color="auto" w:fill="auto"/>
            <w:noWrap/>
            <w:vAlign w:val="bottom"/>
          </w:tcPr>
          <w:p w:rsidR="00CD04BA" w:rsidP="00CD04BA" w:rsidRDefault="00CD04BA" w14:paraId="1B66533A" w14:textId="0A354021">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D04BA" w:rsidP="00CD04BA" w:rsidRDefault="00CD04BA" w14:paraId="3F93A313" w14:textId="007F92E2">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D04BA" w:rsidP="00CD04BA" w:rsidRDefault="00CD04BA" w14:paraId="1DE3E2ED" w14:textId="17E35D0C">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D04BA" w:rsidP="00CD04BA" w:rsidRDefault="00CD04BA" w14:paraId="4A855B77" w14:textId="1745DDE6">
            <w:pPr>
              <w:widowControl/>
              <w:autoSpaceDE/>
              <w:autoSpaceDN/>
              <w:adjustRightInd/>
              <w:jc w:val="right"/>
              <w:rPr>
                <w:sz w:val="12"/>
                <w:szCs w:val="12"/>
              </w:rPr>
            </w:pPr>
            <w:r>
              <w:rPr>
                <w:sz w:val="12"/>
                <w:szCs w:val="12"/>
              </w:rPr>
              <w:t>-</w:t>
            </w:r>
          </w:p>
        </w:tc>
      </w:tr>
      <w:tr w:rsidRPr="009A1427" w:rsidR="00923C22" w:rsidTr="00923C22" w14:paraId="392A7169" w14:textId="77777777">
        <w:trPr>
          <w:trHeight w:val="48"/>
        </w:trPr>
        <w:tc>
          <w:tcPr>
            <w:tcW w:w="1170" w:type="dxa"/>
            <w:tcBorders>
              <w:top w:val="nil"/>
              <w:left w:val="nil"/>
              <w:bottom w:val="nil"/>
              <w:right w:val="nil"/>
            </w:tcBorders>
            <w:shd w:val="clear" w:color="auto" w:fill="auto"/>
            <w:noWrap/>
            <w:vAlign w:val="bottom"/>
          </w:tcPr>
          <w:p w:rsidRPr="009A1427" w:rsidR="00923C22" w:rsidP="00923C22" w:rsidRDefault="00923C22" w14:paraId="0A5996E6" w14:textId="77777777">
            <w:pPr>
              <w:widowControl/>
              <w:autoSpaceDE/>
              <w:autoSpaceDN/>
              <w:adjustRightInd/>
              <w:jc w:val="left"/>
              <w:rPr>
                <w:rFonts w:ascii="Arial" w:hAnsi="Arial" w:cs="Arial"/>
                <w:sz w:val="12"/>
                <w:szCs w:val="12"/>
              </w:rPr>
            </w:pPr>
          </w:p>
        </w:tc>
        <w:tc>
          <w:tcPr>
            <w:tcW w:w="763" w:type="dxa"/>
            <w:tcBorders>
              <w:top w:val="nil"/>
              <w:left w:val="nil"/>
              <w:bottom w:val="nil"/>
              <w:right w:val="nil"/>
            </w:tcBorders>
            <w:shd w:val="clear" w:color="auto" w:fill="auto"/>
            <w:noWrap/>
            <w:vAlign w:val="bottom"/>
          </w:tcPr>
          <w:p w:rsidRPr="009A1427" w:rsidR="00923C22" w:rsidP="00923C22" w:rsidRDefault="00923C22" w14:paraId="29FEA4E9" w14:textId="77777777">
            <w:pPr>
              <w:widowControl/>
              <w:autoSpaceDE/>
              <w:autoSpaceDN/>
              <w:adjustRightInd/>
              <w:jc w:val="right"/>
              <w:rPr>
                <w:sz w:val="12"/>
                <w:szCs w:val="12"/>
              </w:rPr>
            </w:pPr>
          </w:p>
        </w:tc>
        <w:tc>
          <w:tcPr>
            <w:tcW w:w="966" w:type="dxa"/>
            <w:tcBorders>
              <w:top w:val="nil"/>
              <w:left w:val="nil"/>
              <w:bottom w:val="nil"/>
              <w:right w:val="nil"/>
            </w:tcBorders>
            <w:shd w:val="clear" w:color="auto" w:fill="auto"/>
            <w:noWrap/>
            <w:vAlign w:val="bottom"/>
          </w:tcPr>
          <w:p w:rsidRPr="009A1427" w:rsidR="00923C22" w:rsidP="00923C22" w:rsidRDefault="00923C22" w14:paraId="290950B1" w14:textId="77777777">
            <w:pPr>
              <w:widowControl/>
              <w:autoSpaceDE/>
              <w:autoSpaceDN/>
              <w:adjustRightInd/>
              <w:jc w:val="right"/>
              <w:rPr>
                <w:sz w:val="12"/>
                <w:szCs w:val="12"/>
              </w:rPr>
            </w:pPr>
          </w:p>
        </w:tc>
        <w:tc>
          <w:tcPr>
            <w:tcW w:w="966" w:type="dxa"/>
            <w:tcBorders>
              <w:top w:val="nil"/>
              <w:left w:val="nil"/>
              <w:bottom w:val="nil"/>
              <w:right w:val="nil"/>
            </w:tcBorders>
            <w:shd w:val="clear" w:color="auto" w:fill="auto"/>
            <w:noWrap/>
            <w:vAlign w:val="bottom"/>
          </w:tcPr>
          <w:p w:rsidRPr="009A1427" w:rsidR="00923C22" w:rsidP="00923C22" w:rsidRDefault="00923C22" w14:paraId="65696C2B" w14:textId="77777777">
            <w:pPr>
              <w:widowControl/>
              <w:autoSpaceDE/>
              <w:autoSpaceDN/>
              <w:adjustRightInd/>
              <w:jc w:val="right"/>
              <w:rPr>
                <w:sz w:val="12"/>
                <w:szCs w:val="12"/>
              </w:rPr>
            </w:pPr>
          </w:p>
        </w:tc>
        <w:tc>
          <w:tcPr>
            <w:tcW w:w="249" w:type="dxa"/>
            <w:tcBorders>
              <w:top w:val="nil"/>
              <w:left w:val="nil"/>
              <w:bottom w:val="nil"/>
              <w:right w:val="nil"/>
            </w:tcBorders>
            <w:shd w:val="clear" w:color="auto" w:fill="auto"/>
            <w:noWrap/>
            <w:vAlign w:val="bottom"/>
          </w:tcPr>
          <w:p w:rsidRPr="009A1427" w:rsidR="00923C22" w:rsidP="00923C22" w:rsidRDefault="00923C22" w14:paraId="18678D9B"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9A1427" w:rsidR="00923C22" w:rsidP="00923C22" w:rsidRDefault="00923C22" w14:paraId="57B040EF" w14:textId="77777777">
            <w:pPr>
              <w:widowControl/>
              <w:autoSpaceDE/>
              <w:autoSpaceDN/>
              <w:adjustRightInd/>
              <w:jc w:val="right"/>
              <w:rPr>
                <w:sz w:val="12"/>
                <w:szCs w:val="12"/>
              </w:rPr>
            </w:pPr>
          </w:p>
        </w:tc>
        <w:tc>
          <w:tcPr>
            <w:tcW w:w="260" w:type="dxa"/>
            <w:tcBorders>
              <w:top w:val="nil"/>
              <w:left w:val="nil"/>
              <w:bottom w:val="nil"/>
              <w:right w:val="nil"/>
            </w:tcBorders>
            <w:shd w:val="clear" w:color="auto" w:fill="auto"/>
            <w:noWrap/>
            <w:vAlign w:val="bottom"/>
          </w:tcPr>
          <w:p w:rsidRPr="009A1427" w:rsidR="00923C22" w:rsidP="00923C22" w:rsidRDefault="00923C22" w14:paraId="1FB7F18F"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9A1427" w:rsidR="00923C22" w:rsidP="00923C22" w:rsidRDefault="00923C22" w14:paraId="6EBAC187" w14:textId="77777777">
            <w:pPr>
              <w:widowControl/>
              <w:autoSpaceDE/>
              <w:autoSpaceDN/>
              <w:adjustRightInd/>
              <w:jc w:val="right"/>
              <w:rPr>
                <w:sz w:val="12"/>
                <w:szCs w:val="12"/>
              </w:rPr>
            </w:pPr>
          </w:p>
        </w:tc>
        <w:tc>
          <w:tcPr>
            <w:tcW w:w="260" w:type="dxa"/>
            <w:tcBorders>
              <w:top w:val="nil"/>
              <w:left w:val="nil"/>
              <w:bottom w:val="nil"/>
              <w:right w:val="nil"/>
            </w:tcBorders>
            <w:shd w:val="clear" w:color="auto" w:fill="auto"/>
            <w:noWrap/>
            <w:vAlign w:val="bottom"/>
          </w:tcPr>
          <w:p w:rsidRPr="009A1427" w:rsidR="00923C22" w:rsidP="00923C22" w:rsidRDefault="00923C22" w14:paraId="0D9F5C4B"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Pr="009A1427" w:rsidR="00923C22" w:rsidP="00923C22" w:rsidRDefault="00923C22" w14:paraId="35A473A7" w14:textId="77777777">
            <w:pPr>
              <w:widowControl/>
              <w:autoSpaceDE/>
              <w:autoSpaceDN/>
              <w:adjustRightInd/>
              <w:jc w:val="right"/>
              <w:rPr>
                <w:sz w:val="12"/>
                <w:szCs w:val="12"/>
              </w:rPr>
            </w:pPr>
          </w:p>
        </w:tc>
        <w:tc>
          <w:tcPr>
            <w:tcW w:w="260" w:type="dxa"/>
            <w:tcBorders>
              <w:top w:val="nil"/>
              <w:left w:val="nil"/>
              <w:bottom w:val="nil"/>
              <w:right w:val="nil"/>
            </w:tcBorders>
            <w:shd w:val="clear" w:color="auto" w:fill="auto"/>
            <w:noWrap/>
            <w:vAlign w:val="bottom"/>
          </w:tcPr>
          <w:p w:rsidRPr="009A1427" w:rsidR="00923C22" w:rsidP="00923C22" w:rsidRDefault="00923C22" w14:paraId="00F58F4F"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9A1427" w:rsidR="00923C22" w:rsidP="00923C22" w:rsidRDefault="00923C22" w14:paraId="678781AB"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9A1427" w:rsidR="00923C22" w:rsidP="00923C22" w:rsidRDefault="00923C22" w14:paraId="54867143"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9A1427" w:rsidR="00923C22" w:rsidP="00923C22" w:rsidRDefault="00923C22" w14:paraId="44B3EB1C"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9A1427" w:rsidR="00923C22" w:rsidP="00923C22" w:rsidRDefault="00923C22" w14:paraId="454F6DDC"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tcPr>
          <w:p w:rsidRPr="009A1427" w:rsidR="00923C22" w:rsidP="00923C22" w:rsidRDefault="00923C22" w14:paraId="13365EDA"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9A1427" w:rsidR="00923C22" w:rsidP="00923C22" w:rsidRDefault="00923C22" w14:paraId="27E18114"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9A1427" w:rsidR="00923C22" w:rsidP="00923C22" w:rsidRDefault="00923C22" w14:paraId="1121925E"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9A1427" w:rsidR="00923C22" w:rsidP="00923C22" w:rsidRDefault="00923C22" w14:paraId="4FF8D92B"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9A1427" w:rsidR="00923C22" w:rsidP="00923C22" w:rsidRDefault="00923C22" w14:paraId="18B0293B" w14:textId="77777777">
            <w:pPr>
              <w:widowControl/>
              <w:autoSpaceDE/>
              <w:autoSpaceDN/>
              <w:adjustRightInd/>
              <w:jc w:val="right"/>
              <w:rPr>
                <w:sz w:val="12"/>
                <w:szCs w:val="12"/>
              </w:rPr>
            </w:pPr>
          </w:p>
        </w:tc>
      </w:tr>
      <w:tr w:rsidRPr="009A1427" w:rsidR="00923C22" w:rsidTr="00923C22" w14:paraId="74146326" w14:textId="77777777">
        <w:trPr>
          <w:trHeight w:val="206"/>
        </w:trPr>
        <w:tc>
          <w:tcPr>
            <w:tcW w:w="1170" w:type="dxa"/>
            <w:tcBorders>
              <w:top w:val="nil"/>
              <w:left w:val="nil"/>
              <w:bottom w:val="nil"/>
              <w:right w:val="nil"/>
            </w:tcBorders>
            <w:shd w:val="clear" w:color="auto" w:fill="auto"/>
            <w:noWrap/>
            <w:vAlign w:val="bottom"/>
            <w:hideMark/>
          </w:tcPr>
          <w:p w:rsidRPr="009A1427" w:rsidR="00923C22" w:rsidP="00923C22" w:rsidRDefault="00923C22" w14:paraId="2C4D8CBB" w14:textId="77777777">
            <w:pPr>
              <w:widowControl/>
              <w:autoSpaceDE/>
              <w:autoSpaceDN/>
              <w:adjustRightInd/>
              <w:jc w:val="left"/>
              <w:rPr>
                <w:b/>
                <w:bCs/>
                <w:sz w:val="12"/>
                <w:szCs w:val="12"/>
              </w:rPr>
            </w:pPr>
            <w:r w:rsidRPr="009A1427">
              <w:rPr>
                <w:b/>
                <w:bCs/>
                <w:sz w:val="12"/>
                <w:szCs w:val="12"/>
              </w:rPr>
              <w:t>Sub-Total</w:t>
            </w:r>
          </w:p>
        </w:tc>
        <w:tc>
          <w:tcPr>
            <w:tcW w:w="763" w:type="dxa"/>
            <w:tcBorders>
              <w:top w:val="nil"/>
              <w:left w:val="nil"/>
              <w:bottom w:val="nil"/>
              <w:right w:val="nil"/>
            </w:tcBorders>
            <w:shd w:val="clear" w:color="auto" w:fill="auto"/>
            <w:noWrap/>
            <w:vAlign w:val="bottom"/>
            <w:hideMark/>
          </w:tcPr>
          <w:p w:rsidRPr="009A1427" w:rsidR="00923C22" w:rsidP="00923C22" w:rsidRDefault="00923C22" w14:paraId="361CB5A1" w14:textId="77777777">
            <w:pPr>
              <w:widowControl/>
              <w:autoSpaceDE/>
              <w:autoSpaceDN/>
              <w:adjustRightInd/>
              <w:jc w:val="left"/>
              <w:rPr>
                <w:b/>
                <w:bCs/>
                <w:sz w:val="12"/>
                <w:szCs w:val="12"/>
              </w:rPr>
            </w:pPr>
          </w:p>
        </w:tc>
        <w:tc>
          <w:tcPr>
            <w:tcW w:w="966" w:type="dxa"/>
            <w:tcBorders>
              <w:top w:val="single" w:color="auto" w:sz="4" w:space="0"/>
              <w:left w:val="nil"/>
              <w:bottom w:val="double" w:color="auto" w:sz="6" w:space="0"/>
              <w:right w:val="nil"/>
            </w:tcBorders>
            <w:shd w:val="clear" w:color="auto" w:fill="auto"/>
            <w:noWrap/>
            <w:vAlign w:val="bottom"/>
            <w:hideMark/>
          </w:tcPr>
          <w:p w:rsidRPr="00A0434B" w:rsidR="00923C22" w:rsidP="00467C97" w:rsidRDefault="00923C22" w14:paraId="0670B736" w14:textId="23F75A2F">
            <w:pPr>
              <w:widowControl/>
              <w:autoSpaceDE/>
              <w:autoSpaceDN/>
              <w:adjustRightInd/>
              <w:jc w:val="right"/>
              <w:rPr>
                <w:b/>
                <w:bCs/>
                <w:sz w:val="12"/>
                <w:szCs w:val="12"/>
              </w:rPr>
            </w:pPr>
            <w:r w:rsidRPr="00A0434B">
              <w:rPr>
                <w:b/>
                <w:bCs/>
                <w:sz w:val="12"/>
                <w:szCs w:val="12"/>
              </w:rPr>
              <w:t>$</w:t>
            </w:r>
            <w:r w:rsidR="00467C97">
              <w:rPr>
                <w:b/>
                <w:bCs/>
                <w:sz w:val="12"/>
                <w:szCs w:val="12"/>
              </w:rPr>
              <w:t>1,550,745,000</w:t>
            </w:r>
          </w:p>
        </w:tc>
        <w:tc>
          <w:tcPr>
            <w:tcW w:w="96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2D313E4D" w14:textId="5316C678">
            <w:pPr>
              <w:widowControl/>
              <w:autoSpaceDE/>
              <w:autoSpaceDN/>
              <w:adjustRightInd/>
              <w:jc w:val="right"/>
              <w:rPr>
                <w:b/>
                <w:bCs/>
                <w:sz w:val="12"/>
                <w:szCs w:val="12"/>
              </w:rPr>
            </w:pPr>
            <w:r>
              <w:rPr>
                <w:b/>
                <w:bCs/>
                <w:sz w:val="12"/>
                <w:szCs w:val="12"/>
              </w:rPr>
              <w:t>$1,129,475,000</w:t>
            </w:r>
          </w:p>
        </w:tc>
        <w:tc>
          <w:tcPr>
            <w:tcW w:w="249"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923C22" w14:paraId="552FE5D7" w14:textId="77777777">
            <w:pPr>
              <w:widowControl/>
              <w:autoSpaceDE/>
              <w:autoSpaceDN/>
              <w:adjustRightInd/>
              <w:jc w:val="left"/>
              <w:rPr>
                <w:b/>
                <w:bCs/>
                <w:sz w:val="12"/>
                <w:szCs w:val="12"/>
              </w:rPr>
            </w:pPr>
          </w:p>
        </w:tc>
        <w:tc>
          <w:tcPr>
            <w:tcW w:w="81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923C22" w14:paraId="29914917" w14:textId="77777777">
            <w:pPr>
              <w:widowControl/>
              <w:autoSpaceDE/>
              <w:autoSpaceDN/>
              <w:adjustRightInd/>
              <w:jc w:val="right"/>
              <w:rPr>
                <w:b/>
                <w:bCs/>
                <w:sz w:val="12"/>
                <w:szCs w:val="12"/>
              </w:rPr>
            </w:pPr>
            <w:r w:rsidRPr="00A0434B">
              <w:rPr>
                <w:b/>
                <w:bCs/>
                <w:sz w:val="12"/>
                <w:szCs w:val="12"/>
              </w:rPr>
              <w:t xml:space="preserve">$43,705,000 </w:t>
            </w:r>
          </w:p>
        </w:tc>
        <w:tc>
          <w:tcPr>
            <w:tcW w:w="260"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923C22" w14:paraId="45ADC4FB" w14:textId="77777777">
            <w:pPr>
              <w:widowControl/>
              <w:autoSpaceDE/>
              <w:autoSpaceDN/>
              <w:adjustRightInd/>
              <w:jc w:val="left"/>
              <w:rPr>
                <w:b/>
                <w:bCs/>
                <w:sz w:val="12"/>
                <w:szCs w:val="12"/>
              </w:rPr>
            </w:pPr>
          </w:p>
        </w:tc>
        <w:tc>
          <w:tcPr>
            <w:tcW w:w="87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366AB1EB" w14:textId="6B28D5B8">
            <w:pPr>
              <w:widowControl/>
              <w:autoSpaceDE/>
              <w:autoSpaceDN/>
              <w:adjustRightInd/>
              <w:jc w:val="right"/>
              <w:rPr>
                <w:b/>
                <w:bCs/>
                <w:sz w:val="12"/>
                <w:szCs w:val="12"/>
              </w:rPr>
            </w:pPr>
            <w:r>
              <w:rPr>
                <w:b/>
                <w:bCs/>
                <w:sz w:val="12"/>
                <w:szCs w:val="12"/>
              </w:rPr>
              <w:t>$216,905,000</w:t>
            </w:r>
          </w:p>
        </w:tc>
        <w:tc>
          <w:tcPr>
            <w:tcW w:w="260"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923C22" w14:paraId="36384AF4" w14:textId="77777777">
            <w:pPr>
              <w:widowControl/>
              <w:autoSpaceDE/>
              <w:autoSpaceDN/>
              <w:adjustRightInd/>
              <w:jc w:val="left"/>
              <w:rPr>
                <w:b/>
                <w:bCs/>
                <w:sz w:val="12"/>
                <w:szCs w:val="12"/>
              </w:rPr>
            </w:pPr>
          </w:p>
        </w:tc>
        <w:tc>
          <w:tcPr>
            <w:tcW w:w="964"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28A05087" w14:textId="1E9EA880">
            <w:pPr>
              <w:widowControl/>
              <w:autoSpaceDE/>
              <w:autoSpaceDN/>
              <w:adjustRightInd/>
              <w:jc w:val="right"/>
              <w:rPr>
                <w:b/>
                <w:bCs/>
                <w:sz w:val="12"/>
                <w:szCs w:val="12"/>
              </w:rPr>
            </w:pPr>
            <w:r>
              <w:rPr>
                <w:b/>
                <w:bCs/>
                <w:sz w:val="12"/>
                <w:szCs w:val="12"/>
              </w:rPr>
              <w:t>$66,060,000</w:t>
            </w:r>
          </w:p>
        </w:tc>
        <w:tc>
          <w:tcPr>
            <w:tcW w:w="260"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923C22" w14:paraId="293E1560" w14:textId="77777777">
            <w:pPr>
              <w:widowControl/>
              <w:autoSpaceDE/>
              <w:autoSpaceDN/>
              <w:adjustRightInd/>
              <w:jc w:val="left"/>
              <w:rPr>
                <w:b/>
                <w:bCs/>
                <w:sz w:val="12"/>
                <w:szCs w:val="12"/>
              </w:rPr>
            </w:pPr>
          </w:p>
        </w:tc>
        <w:tc>
          <w:tcPr>
            <w:tcW w:w="86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4DC6BE8B" w14:textId="7F4C47BE">
            <w:pPr>
              <w:widowControl/>
              <w:autoSpaceDE/>
              <w:autoSpaceDN/>
              <w:adjustRightInd/>
              <w:jc w:val="right"/>
              <w:rPr>
                <w:b/>
                <w:bCs/>
                <w:sz w:val="12"/>
                <w:szCs w:val="12"/>
              </w:rPr>
            </w:pPr>
            <w:r>
              <w:rPr>
                <w:b/>
                <w:bCs/>
                <w:sz w:val="12"/>
                <w:szCs w:val="12"/>
              </w:rPr>
              <w:t>$79,655,000</w:t>
            </w:r>
          </w:p>
        </w:tc>
        <w:tc>
          <w:tcPr>
            <w:tcW w:w="87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5C88BCF3" w14:textId="25276C61">
            <w:pPr>
              <w:widowControl/>
              <w:autoSpaceDE/>
              <w:autoSpaceDN/>
              <w:adjustRightInd/>
              <w:jc w:val="right"/>
              <w:rPr>
                <w:b/>
                <w:bCs/>
                <w:sz w:val="12"/>
                <w:szCs w:val="12"/>
              </w:rPr>
            </w:pPr>
            <w:r>
              <w:rPr>
                <w:b/>
                <w:bCs/>
                <w:sz w:val="12"/>
                <w:szCs w:val="12"/>
              </w:rPr>
              <w:t>$101,100,000</w:t>
            </w:r>
          </w:p>
        </w:tc>
        <w:tc>
          <w:tcPr>
            <w:tcW w:w="87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04C5AA0C" w14:textId="674CC9F5">
            <w:pPr>
              <w:widowControl/>
              <w:autoSpaceDE/>
              <w:autoSpaceDN/>
              <w:adjustRightInd/>
              <w:jc w:val="right"/>
              <w:rPr>
                <w:b/>
                <w:bCs/>
                <w:sz w:val="12"/>
                <w:szCs w:val="12"/>
              </w:rPr>
            </w:pPr>
            <w:r>
              <w:rPr>
                <w:b/>
                <w:bCs/>
                <w:sz w:val="12"/>
                <w:szCs w:val="12"/>
              </w:rPr>
              <w:t>$37,360,000</w:t>
            </w:r>
          </w:p>
        </w:tc>
        <w:tc>
          <w:tcPr>
            <w:tcW w:w="81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2E1933D3" w14:textId="79883759">
            <w:pPr>
              <w:widowControl/>
              <w:autoSpaceDE/>
              <w:autoSpaceDN/>
              <w:adjustRightInd/>
              <w:jc w:val="right"/>
              <w:rPr>
                <w:b/>
                <w:bCs/>
                <w:sz w:val="12"/>
                <w:szCs w:val="12"/>
              </w:rPr>
            </w:pPr>
            <w:r>
              <w:rPr>
                <w:b/>
                <w:bCs/>
                <w:sz w:val="12"/>
                <w:szCs w:val="12"/>
              </w:rPr>
              <w:t>$2,545,000</w:t>
            </w:r>
          </w:p>
        </w:tc>
        <w:tc>
          <w:tcPr>
            <w:tcW w:w="81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17E5F89A" w14:textId="0D8AAB6E">
            <w:pPr>
              <w:widowControl/>
              <w:autoSpaceDE/>
              <w:autoSpaceDN/>
              <w:adjustRightInd/>
              <w:jc w:val="right"/>
              <w:rPr>
                <w:b/>
                <w:bCs/>
                <w:sz w:val="12"/>
                <w:szCs w:val="12"/>
              </w:rPr>
            </w:pPr>
            <w:r>
              <w:rPr>
                <w:b/>
                <w:bCs/>
                <w:sz w:val="12"/>
                <w:szCs w:val="12"/>
              </w:rPr>
              <w:t>$20,210,000</w:t>
            </w:r>
          </w:p>
        </w:tc>
        <w:tc>
          <w:tcPr>
            <w:tcW w:w="87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6C7EE257" w14:textId="20779C41">
            <w:pPr>
              <w:widowControl/>
              <w:autoSpaceDE/>
              <w:autoSpaceDN/>
              <w:adjustRightInd/>
              <w:jc w:val="right"/>
              <w:rPr>
                <w:b/>
                <w:bCs/>
                <w:sz w:val="12"/>
                <w:szCs w:val="12"/>
              </w:rPr>
            </w:pPr>
            <w:r>
              <w:rPr>
                <w:b/>
                <w:bCs/>
                <w:sz w:val="12"/>
                <w:szCs w:val="12"/>
              </w:rPr>
              <w:t>$135,210,000</w:t>
            </w:r>
          </w:p>
        </w:tc>
        <w:tc>
          <w:tcPr>
            <w:tcW w:w="87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467C97" w14:paraId="5ABE1EDC" w14:textId="085A4A2C">
            <w:pPr>
              <w:widowControl/>
              <w:autoSpaceDE/>
              <w:autoSpaceDN/>
              <w:adjustRightInd/>
              <w:jc w:val="right"/>
              <w:rPr>
                <w:b/>
                <w:bCs/>
                <w:sz w:val="12"/>
                <w:szCs w:val="12"/>
              </w:rPr>
            </w:pPr>
            <w:r>
              <w:rPr>
                <w:b/>
                <w:bCs/>
                <w:sz w:val="12"/>
                <w:szCs w:val="12"/>
              </w:rPr>
              <w:t>$369,295,000</w:t>
            </w:r>
          </w:p>
        </w:tc>
        <w:tc>
          <w:tcPr>
            <w:tcW w:w="87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923C22" w14:paraId="4AB2D67B" w14:textId="77777777">
            <w:pPr>
              <w:widowControl/>
              <w:autoSpaceDE/>
              <w:autoSpaceDN/>
              <w:adjustRightInd/>
              <w:jc w:val="right"/>
              <w:rPr>
                <w:b/>
                <w:bCs/>
                <w:sz w:val="12"/>
                <w:szCs w:val="12"/>
              </w:rPr>
            </w:pPr>
            <w:r w:rsidRPr="00A0434B">
              <w:rPr>
                <w:b/>
                <w:bCs/>
                <w:sz w:val="12"/>
                <w:szCs w:val="12"/>
              </w:rPr>
              <w:t xml:space="preserve">$57,430,000 </w:t>
            </w:r>
          </w:p>
        </w:tc>
        <w:tc>
          <w:tcPr>
            <w:tcW w:w="876" w:type="dxa"/>
            <w:tcBorders>
              <w:top w:val="single" w:color="auto" w:sz="4" w:space="0"/>
              <w:left w:val="nil"/>
              <w:bottom w:val="double" w:color="auto" w:sz="6" w:space="0"/>
              <w:right w:val="nil"/>
            </w:tcBorders>
            <w:shd w:val="clear" w:color="auto" w:fill="auto"/>
            <w:noWrap/>
            <w:vAlign w:val="bottom"/>
            <w:hideMark/>
          </w:tcPr>
          <w:p w:rsidRPr="00A0434B" w:rsidR="00923C22" w:rsidP="00923C22" w:rsidRDefault="00923C22" w14:paraId="49DB107D" w14:textId="77777777">
            <w:pPr>
              <w:widowControl/>
              <w:autoSpaceDE/>
              <w:autoSpaceDN/>
              <w:adjustRightInd/>
              <w:jc w:val="right"/>
              <w:rPr>
                <w:b/>
                <w:bCs/>
                <w:sz w:val="12"/>
                <w:szCs w:val="12"/>
              </w:rPr>
            </w:pPr>
            <w:r w:rsidRPr="00A0434B">
              <w:rPr>
                <w:b/>
                <w:bCs/>
                <w:sz w:val="12"/>
                <w:szCs w:val="12"/>
              </w:rPr>
              <w:t xml:space="preserve">$0 </w:t>
            </w:r>
          </w:p>
        </w:tc>
      </w:tr>
      <w:tr w:rsidRPr="009A1427" w:rsidR="00923C22" w:rsidTr="00923C22" w14:paraId="21B0F7F9" w14:textId="77777777">
        <w:trPr>
          <w:trHeight w:val="300"/>
        </w:trPr>
        <w:tc>
          <w:tcPr>
            <w:tcW w:w="1170" w:type="dxa"/>
            <w:tcBorders>
              <w:top w:val="nil"/>
              <w:left w:val="nil"/>
              <w:bottom w:val="nil"/>
              <w:right w:val="nil"/>
            </w:tcBorders>
            <w:shd w:val="clear" w:color="auto" w:fill="auto"/>
            <w:noWrap/>
            <w:vAlign w:val="bottom"/>
            <w:hideMark/>
          </w:tcPr>
          <w:p w:rsidRPr="009A1427" w:rsidR="00923C22" w:rsidP="00923C22" w:rsidRDefault="00923C22" w14:paraId="4D2C9D8B" w14:textId="77777777">
            <w:pPr>
              <w:widowControl/>
              <w:autoSpaceDE/>
              <w:autoSpaceDN/>
              <w:adjustRightInd/>
              <w:jc w:val="left"/>
              <w:rPr>
                <w:b/>
                <w:bCs/>
                <w:sz w:val="12"/>
                <w:szCs w:val="12"/>
              </w:rPr>
            </w:pPr>
            <w:r w:rsidRPr="009A1427">
              <w:rPr>
                <w:b/>
                <w:bCs/>
                <w:sz w:val="12"/>
                <w:szCs w:val="12"/>
              </w:rPr>
              <w:t>Federally Taxable</w:t>
            </w:r>
          </w:p>
        </w:tc>
        <w:tc>
          <w:tcPr>
            <w:tcW w:w="763" w:type="dxa"/>
            <w:tcBorders>
              <w:top w:val="nil"/>
              <w:left w:val="nil"/>
              <w:bottom w:val="nil"/>
              <w:right w:val="nil"/>
            </w:tcBorders>
            <w:shd w:val="clear" w:color="auto" w:fill="auto"/>
            <w:noWrap/>
            <w:vAlign w:val="bottom"/>
            <w:hideMark/>
          </w:tcPr>
          <w:p w:rsidRPr="009A1427" w:rsidR="00923C22" w:rsidP="00923C22" w:rsidRDefault="00923C22" w14:paraId="43A4B756" w14:textId="77777777">
            <w:pPr>
              <w:widowControl/>
              <w:autoSpaceDE/>
              <w:autoSpaceDN/>
              <w:adjustRightInd/>
              <w:jc w:val="left"/>
              <w:rPr>
                <w:b/>
                <w:bCs/>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211A2FEB"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04ACFD67" w14:textId="77777777">
            <w:pPr>
              <w:widowControl/>
              <w:autoSpaceDE/>
              <w:autoSpaceDN/>
              <w:adjustRightInd/>
              <w:jc w:val="right"/>
              <w:rPr>
                <w:sz w:val="12"/>
                <w:szCs w:val="12"/>
              </w:rPr>
            </w:pPr>
          </w:p>
        </w:tc>
        <w:tc>
          <w:tcPr>
            <w:tcW w:w="249" w:type="dxa"/>
            <w:tcBorders>
              <w:top w:val="nil"/>
              <w:left w:val="nil"/>
              <w:bottom w:val="nil"/>
              <w:right w:val="nil"/>
            </w:tcBorders>
            <w:shd w:val="clear" w:color="auto" w:fill="auto"/>
            <w:noWrap/>
            <w:vAlign w:val="bottom"/>
            <w:hideMark/>
          </w:tcPr>
          <w:p w:rsidRPr="009A1427" w:rsidR="00923C22" w:rsidP="00923C22" w:rsidRDefault="00923C22" w14:paraId="7B820047"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455195E9" w14:textId="77777777">
            <w:pPr>
              <w:widowControl/>
              <w:autoSpaceDE/>
              <w:autoSpaceDN/>
              <w:adjustRightInd/>
              <w:jc w:val="righ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65F0D7B2"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638FAF83" w14:textId="77777777">
            <w:pPr>
              <w:widowControl/>
              <w:autoSpaceDE/>
              <w:autoSpaceDN/>
              <w:adjustRightInd/>
              <w:jc w:val="righ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1A4D2B5B"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923C22" w:rsidP="00923C22" w:rsidRDefault="00923C22" w14:paraId="1D84F1B7" w14:textId="77777777">
            <w:pPr>
              <w:widowControl/>
              <w:autoSpaceDE/>
              <w:autoSpaceDN/>
              <w:adjustRightInd/>
              <w:jc w:val="righ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1039C10A"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9A1427" w:rsidR="00923C22" w:rsidP="00923C22" w:rsidRDefault="00923C22" w14:paraId="12AF6205"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6D5014EF"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343FFABA"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15828C9C"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4C590ABF"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0EFE2592"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46F3FFE5"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19ACD454"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165A4FB8" w14:textId="77777777">
            <w:pPr>
              <w:widowControl/>
              <w:autoSpaceDE/>
              <w:autoSpaceDN/>
              <w:adjustRightInd/>
              <w:jc w:val="right"/>
              <w:rPr>
                <w:sz w:val="12"/>
                <w:szCs w:val="12"/>
              </w:rPr>
            </w:pPr>
          </w:p>
        </w:tc>
      </w:tr>
      <w:tr w:rsidRPr="009A1427" w:rsidR="00CC07D3" w:rsidTr="006916A3" w14:paraId="09192D9D" w14:textId="77777777">
        <w:trPr>
          <w:trHeight w:val="48"/>
        </w:trPr>
        <w:tc>
          <w:tcPr>
            <w:tcW w:w="1170" w:type="dxa"/>
            <w:tcBorders>
              <w:top w:val="nil"/>
              <w:left w:val="nil"/>
              <w:bottom w:val="nil"/>
              <w:right w:val="nil"/>
            </w:tcBorders>
            <w:shd w:val="clear" w:color="auto" w:fill="auto"/>
            <w:noWrap/>
            <w:vAlign w:val="bottom"/>
            <w:hideMark/>
          </w:tcPr>
          <w:p w:rsidRPr="00A0434B" w:rsidR="00CC07D3" w:rsidP="00CC07D3" w:rsidRDefault="00CC07D3" w14:paraId="1D25D2CB" w14:textId="77777777">
            <w:pPr>
              <w:widowControl/>
              <w:autoSpaceDE/>
              <w:autoSpaceDN/>
              <w:adjustRightInd/>
              <w:jc w:val="left"/>
              <w:rPr>
                <w:sz w:val="12"/>
                <w:szCs w:val="12"/>
              </w:rPr>
            </w:pPr>
            <w:r w:rsidRPr="00A0434B">
              <w:rPr>
                <w:sz w:val="12"/>
                <w:szCs w:val="12"/>
              </w:rPr>
              <w:t>2022 Series D</w:t>
            </w:r>
          </w:p>
        </w:tc>
        <w:tc>
          <w:tcPr>
            <w:tcW w:w="763" w:type="dxa"/>
            <w:tcBorders>
              <w:top w:val="nil"/>
              <w:left w:val="nil"/>
              <w:bottom w:val="nil"/>
              <w:right w:val="nil"/>
            </w:tcBorders>
            <w:shd w:val="clear" w:color="auto" w:fill="auto"/>
            <w:noWrap/>
            <w:vAlign w:val="bottom"/>
            <w:hideMark/>
          </w:tcPr>
          <w:p w:rsidRPr="00A0434B" w:rsidR="00CC07D3" w:rsidP="00CC07D3" w:rsidRDefault="00CC07D3" w14:paraId="4F146639" w14:textId="77777777">
            <w:pPr>
              <w:widowControl/>
              <w:autoSpaceDE/>
              <w:autoSpaceDN/>
              <w:adjustRightInd/>
              <w:jc w:val="right"/>
              <w:rPr>
                <w:sz w:val="12"/>
                <w:szCs w:val="12"/>
              </w:rPr>
            </w:pPr>
            <w:r w:rsidRPr="00A0434B">
              <w:rPr>
                <w:sz w:val="12"/>
                <w:szCs w:val="12"/>
              </w:rPr>
              <w:t>9/27/2022</w:t>
            </w:r>
          </w:p>
        </w:tc>
        <w:tc>
          <w:tcPr>
            <w:tcW w:w="966" w:type="dxa"/>
            <w:tcBorders>
              <w:top w:val="nil"/>
              <w:left w:val="nil"/>
              <w:bottom w:val="nil"/>
              <w:right w:val="nil"/>
            </w:tcBorders>
            <w:shd w:val="clear" w:color="auto" w:fill="auto"/>
            <w:noWrap/>
            <w:vAlign w:val="bottom"/>
            <w:hideMark/>
          </w:tcPr>
          <w:p w:rsidRPr="00A0434B" w:rsidR="00CC07D3" w:rsidP="00CC07D3" w:rsidRDefault="00CC07D3" w14:paraId="5CA2868D" w14:textId="77777777">
            <w:pPr>
              <w:widowControl/>
              <w:autoSpaceDE/>
              <w:autoSpaceDN/>
              <w:adjustRightInd/>
              <w:jc w:val="right"/>
              <w:rPr>
                <w:sz w:val="12"/>
                <w:szCs w:val="12"/>
              </w:rPr>
            </w:pPr>
            <w:r w:rsidRPr="00A0434B">
              <w:rPr>
                <w:sz w:val="12"/>
                <w:szCs w:val="12"/>
              </w:rPr>
              <w:t xml:space="preserve">$20,000,000 </w:t>
            </w:r>
          </w:p>
        </w:tc>
        <w:tc>
          <w:tcPr>
            <w:tcW w:w="966" w:type="dxa"/>
            <w:tcBorders>
              <w:top w:val="nil"/>
              <w:left w:val="nil"/>
              <w:bottom w:val="nil"/>
              <w:right w:val="nil"/>
            </w:tcBorders>
            <w:shd w:val="clear" w:color="auto" w:fill="auto"/>
            <w:noWrap/>
          </w:tcPr>
          <w:p w:rsidRPr="00A0434B" w:rsidR="00CC07D3" w:rsidP="00CC07D3" w:rsidRDefault="00CC07D3" w14:paraId="6210B400" w14:textId="3483D785">
            <w:pPr>
              <w:widowControl/>
              <w:autoSpaceDE/>
              <w:autoSpaceDN/>
              <w:adjustRightInd/>
              <w:jc w:val="right"/>
              <w:rPr>
                <w:sz w:val="12"/>
                <w:szCs w:val="12"/>
              </w:rPr>
            </w:pPr>
            <w:r w:rsidRPr="00E76A6B">
              <w:rPr>
                <w:sz w:val="12"/>
                <w:szCs w:val="12"/>
              </w:rPr>
              <w:t>19,850,000</w:t>
            </w:r>
          </w:p>
        </w:tc>
        <w:tc>
          <w:tcPr>
            <w:tcW w:w="249" w:type="dxa"/>
            <w:tcBorders>
              <w:top w:val="nil"/>
              <w:left w:val="nil"/>
              <w:bottom w:val="nil"/>
              <w:right w:val="nil"/>
            </w:tcBorders>
            <w:shd w:val="clear" w:color="auto" w:fill="auto"/>
            <w:noWrap/>
            <w:vAlign w:val="bottom"/>
            <w:hideMark/>
          </w:tcPr>
          <w:p w:rsidRPr="009A1427" w:rsidR="00CC07D3" w:rsidP="00CC07D3" w:rsidRDefault="00CC07D3" w14:paraId="35D6499B"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CC07D3" w:rsidP="00CC07D3" w:rsidRDefault="00CC07D3" w14:paraId="78D27E78" w14:textId="77777777">
            <w:pPr>
              <w:widowControl/>
              <w:autoSpaceDE/>
              <w:autoSpaceDN/>
              <w:adjustRightInd/>
              <w:jc w:val="right"/>
              <w:rPr>
                <w:sz w:val="12"/>
                <w:szCs w:val="12"/>
              </w:rPr>
            </w:pPr>
            <w:r w:rsidRPr="009A1427">
              <w:rPr>
                <w:sz w:val="12"/>
                <w:szCs w:val="12"/>
              </w:rPr>
              <w:t>-</w:t>
            </w:r>
          </w:p>
        </w:tc>
        <w:tc>
          <w:tcPr>
            <w:tcW w:w="260" w:type="dxa"/>
            <w:tcBorders>
              <w:top w:val="nil"/>
              <w:left w:val="nil"/>
              <w:bottom w:val="nil"/>
              <w:right w:val="nil"/>
            </w:tcBorders>
            <w:shd w:val="clear" w:color="auto" w:fill="auto"/>
            <w:noWrap/>
            <w:vAlign w:val="bottom"/>
            <w:hideMark/>
          </w:tcPr>
          <w:p w:rsidRPr="009A1427" w:rsidR="00CC07D3" w:rsidP="00CC07D3" w:rsidRDefault="00CC07D3" w14:paraId="3E4AC684"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48300E" w:rsidR="00CC07D3" w:rsidP="00CC07D3" w:rsidRDefault="00CC07D3" w14:paraId="55AE98C8" w14:textId="296440B9">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A0434B" w:rsidR="00CC07D3" w:rsidP="00CC07D3" w:rsidRDefault="00CC07D3" w14:paraId="262820E7"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A0434B" w:rsidR="00CC07D3" w:rsidP="00CC07D3" w:rsidRDefault="00CC07D3" w14:paraId="6C82F523" w14:textId="777777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A0434B" w:rsidR="00CC07D3" w:rsidP="00CC07D3" w:rsidRDefault="00CC07D3" w14:paraId="77033AE5"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A0434B" w:rsidR="00CC07D3" w:rsidP="00CC07D3" w:rsidRDefault="00CC07D3" w14:paraId="51F754B5"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187984CA"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08E7F57B"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CC07D3" w:rsidP="00CC07D3" w:rsidRDefault="00CC07D3" w14:paraId="45C116B9"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CC07D3" w:rsidP="00CC07D3" w:rsidRDefault="00CC07D3" w14:paraId="1B918309" w14:textId="4698FD23">
            <w:pPr>
              <w:widowControl/>
              <w:autoSpaceDE/>
              <w:autoSpaceDN/>
              <w:adjustRightInd/>
              <w:jc w:val="right"/>
              <w:rPr>
                <w:sz w:val="12"/>
                <w:szCs w:val="12"/>
              </w:rPr>
            </w:pPr>
            <w:r>
              <w:rPr>
                <w:sz w:val="12"/>
                <w:szCs w:val="12"/>
              </w:rPr>
              <w:t>2,040</w:t>
            </w:r>
            <w:r w:rsidRPr="00A0434B">
              <w:rPr>
                <w:sz w:val="12"/>
                <w:szCs w:val="12"/>
              </w:rPr>
              <w:t>,000</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385CC337" w14:textId="77777777">
            <w:pPr>
              <w:widowControl/>
              <w:autoSpaceDE/>
              <w:autoSpaceDN/>
              <w:adjustRightInd/>
              <w:jc w:val="right"/>
              <w:rPr>
                <w:sz w:val="12"/>
                <w:szCs w:val="12"/>
              </w:rPr>
            </w:pPr>
            <w:r w:rsidRPr="00A0434B">
              <w:rPr>
                <w:sz w:val="12"/>
                <w:szCs w:val="12"/>
              </w:rPr>
              <w:t>8,170,000</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59B9F1BE" w14:textId="77777777">
            <w:pPr>
              <w:widowControl/>
              <w:autoSpaceDE/>
              <w:autoSpaceDN/>
              <w:adjustRightInd/>
              <w:jc w:val="right"/>
              <w:rPr>
                <w:sz w:val="12"/>
                <w:szCs w:val="12"/>
              </w:rPr>
            </w:pPr>
            <w:r w:rsidRPr="00A0434B">
              <w:rPr>
                <w:sz w:val="12"/>
                <w:szCs w:val="12"/>
              </w:rPr>
              <w:t>9,640,000</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4D7BDAEB"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238A3B7F" w14:textId="77777777">
            <w:pPr>
              <w:widowControl/>
              <w:autoSpaceDE/>
              <w:autoSpaceDN/>
              <w:adjustRightInd/>
              <w:jc w:val="right"/>
              <w:rPr>
                <w:sz w:val="12"/>
                <w:szCs w:val="12"/>
              </w:rPr>
            </w:pPr>
            <w:r>
              <w:rPr>
                <w:sz w:val="12"/>
                <w:szCs w:val="12"/>
              </w:rPr>
              <w:t>-</w:t>
            </w:r>
          </w:p>
        </w:tc>
      </w:tr>
      <w:tr w:rsidRPr="009A1427" w:rsidR="00CC07D3" w:rsidTr="006916A3" w14:paraId="31B6E3A1" w14:textId="77777777">
        <w:trPr>
          <w:trHeight w:val="48"/>
        </w:trPr>
        <w:tc>
          <w:tcPr>
            <w:tcW w:w="1170" w:type="dxa"/>
            <w:tcBorders>
              <w:top w:val="nil"/>
              <w:left w:val="nil"/>
              <w:bottom w:val="nil"/>
              <w:right w:val="nil"/>
            </w:tcBorders>
            <w:shd w:val="clear" w:color="auto" w:fill="auto"/>
            <w:noWrap/>
            <w:vAlign w:val="bottom"/>
            <w:hideMark/>
          </w:tcPr>
          <w:p w:rsidRPr="00A0434B" w:rsidR="00CC07D3" w:rsidP="00CC07D3" w:rsidRDefault="00CC07D3" w14:paraId="25F79589" w14:textId="77777777">
            <w:pPr>
              <w:widowControl/>
              <w:autoSpaceDE/>
              <w:autoSpaceDN/>
              <w:adjustRightInd/>
              <w:jc w:val="left"/>
              <w:rPr>
                <w:sz w:val="12"/>
                <w:szCs w:val="12"/>
              </w:rPr>
            </w:pPr>
            <w:r w:rsidRPr="00A0434B">
              <w:rPr>
                <w:sz w:val="12"/>
                <w:szCs w:val="12"/>
              </w:rPr>
              <w:t>2023 Series A-2</w:t>
            </w:r>
          </w:p>
        </w:tc>
        <w:tc>
          <w:tcPr>
            <w:tcW w:w="763" w:type="dxa"/>
            <w:tcBorders>
              <w:top w:val="nil"/>
              <w:left w:val="nil"/>
              <w:bottom w:val="nil"/>
              <w:right w:val="nil"/>
            </w:tcBorders>
            <w:shd w:val="clear" w:color="auto" w:fill="auto"/>
            <w:noWrap/>
            <w:vAlign w:val="bottom"/>
            <w:hideMark/>
          </w:tcPr>
          <w:p w:rsidRPr="00A0434B" w:rsidR="00CC07D3" w:rsidP="00CC07D3" w:rsidRDefault="00CC07D3" w14:paraId="263076C6" w14:textId="77777777">
            <w:pPr>
              <w:widowControl/>
              <w:autoSpaceDE/>
              <w:autoSpaceDN/>
              <w:adjustRightInd/>
              <w:jc w:val="right"/>
              <w:rPr>
                <w:sz w:val="12"/>
                <w:szCs w:val="12"/>
              </w:rPr>
            </w:pPr>
            <w:r w:rsidRPr="00A0434B">
              <w:rPr>
                <w:sz w:val="12"/>
                <w:szCs w:val="12"/>
              </w:rPr>
              <w:t>1/26/2023</w:t>
            </w:r>
          </w:p>
        </w:tc>
        <w:tc>
          <w:tcPr>
            <w:tcW w:w="966" w:type="dxa"/>
            <w:tcBorders>
              <w:top w:val="nil"/>
              <w:left w:val="nil"/>
              <w:bottom w:val="nil"/>
              <w:right w:val="nil"/>
            </w:tcBorders>
            <w:shd w:val="clear" w:color="auto" w:fill="auto"/>
            <w:noWrap/>
            <w:vAlign w:val="bottom"/>
            <w:hideMark/>
          </w:tcPr>
          <w:p w:rsidRPr="00A0434B" w:rsidR="00CC07D3" w:rsidP="00CC07D3" w:rsidRDefault="00CC07D3" w14:paraId="2C4940C7" w14:textId="77777777">
            <w:pPr>
              <w:widowControl/>
              <w:autoSpaceDE/>
              <w:autoSpaceDN/>
              <w:adjustRightInd/>
              <w:jc w:val="right"/>
              <w:rPr>
                <w:sz w:val="12"/>
                <w:szCs w:val="12"/>
              </w:rPr>
            </w:pPr>
            <w:r w:rsidRPr="00A0434B">
              <w:rPr>
                <w:sz w:val="12"/>
                <w:szCs w:val="12"/>
              </w:rPr>
              <w:t xml:space="preserve">$25,000,000 </w:t>
            </w:r>
          </w:p>
        </w:tc>
        <w:tc>
          <w:tcPr>
            <w:tcW w:w="966" w:type="dxa"/>
            <w:tcBorders>
              <w:top w:val="nil"/>
              <w:left w:val="nil"/>
              <w:bottom w:val="nil"/>
              <w:right w:val="nil"/>
            </w:tcBorders>
            <w:shd w:val="clear" w:color="auto" w:fill="auto"/>
            <w:noWrap/>
          </w:tcPr>
          <w:p w:rsidRPr="00A0434B" w:rsidR="00CC07D3" w:rsidP="00CC07D3" w:rsidRDefault="00CC07D3" w14:paraId="1146EAA3" w14:textId="4AC28B8B">
            <w:pPr>
              <w:widowControl/>
              <w:autoSpaceDE/>
              <w:autoSpaceDN/>
              <w:adjustRightInd/>
              <w:jc w:val="right"/>
              <w:rPr>
                <w:sz w:val="12"/>
                <w:szCs w:val="12"/>
              </w:rPr>
            </w:pPr>
            <w:r w:rsidRPr="00E76A6B">
              <w:rPr>
                <w:sz w:val="12"/>
                <w:szCs w:val="12"/>
              </w:rPr>
              <w:t>23,965,000</w:t>
            </w:r>
          </w:p>
        </w:tc>
        <w:tc>
          <w:tcPr>
            <w:tcW w:w="249" w:type="dxa"/>
            <w:tcBorders>
              <w:top w:val="nil"/>
              <w:left w:val="nil"/>
              <w:bottom w:val="nil"/>
              <w:right w:val="nil"/>
            </w:tcBorders>
            <w:shd w:val="clear" w:color="auto" w:fill="auto"/>
            <w:noWrap/>
            <w:vAlign w:val="bottom"/>
            <w:hideMark/>
          </w:tcPr>
          <w:p w:rsidRPr="009A1427" w:rsidR="00CC07D3" w:rsidP="00CC07D3" w:rsidRDefault="00CC07D3" w14:paraId="68A4289C"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CC07D3" w:rsidP="00CC07D3" w:rsidRDefault="00CC07D3" w14:paraId="7CB6C7C1" w14:textId="77777777">
            <w:pPr>
              <w:widowControl/>
              <w:autoSpaceDE/>
              <w:autoSpaceDN/>
              <w:adjustRightInd/>
              <w:jc w:val="right"/>
              <w:rPr>
                <w:sz w:val="12"/>
                <w:szCs w:val="12"/>
              </w:rPr>
            </w:pPr>
            <w:r w:rsidRPr="009A1427">
              <w:rPr>
                <w:sz w:val="12"/>
                <w:szCs w:val="12"/>
              </w:rPr>
              <w:t>-</w:t>
            </w:r>
          </w:p>
        </w:tc>
        <w:tc>
          <w:tcPr>
            <w:tcW w:w="260" w:type="dxa"/>
            <w:tcBorders>
              <w:top w:val="nil"/>
              <w:left w:val="nil"/>
              <w:bottom w:val="nil"/>
              <w:right w:val="nil"/>
            </w:tcBorders>
            <w:shd w:val="clear" w:color="auto" w:fill="auto"/>
            <w:noWrap/>
            <w:vAlign w:val="bottom"/>
            <w:hideMark/>
          </w:tcPr>
          <w:p w:rsidRPr="009A1427" w:rsidR="00CC07D3" w:rsidP="00CC07D3" w:rsidRDefault="00CC07D3" w14:paraId="0B1A2436"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48300E" w:rsidR="00CC07D3" w:rsidP="00CC07D3" w:rsidRDefault="00CC07D3" w14:paraId="04EBF114" w14:textId="6AF3EC9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A0434B" w:rsidR="00CC07D3" w:rsidP="00CC07D3" w:rsidRDefault="00CC07D3" w14:paraId="6A8C4E5A"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A0434B" w:rsidR="00CC07D3" w:rsidP="00CC07D3" w:rsidRDefault="00CC07D3" w14:paraId="23A6B47B" w14:textId="777777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A0434B" w:rsidR="00CC07D3" w:rsidP="00CC07D3" w:rsidRDefault="00CC07D3" w14:paraId="4D6687BB"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A0434B" w:rsidR="00CC07D3" w:rsidP="00CC07D3" w:rsidRDefault="00CC07D3" w14:paraId="717201D9"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3DBDD7C5"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370B76CF"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CC07D3" w:rsidP="00CC07D3" w:rsidRDefault="00CC07D3" w14:paraId="4DD9BFA9"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CC07D3" w:rsidP="00CC07D3" w:rsidRDefault="00CC07D3" w14:paraId="359A95C7"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0670D5E7" w14:textId="14247E94">
            <w:pPr>
              <w:widowControl/>
              <w:autoSpaceDE/>
              <w:autoSpaceDN/>
              <w:adjustRightInd/>
              <w:jc w:val="right"/>
              <w:rPr>
                <w:sz w:val="12"/>
                <w:szCs w:val="12"/>
              </w:rPr>
            </w:pPr>
            <w:r>
              <w:rPr>
                <w:sz w:val="12"/>
                <w:szCs w:val="12"/>
              </w:rPr>
              <w:t>2,625</w:t>
            </w:r>
            <w:r w:rsidRPr="00A0434B">
              <w:rPr>
                <w:sz w:val="12"/>
                <w:szCs w:val="12"/>
              </w:rPr>
              <w:t>,000</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31CAB3E5" w14:textId="77777777">
            <w:pPr>
              <w:widowControl/>
              <w:autoSpaceDE/>
              <w:autoSpaceDN/>
              <w:adjustRightInd/>
              <w:jc w:val="right"/>
              <w:rPr>
                <w:sz w:val="12"/>
                <w:szCs w:val="12"/>
              </w:rPr>
            </w:pPr>
            <w:r w:rsidRPr="00A0434B">
              <w:rPr>
                <w:sz w:val="12"/>
                <w:szCs w:val="12"/>
              </w:rPr>
              <w:t>5,315,000</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48641BC7" w14:textId="77777777">
            <w:pPr>
              <w:widowControl/>
              <w:autoSpaceDE/>
              <w:autoSpaceDN/>
              <w:adjustRightInd/>
              <w:jc w:val="right"/>
              <w:rPr>
                <w:sz w:val="12"/>
                <w:szCs w:val="12"/>
              </w:rPr>
            </w:pPr>
            <w:r w:rsidRPr="00A0434B">
              <w:rPr>
                <w:sz w:val="12"/>
                <w:szCs w:val="12"/>
              </w:rPr>
              <w:t>16,025,000</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438A74FD" w14:textId="77777777">
            <w:pPr>
              <w:widowControl/>
              <w:autoSpaceDE/>
              <w:autoSpaceDN/>
              <w:adjustRightInd/>
              <w:jc w:val="right"/>
              <w:rPr>
                <w:sz w:val="12"/>
                <w:szCs w:val="12"/>
              </w:rPr>
            </w:pPr>
            <w:r>
              <w:rPr>
                <w:sz w:val="12"/>
                <w:szCs w:val="12"/>
              </w:rPr>
              <w:t>-</w:t>
            </w:r>
          </w:p>
        </w:tc>
      </w:tr>
      <w:tr w:rsidRPr="009A1427" w:rsidR="00CC07D3" w:rsidTr="006916A3" w14:paraId="541D6F5E" w14:textId="77777777">
        <w:trPr>
          <w:trHeight w:val="48"/>
        </w:trPr>
        <w:tc>
          <w:tcPr>
            <w:tcW w:w="1170" w:type="dxa"/>
            <w:tcBorders>
              <w:top w:val="nil"/>
              <w:left w:val="nil"/>
              <w:bottom w:val="nil"/>
              <w:right w:val="nil"/>
            </w:tcBorders>
            <w:shd w:val="clear" w:color="auto" w:fill="auto"/>
            <w:noWrap/>
            <w:vAlign w:val="bottom"/>
            <w:hideMark/>
          </w:tcPr>
          <w:p w:rsidRPr="00A0434B" w:rsidR="00CC07D3" w:rsidP="00CC07D3" w:rsidRDefault="00CC07D3" w14:paraId="50476989" w14:textId="77777777">
            <w:pPr>
              <w:widowControl/>
              <w:autoSpaceDE/>
              <w:autoSpaceDN/>
              <w:adjustRightInd/>
              <w:jc w:val="left"/>
              <w:rPr>
                <w:sz w:val="12"/>
                <w:szCs w:val="12"/>
              </w:rPr>
            </w:pPr>
            <w:r w:rsidRPr="00A0434B">
              <w:rPr>
                <w:sz w:val="12"/>
                <w:szCs w:val="12"/>
              </w:rPr>
              <w:t>2023 Series B-3</w:t>
            </w:r>
          </w:p>
        </w:tc>
        <w:tc>
          <w:tcPr>
            <w:tcW w:w="763" w:type="dxa"/>
            <w:tcBorders>
              <w:top w:val="nil"/>
              <w:left w:val="nil"/>
              <w:bottom w:val="nil"/>
              <w:right w:val="nil"/>
            </w:tcBorders>
            <w:shd w:val="clear" w:color="auto" w:fill="auto"/>
            <w:noWrap/>
            <w:vAlign w:val="bottom"/>
            <w:hideMark/>
          </w:tcPr>
          <w:p w:rsidRPr="00A0434B" w:rsidR="00CC07D3" w:rsidP="00CC07D3" w:rsidRDefault="00CC07D3" w14:paraId="5EA882A3" w14:textId="77777777">
            <w:pPr>
              <w:widowControl/>
              <w:autoSpaceDE/>
              <w:autoSpaceDN/>
              <w:adjustRightInd/>
              <w:jc w:val="right"/>
              <w:rPr>
                <w:sz w:val="12"/>
                <w:szCs w:val="12"/>
              </w:rPr>
            </w:pPr>
            <w:r w:rsidRPr="00A0434B">
              <w:rPr>
                <w:sz w:val="12"/>
                <w:szCs w:val="12"/>
              </w:rPr>
              <w:t>5/11/2023</w:t>
            </w:r>
          </w:p>
        </w:tc>
        <w:tc>
          <w:tcPr>
            <w:tcW w:w="966" w:type="dxa"/>
            <w:tcBorders>
              <w:top w:val="nil"/>
              <w:left w:val="nil"/>
              <w:bottom w:val="nil"/>
              <w:right w:val="nil"/>
            </w:tcBorders>
            <w:shd w:val="clear" w:color="auto" w:fill="auto"/>
            <w:noWrap/>
            <w:vAlign w:val="bottom"/>
            <w:hideMark/>
          </w:tcPr>
          <w:p w:rsidRPr="00A0434B" w:rsidR="00CC07D3" w:rsidP="00CC07D3" w:rsidRDefault="00CC07D3" w14:paraId="01A88734" w14:textId="77777777">
            <w:pPr>
              <w:widowControl/>
              <w:autoSpaceDE/>
              <w:autoSpaceDN/>
              <w:adjustRightInd/>
              <w:jc w:val="right"/>
              <w:rPr>
                <w:sz w:val="12"/>
                <w:szCs w:val="12"/>
              </w:rPr>
            </w:pPr>
            <w:r w:rsidRPr="00A0434B">
              <w:rPr>
                <w:sz w:val="12"/>
                <w:szCs w:val="12"/>
              </w:rPr>
              <w:t xml:space="preserve">$98,930,000 </w:t>
            </w:r>
          </w:p>
        </w:tc>
        <w:tc>
          <w:tcPr>
            <w:tcW w:w="966" w:type="dxa"/>
            <w:tcBorders>
              <w:top w:val="nil"/>
              <w:left w:val="nil"/>
              <w:bottom w:val="nil"/>
              <w:right w:val="nil"/>
            </w:tcBorders>
            <w:shd w:val="clear" w:color="auto" w:fill="auto"/>
            <w:noWrap/>
          </w:tcPr>
          <w:p w:rsidRPr="00A0434B" w:rsidR="00CC07D3" w:rsidP="00CC07D3" w:rsidRDefault="00CC07D3" w14:paraId="39577D27" w14:textId="7F87E267">
            <w:pPr>
              <w:widowControl/>
              <w:autoSpaceDE/>
              <w:autoSpaceDN/>
              <w:adjustRightInd/>
              <w:jc w:val="right"/>
              <w:rPr>
                <w:sz w:val="12"/>
                <w:szCs w:val="12"/>
              </w:rPr>
            </w:pPr>
            <w:r w:rsidRPr="00E76A6B">
              <w:rPr>
                <w:sz w:val="12"/>
                <w:szCs w:val="12"/>
              </w:rPr>
              <w:t>98,165,000</w:t>
            </w:r>
          </w:p>
        </w:tc>
        <w:tc>
          <w:tcPr>
            <w:tcW w:w="249" w:type="dxa"/>
            <w:tcBorders>
              <w:top w:val="nil"/>
              <w:left w:val="nil"/>
              <w:bottom w:val="nil"/>
              <w:right w:val="nil"/>
            </w:tcBorders>
            <w:shd w:val="clear" w:color="auto" w:fill="auto"/>
            <w:noWrap/>
            <w:vAlign w:val="bottom"/>
            <w:hideMark/>
          </w:tcPr>
          <w:p w:rsidRPr="009A1427" w:rsidR="00CC07D3" w:rsidP="00CC07D3" w:rsidRDefault="00CC07D3" w14:paraId="6C6921E6"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CC07D3" w:rsidP="00CC07D3" w:rsidRDefault="00CC07D3" w14:paraId="18466CF8" w14:textId="77777777">
            <w:pPr>
              <w:widowControl/>
              <w:autoSpaceDE/>
              <w:autoSpaceDN/>
              <w:adjustRightInd/>
              <w:jc w:val="right"/>
              <w:rPr>
                <w:sz w:val="12"/>
                <w:szCs w:val="12"/>
              </w:rPr>
            </w:pPr>
            <w:r w:rsidRPr="009A1427">
              <w:rPr>
                <w:sz w:val="12"/>
                <w:szCs w:val="12"/>
              </w:rPr>
              <w:t>-</w:t>
            </w:r>
          </w:p>
        </w:tc>
        <w:tc>
          <w:tcPr>
            <w:tcW w:w="260" w:type="dxa"/>
            <w:tcBorders>
              <w:top w:val="nil"/>
              <w:left w:val="nil"/>
              <w:bottom w:val="nil"/>
              <w:right w:val="nil"/>
            </w:tcBorders>
            <w:shd w:val="clear" w:color="auto" w:fill="auto"/>
            <w:noWrap/>
            <w:vAlign w:val="bottom"/>
            <w:hideMark/>
          </w:tcPr>
          <w:p w:rsidRPr="009A1427" w:rsidR="00CC07D3" w:rsidP="00CC07D3" w:rsidRDefault="00CC07D3" w14:paraId="60CF15AC"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48300E" w:rsidR="00CC07D3" w:rsidP="00CC07D3" w:rsidRDefault="00CC07D3" w14:paraId="037F4E71" w14:textId="4DD40CC0">
            <w:pPr>
              <w:widowControl/>
              <w:autoSpaceDE/>
              <w:autoSpaceDN/>
              <w:adjustRightInd/>
              <w:jc w:val="right"/>
              <w:rPr>
                <w:sz w:val="12"/>
                <w:szCs w:val="12"/>
              </w:rPr>
            </w:pPr>
            <w:r w:rsidRPr="0048300E">
              <w:rPr>
                <w:sz w:val="12"/>
                <w:szCs w:val="12"/>
              </w:rPr>
              <w:t>33,410,000</w:t>
            </w:r>
          </w:p>
        </w:tc>
        <w:tc>
          <w:tcPr>
            <w:tcW w:w="260" w:type="dxa"/>
            <w:tcBorders>
              <w:top w:val="nil"/>
              <w:left w:val="nil"/>
              <w:bottom w:val="nil"/>
              <w:right w:val="nil"/>
            </w:tcBorders>
            <w:shd w:val="clear" w:color="auto" w:fill="auto"/>
            <w:noWrap/>
            <w:vAlign w:val="bottom"/>
            <w:hideMark/>
          </w:tcPr>
          <w:p w:rsidRPr="00A0434B" w:rsidR="00CC07D3" w:rsidP="00CC07D3" w:rsidRDefault="00CC07D3" w14:paraId="45F0E831"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A0434B" w:rsidR="00CC07D3" w:rsidP="00CC07D3" w:rsidRDefault="00CC07D3" w14:paraId="460880E8" w14:textId="777777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hideMark/>
          </w:tcPr>
          <w:p w:rsidRPr="00A0434B" w:rsidR="00CC07D3" w:rsidP="00CC07D3" w:rsidRDefault="00CC07D3" w14:paraId="4F462DB4"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A0434B" w:rsidR="00CC07D3" w:rsidP="00CC07D3" w:rsidRDefault="00CC07D3" w14:paraId="52544208"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05761F7A"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1FA23462"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CC07D3" w:rsidP="00CC07D3" w:rsidRDefault="00CC07D3" w14:paraId="2CC05BC2"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hideMark/>
          </w:tcPr>
          <w:p w:rsidRPr="00A0434B" w:rsidR="00CC07D3" w:rsidP="00CC07D3" w:rsidRDefault="00CC07D3" w14:paraId="6A8CF83E"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3D1C4967"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0138B6F5" w14:textId="77777777">
            <w:pPr>
              <w:widowControl/>
              <w:autoSpaceDE/>
              <w:autoSpaceDN/>
              <w:adjustRightInd/>
              <w:jc w:val="right"/>
              <w:rPr>
                <w:sz w:val="12"/>
                <w:szCs w:val="12"/>
              </w:rPr>
            </w:pPr>
            <w:r w:rsidRPr="00A0434B">
              <w:rPr>
                <w:sz w:val="12"/>
                <w:szCs w:val="12"/>
              </w:rPr>
              <w:t>5,805,000</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77CF93DE" w14:textId="77777777">
            <w:pPr>
              <w:widowControl/>
              <w:autoSpaceDE/>
              <w:autoSpaceDN/>
              <w:adjustRightInd/>
              <w:jc w:val="right"/>
              <w:rPr>
                <w:sz w:val="12"/>
                <w:szCs w:val="12"/>
              </w:rPr>
            </w:pPr>
            <w:r w:rsidRPr="00A0434B">
              <w:rPr>
                <w:sz w:val="12"/>
                <w:szCs w:val="12"/>
              </w:rPr>
              <w:t>58,950,000</w:t>
            </w:r>
          </w:p>
        </w:tc>
        <w:tc>
          <w:tcPr>
            <w:tcW w:w="876" w:type="dxa"/>
            <w:tcBorders>
              <w:top w:val="nil"/>
              <w:left w:val="nil"/>
              <w:bottom w:val="nil"/>
              <w:right w:val="nil"/>
            </w:tcBorders>
            <w:shd w:val="clear" w:color="auto" w:fill="auto"/>
            <w:noWrap/>
            <w:vAlign w:val="bottom"/>
            <w:hideMark/>
          </w:tcPr>
          <w:p w:rsidRPr="00A0434B" w:rsidR="00CC07D3" w:rsidP="00CC07D3" w:rsidRDefault="00CC07D3" w14:paraId="716894B2" w14:textId="77777777">
            <w:pPr>
              <w:widowControl/>
              <w:autoSpaceDE/>
              <w:autoSpaceDN/>
              <w:adjustRightInd/>
              <w:jc w:val="right"/>
              <w:rPr>
                <w:sz w:val="12"/>
                <w:szCs w:val="12"/>
              </w:rPr>
            </w:pPr>
            <w:r>
              <w:rPr>
                <w:sz w:val="12"/>
                <w:szCs w:val="12"/>
              </w:rPr>
              <w:t>-</w:t>
            </w:r>
          </w:p>
        </w:tc>
      </w:tr>
      <w:tr w:rsidRPr="009A1427" w:rsidR="00CC07D3" w:rsidTr="006916A3" w14:paraId="56FC041C" w14:textId="77777777">
        <w:trPr>
          <w:trHeight w:val="48"/>
        </w:trPr>
        <w:tc>
          <w:tcPr>
            <w:tcW w:w="1170" w:type="dxa"/>
            <w:tcBorders>
              <w:top w:val="nil"/>
              <w:left w:val="nil"/>
              <w:bottom w:val="nil"/>
              <w:right w:val="nil"/>
            </w:tcBorders>
            <w:shd w:val="clear" w:color="auto" w:fill="auto"/>
            <w:noWrap/>
            <w:vAlign w:val="bottom"/>
          </w:tcPr>
          <w:p w:rsidRPr="00A0434B" w:rsidR="00CC07D3" w:rsidP="00CC07D3" w:rsidRDefault="00CC07D3" w14:paraId="084648FC" w14:textId="77777777">
            <w:pPr>
              <w:widowControl/>
              <w:autoSpaceDE/>
              <w:autoSpaceDN/>
              <w:adjustRightInd/>
              <w:jc w:val="left"/>
              <w:rPr>
                <w:sz w:val="12"/>
                <w:szCs w:val="12"/>
              </w:rPr>
            </w:pPr>
            <w:r w:rsidRPr="00A0434B">
              <w:rPr>
                <w:sz w:val="12"/>
                <w:szCs w:val="12"/>
              </w:rPr>
              <w:t>2023 Series C-2</w:t>
            </w:r>
          </w:p>
        </w:tc>
        <w:tc>
          <w:tcPr>
            <w:tcW w:w="763" w:type="dxa"/>
            <w:tcBorders>
              <w:top w:val="nil"/>
              <w:left w:val="nil"/>
              <w:bottom w:val="nil"/>
              <w:right w:val="nil"/>
            </w:tcBorders>
            <w:shd w:val="clear" w:color="auto" w:fill="auto"/>
            <w:noWrap/>
            <w:vAlign w:val="bottom"/>
          </w:tcPr>
          <w:p w:rsidRPr="00A0434B" w:rsidR="00CC07D3" w:rsidP="00CC07D3" w:rsidRDefault="00CC07D3" w14:paraId="0B6AAB3D" w14:textId="77777777">
            <w:pPr>
              <w:widowControl/>
              <w:autoSpaceDE/>
              <w:autoSpaceDN/>
              <w:adjustRightInd/>
              <w:jc w:val="right"/>
              <w:rPr>
                <w:sz w:val="12"/>
                <w:szCs w:val="12"/>
              </w:rPr>
            </w:pPr>
            <w:r w:rsidRPr="00A0434B">
              <w:rPr>
                <w:sz w:val="12"/>
                <w:szCs w:val="12"/>
              </w:rPr>
              <w:t>8/17/2023</w:t>
            </w:r>
          </w:p>
        </w:tc>
        <w:tc>
          <w:tcPr>
            <w:tcW w:w="966" w:type="dxa"/>
            <w:tcBorders>
              <w:top w:val="nil"/>
              <w:left w:val="nil"/>
              <w:bottom w:val="nil"/>
              <w:right w:val="nil"/>
            </w:tcBorders>
            <w:shd w:val="clear" w:color="auto" w:fill="auto"/>
            <w:noWrap/>
            <w:vAlign w:val="bottom"/>
          </w:tcPr>
          <w:p w:rsidRPr="00A0434B" w:rsidR="00CC07D3" w:rsidP="00CC07D3" w:rsidRDefault="00CC07D3" w14:paraId="163805C6" w14:textId="77777777">
            <w:pPr>
              <w:widowControl/>
              <w:autoSpaceDE/>
              <w:autoSpaceDN/>
              <w:adjustRightInd/>
              <w:jc w:val="right"/>
              <w:rPr>
                <w:sz w:val="12"/>
                <w:szCs w:val="12"/>
              </w:rPr>
            </w:pPr>
            <w:r w:rsidRPr="00A0434B">
              <w:rPr>
                <w:sz w:val="12"/>
                <w:szCs w:val="12"/>
              </w:rPr>
              <w:t xml:space="preserve">$90,000,000 </w:t>
            </w:r>
          </w:p>
        </w:tc>
        <w:tc>
          <w:tcPr>
            <w:tcW w:w="966" w:type="dxa"/>
            <w:tcBorders>
              <w:top w:val="nil"/>
              <w:left w:val="nil"/>
              <w:bottom w:val="nil"/>
              <w:right w:val="nil"/>
            </w:tcBorders>
            <w:shd w:val="clear" w:color="auto" w:fill="auto"/>
            <w:noWrap/>
          </w:tcPr>
          <w:p w:rsidRPr="00A0434B" w:rsidR="00CC07D3" w:rsidP="00CC07D3" w:rsidRDefault="00CC07D3" w14:paraId="7E4242C2" w14:textId="3B33307A">
            <w:pPr>
              <w:widowControl/>
              <w:autoSpaceDE/>
              <w:autoSpaceDN/>
              <w:adjustRightInd/>
              <w:jc w:val="right"/>
              <w:rPr>
                <w:sz w:val="12"/>
                <w:szCs w:val="12"/>
              </w:rPr>
            </w:pPr>
            <w:r w:rsidRPr="00E76A6B">
              <w:rPr>
                <w:sz w:val="12"/>
                <w:szCs w:val="12"/>
              </w:rPr>
              <w:t>89,230,000</w:t>
            </w:r>
          </w:p>
        </w:tc>
        <w:tc>
          <w:tcPr>
            <w:tcW w:w="249" w:type="dxa"/>
            <w:tcBorders>
              <w:top w:val="nil"/>
              <w:left w:val="nil"/>
              <w:bottom w:val="nil"/>
              <w:right w:val="nil"/>
            </w:tcBorders>
            <w:shd w:val="clear" w:color="auto" w:fill="auto"/>
            <w:noWrap/>
            <w:vAlign w:val="bottom"/>
          </w:tcPr>
          <w:p w:rsidRPr="009A1427" w:rsidR="00CC07D3" w:rsidP="00CC07D3" w:rsidRDefault="00CC07D3" w14:paraId="4F0817C5"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tcPr>
          <w:p w:rsidRPr="009A1427" w:rsidR="00CC07D3" w:rsidP="00CC07D3" w:rsidRDefault="00CC07D3" w14:paraId="0484ADD2" w14:textId="777777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C07D3" w:rsidP="00CC07D3" w:rsidRDefault="00CC07D3" w14:paraId="710D0F2D"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48300E" w:rsidR="00CC07D3" w:rsidP="00CC07D3" w:rsidRDefault="00CC07D3" w14:paraId="1D0C32E7" w14:textId="23DD4160">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A0434B" w:rsidR="00CC07D3" w:rsidP="00CC07D3" w:rsidRDefault="00CC07D3" w14:paraId="78097DA3"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Pr="00A0434B" w:rsidR="00CC07D3" w:rsidP="00CC07D3" w:rsidRDefault="00CC07D3" w14:paraId="1F25DF7C" w14:textId="777777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A0434B" w:rsidR="00CC07D3" w:rsidP="00CC07D3" w:rsidRDefault="00CC07D3" w14:paraId="0AFB68E6"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A0434B" w:rsidR="00CC07D3" w:rsidP="00CC07D3" w:rsidRDefault="00CC07D3" w14:paraId="69F3F2A7"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4EB0EC39"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746334B3"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A0434B" w:rsidR="00CC07D3" w:rsidP="00CC07D3" w:rsidRDefault="00CC07D3" w14:paraId="1CE9A9BF"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A0434B" w:rsidR="00CC07D3" w:rsidP="00CC07D3" w:rsidRDefault="00CC07D3" w14:paraId="4B21BB75"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682164BF"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6422ED25"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2AF084A7" w14:textId="2E426081">
            <w:pPr>
              <w:widowControl/>
              <w:autoSpaceDE/>
              <w:autoSpaceDN/>
              <w:adjustRightInd/>
              <w:jc w:val="right"/>
              <w:rPr>
                <w:sz w:val="12"/>
                <w:szCs w:val="12"/>
              </w:rPr>
            </w:pPr>
            <w:r>
              <w:rPr>
                <w:sz w:val="12"/>
                <w:szCs w:val="12"/>
              </w:rPr>
              <w:t>34,355</w:t>
            </w:r>
            <w:r w:rsidRPr="00A0434B">
              <w:rPr>
                <w:sz w:val="12"/>
                <w:szCs w:val="12"/>
              </w:rPr>
              <w:t>,000</w:t>
            </w:r>
          </w:p>
        </w:tc>
        <w:tc>
          <w:tcPr>
            <w:tcW w:w="876" w:type="dxa"/>
            <w:tcBorders>
              <w:top w:val="nil"/>
              <w:left w:val="nil"/>
              <w:bottom w:val="nil"/>
              <w:right w:val="nil"/>
            </w:tcBorders>
            <w:shd w:val="clear" w:color="auto" w:fill="auto"/>
            <w:noWrap/>
            <w:vAlign w:val="bottom"/>
          </w:tcPr>
          <w:p w:rsidRPr="00A0434B" w:rsidR="00CC07D3" w:rsidP="00CC07D3" w:rsidRDefault="00CC07D3" w14:paraId="681DB6D5" w14:textId="77777777">
            <w:pPr>
              <w:widowControl/>
              <w:autoSpaceDE/>
              <w:autoSpaceDN/>
              <w:adjustRightInd/>
              <w:jc w:val="right"/>
              <w:rPr>
                <w:sz w:val="12"/>
                <w:szCs w:val="12"/>
              </w:rPr>
            </w:pPr>
            <w:r w:rsidRPr="00A0434B">
              <w:rPr>
                <w:sz w:val="12"/>
                <w:szCs w:val="12"/>
              </w:rPr>
              <w:t>54,875,000</w:t>
            </w:r>
          </w:p>
        </w:tc>
      </w:tr>
      <w:tr w:rsidRPr="009A1427" w:rsidR="00CC07D3" w:rsidTr="006916A3" w14:paraId="16DA8A83" w14:textId="77777777">
        <w:trPr>
          <w:trHeight w:val="48"/>
        </w:trPr>
        <w:tc>
          <w:tcPr>
            <w:tcW w:w="1170" w:type="dxa"/>
            <w:tcBorders>
              <w:top w:val="nil"/>
              <w:left w:val="nil"/>
              <w:bottom w:val="nil"/>
              <w:right w:val="nil"/>
            </w:tcBorders>
            <w:shd w:val="clear" w:color="auto" w:fill="auto"/>
            <w:noWrap/>
            <w:vAlign w:val="bottom"/>
          </w:tcPr>
          <w:p w:rsidRPr="00A0434B" w:rsidR="00CC07D3" w:rsidP="00CC07D3" w:rsidRDefault="00CC07D3" w14:paraId="1D36943E" w14:textId="77777777">
            <w:pPr>
              <w:widowControl/>
              <w:autoSpaceDE/>
              <w:autoSpaceDN/>
              <w:adjustRightInd/>
              <w:jc w:val="left"/>
              <w:rPr>
                <w:sz w:val="12"/>
                <w:szCs w:val="12"/>
              </w:rPr>
            </w:pPr>
            <w:r w:rsidRPr="00A0434B">
              <w:rPr>
                <w:sz w:val="12"/>
                <w:szCs w:val="12"/>
              </w:rPr>
              <w:t>2023 Series D-3</w:t>
            </w:r>
          </w:p>
        </w:tc>
        <w:tc>
          <w:tcPr>
            <w:tcW w:w="763" w:type="dxa"/>
            <w:tcBorders>
              <w:top w:val="nil"/>
              <w:left w:val="nil"/>
              <w:bottom w:val="nil"/>
              <w:right w:val="nil"/>
            </w:tcBorders>
            <w:shd w:val="clear" w:color="auto" w:fill="auto"/>
            <w:noWrap/>
            <w:vAlign w:val="bottom"/>
          </w:tcPr>
          <w:p w:rsidRPr="00A0434B" w:rsidR="00CC07D3" w:rsidP="00CC07D3" w:rsidRDefault="00CC07D3" w14:paraId="51E1E1D8" w14:textId="77777777">
            <w:pPr>
              <w:widowControl/>
              <w:autoSpaceDE/>
              <w:autoSpaceDN/>
              <w:adjustRightInd/>
              <w:jc w:val="right"/>
              <w:rPr>
                <w:sz w:val="12"/>
                <w:szCs w:val="12"/>
              </w:rPr>
            </w:pPr>
            <w:r w:rsidRPr="00A0434B">
              <w:rPr>
                <w:sz w:val="12"/>
                <w:szCs w:val="12"/>
              </w:rPr>
              <w:t>11/16/2023</w:t>
            </w:r>
          </w:p>
        </w:tc>
        <w:tc>
          <w:tcPr>
            <w:tcW w:w="966" w:type="dxa"/>
            <w:tcBorders>
              <w:top w:val="nil"/>
              <w:left w:val="nil"/>
              <w:bottom w:val="nil"/>
              <w:right w:val="nil"/>
            </w:tcBorders>
            <w:shd w:val="clear" w:color="auto" w:fill="auto"/>
            <w:noWrap/>
            <w:vAlign w:val="bottom"/>
          </w:tcPr>
          <w:p w:rsidRPr="00A0434B" w:rsidR="00CC07D3" w:rsidP="00CC07D3" w:rsidRDefault="00CC07D3" w14:paraId="61A1F4B5" w14:textId="77777777">
            <w:pPr>
              <w:widowControl/>
              <w:autoSpaceDE/>
              <w:autoSpaceDN/>
              <w:adjustRightInd/>
              <w:jc w:val="right"/>
              <w:rPr>
                <w:sz w:val="12"/>
                <w:szCs w:val="12"/>
              </w:rPr>
            </w:pPr>
            <w:r w:rsidRPr="00A0434B">
              <w:rPr>
                <w:sz w:val="12"/>
                <w:szCs w:val="12"/>
              </w:rPr>
              <w:t xml:space="preserve">$64,610,000 </w:t>
            </w:r>
          </w:p>
        </w:tc>
        <w:tc>
          <w:tcPr>
            <w:tcW w:w="966" w:type="dxa"/>
            <w:tcBorders>
              <w:top w:val="nil"/>
              <w:left w:val="nil"/>
              <w:bottom w:val="nil"/>
              <w:right w:val="nil"/>
            </w:tcBorders>
            <w:shd w:val="clear" w:color="auto" w:fill="auto"/>
            <w:noWrap/>
          </w:tcPr>
          <w:p w:rsidRPr="00A0434B" w:rsidR="00CC07D3" w:rsidP="00CC07D3" w:rsidRDefault="00CC07D3" w14:paraId="1D35AA68" w14:textId="290F2C14">
            <w:pPr>
              <w:widowControl/>
              <w:autoSpaceDE/>
              <w:autoSpaceDN/>
              <w:adjustRightInd/>
              <w:jc w:val="right"/>
              <w:rPr>
                <w:sz w:val="12"/>
                <w:szCs w:val="12"/>
              </w:rPr>
            </w:pPr>
            <w:r w:rsidRPr="00E76A6B">
              <w:rPr>
                <w:sz w:val="12"/>
                <w:szCs w:val="12"/>
              </w:rPr>
              <w:t>64,590,000</w:t>
            </w:r>
          </w:p>
        </w:tc>
        <w:tc>
          <w:tcPr>
            <w:tcW w:w="249" w:type="dxa"/>
            <w:tcBorders>
              <w:top w:val="nil"/>
              <w:left w:val="nil"/>
              <w:bottom w:val="nil"/>
              <w:right w:val="nil"/>
            </w:tcBorders>
            <w:shd w:val="clear" w:color="auto" w:fill="auto"/>
            <w:noWrap/>
            <w:vAlign w:val="bottom"/>
          </w:tcPr>
          <w:p w:rsidRPr="009A1427" w:rsidR="00CC07D3" w:rsidP="00CC07D3" w:rsidRDefault="00CC07D3" w14:paraId="2ED72BC7"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tcPr>
          <w:p w:rsidRPr="009A1427" w:rsidR="00CC07D3" w:rsidP="00CC07D3" w:rsidRDefault="00CC07D3" w14:paraId="0FB73C86" w14:textId="777777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C07D3" w:rsidP="00CC07D3" w:rsidRDefault="00CC07D3" w14:paraId="0399A23F"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48300E" w:rsidR="00CC07D3" w:rsidP="00CC07D3" w:rsidRDefault="00CC07D3" w14:paraId="37F1FBE4" w14:textId="2C4582CE">
            <w:pPr>
              <w:widowControl/>
              <w:autoSpaceDE/>
              <w:autoSpaceDN/>
              <w:adjustRightInd/>
              <w:jc w:val="right"/>
              <w:rPr>
                <w:sz w:val="12"/>
                <w:szCs w:val="12"/>
              </w:rPr>
            </w:pPr>
            <w:r w:rsidRPr="0048300E">
              <w:rPr>
                <w:sz w:val="12"/>
                <w:szCs w:val="12"/>
              </w:rPr>
              <w:t>14,980,000</w:t>
            </w:r>
          </w:p>
        </w:tc>
        <w:tc>
          <w:tcPr>
            <w:tcW w:w="260" w:type="dxa"/>
            <w:tcBorders>
              <w:top w:val="nil"/>
              <w:left w:val="nil"/>
              <w:bottom w:val="nil"/>
              <w:right w:val="nil"/>
            </w:tcBorders>
            <w:shd w:val="clear" w:color="auto" w:fill="auto"/>
            <w:noWrap/>
            <w:vAlign w:val="bottom"/>
          </w:tcPr>
          <w:p w:rsidRPr="00A0434B" w:rsidR="00CC07D3" w:rsidP="00CC07D3" w:rsidRDefault="00CC07D3" w14:paraId="59592BB9"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Pr="00A0434B" w:rsidR="00CC07D3" w:rsidP="00CC07D3" w:rsidRDefault="00CC07D3" w14:paraId="4CEF4680" w14:textId="777777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A0434B" w:rsidR="00CC07D3" w:rsidP="00CC07D3" w:rsidRDefault="00CC07D3" w14:paraId="127084BA"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Pr="00A0434B" w:rsidR="00CC07D3" w:rsidP="00CC07D3" w:rsidRDefault="00CC07D3" w14:paraId="01A0A073"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0A381D31"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25C4AA3C"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A0434B" w:rsidR="00CC07D3" w:rsidP="00CC07D3" w:rsidRDefault="00CC07D3" w14:paraId="04C37F14"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Pr="00A0434B" w:rsidR="00CC07D3" w:rsidP="00CC07D3" w:rsidRDefault="00CC07D3" w14:paraId="5AEED1BB"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16F0E29E"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323283F1"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56FC8566"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Pr="00A0434B" w:rsidR="00CC07D3" w:rsidP="00CC07D3" w:rsidRDefault="00CC07D3" w14:paraId="30967385" w14:textId="77777777">
            <w:pPr>
              <w:widowControl/>
              <w:autoSpaceDE/>
              <w:autoSpaceDN/>
              <w:adjustRightInd/>
              <w:jc w:val="right"/>
              <w:rPr>
                <w:sz w:val="12"/>
                <w:szCs w:val="12"/>
              </w:rPr>
            </w:pPr>
            <w:r w:rsidRPr="00A0434B">
              <w:rPr>
                <w:sz w:val="12"/>
                <w:szCs w:val="12"/>
              </w:rPr>
              <w:t>49,610,000</w:t>
            </w:r>
          </w:p>
        </w:tc>
      </w:tr>
      <w:tr w:rsidRPr="009A1427" w:rsidR="00CC07D3" w:rsidTr="006916A3" w14:paraId="17559EAD" w14:textId="77777777">
        <w:trPr>
          <w:trHeight w:val="48"/>
        </w:trPr>
        <w:tc>
          <w:tcPr>
            <w:tcW w:w="1170" w:type="dxa"/>
            <w:tcBorders>
              <w:top w:val="nil"/>
              <w:left w:val="nil"/>
              <w:bottom w:val="nil"/>
              <w:right w:val="nil"/>
            </w:tcBorders>
            <w:shd w:val="clear" w:color="auto" w:fill="auto"/>
            <w:noWrap/>
            <w:vAlign w:val="bottom"/>
          </w:tcPr>
          <w:p w:rsidRPr="00A0434B" w:rsidR="00CC07D3" w:rsidP="00CC07D3" w:rsidRDefault="00CC07D3" w14:paraId="59008B38" w14:textId="77777777">
            <w:pPr>
              <w:widowControl/>
              <w:autoSpaceDE/>
              <w:autoSpaceDN/>
              <w:adjustRightInd/>
              <w:jc w:val="left"/>
              <w:rPr>
                <w:sz w:val="12"/>
                <w:szCs w:val="12"/>
              </w:rPr>
            </w:pPr>
            <w:r>
              <w:rPr>
                <w:sz w:val="12"/>
                <w:szCs w:val="12"/>
              </w:rPr>
              <w:t>2024 Series A-2</w:t>
            </w:r>
          </w:p>
        </w:tc>
        <w:tc>
          <w:tcPr>
            <w:tcW w:w="763" w:type="dxa"/>
            <w:tcBorders>
              <w:top w:val="nil"/>
              <w:left w:val="nil"/>
              <w:bottom w:val="nil"/>
              <w:right w:val="nil"/>
            </w:tcBorders>
            <w:shd w:val="clear" w:color="auto" w:fill="auto"/>
            <w:noWrap/>
            <w:vAlign w:val="bottom"/>
          </w:tcPr>
          <w:p w:rsidRPr="00A0434B" w:rsidR="00CC07D3" w:rsidP="00CC07D3" w:rsidRDefault="00CC07D3" w14:paraId="04E9D610" w14:textId="77777777">
            <w:pPr>
              <w:widowControl/>
              <w:autoSpaceDE/>
              <w:autoSpaceDN/>
              <w:adjustRightInd/>
              <w:jc w:val="right"/>
              <w:rPr>
                <w:sz w:val="12"/>
                <w:szCs w:val="12"/>
              </w:rPr>
            </w:pPr>
            <w:r>
              <w:rPr>
                <w:sz w:val="12"/>
                <w:szCs w:val="12"/>
              </w:rPr>
              <w:t>2/21/2024</w:t>
            </w:r>
          </w:p>
        </w:tc>
        <w:tc>
          <w:tcPr>
            <w:tcW w:w="966" w:type="dxa"/>
            <w:tcBorders>
              <w:top w:val="nil"/>
              <w:left w:val="nil"/>
              <w:bottom w:val="nil"/>
              <w:right w:val="nil"/>
            </w:tcBorders>
            <w:shd w:val="clear" w:color="auto" w:fill="auto"/>
            <w:noWrap/>
            <w:vAlign w:val="bottom"/>
          </w:tcPr>
          <w:p w:rsidRPr="00A0434B" w:rsidR="00CC07D3" w:rsidP="00CC07D3" w:rsidRDefault="00CC07D3" w14:paraId="19C5DAD0" w14:textId="77777777">
            <w:pPr>
              <w:widowControl/>
              <w:autoSpaceDE/>
              <w:autoSpaceDN/>
              <w:adjustRightInd/>
              <w:jc w:val="right"/>
              <w:rPr>
                <w:sz w:val="12"/>
                <w:szCs w:val="12"/>
              </w:rPr>
            </w:pPr>
            <w:r>
              <w:rPr>
                <w:sz w:val="12"/>
                <w:szCs w:val="12"/>
              </w:rPr>
              <w:t>$33,050,000</w:t>
            </w:r>
          </w:p>
        </w:tc>
        <w:tc>
          <w:tcPr>
            <w:tcW w:w="966" w:type="dxa"/>
            <w:tcBorders>
              <w:top w:val="nil"/>
              <w:left w:val="nil"/>
              <w:bottom w:val="nil"/>
              <w:right w:val="nil"/>
            </w:tcBorders>
            <w:shd w:val="clear" w:color="auto" w:fill="auto"/>
            <w:noWrap/>
          </w:tcPr>
          <w:p w:rsidRPr="00A0434B" w:rsidR="00CC07D3" w:rsidP="00CC07D3" w:rsidRDefault="00CC07D3" w14:paraId="56681D7A" w14:textId="0BD63C5C">
            <w:pPr>
              <w:widowControl/>
              <w:autoSpaceDE/>
              <w:autoSpaceDN/>
              <w:adjustRightInd/>
              <w:jc w:val="right"/>
              <w:rPr>
                <w:sz w:val="12"/>
                <w:szCs w:val="12"/>
              </w:rPr>
            </w:pPr>
            <w:r w:rsidRPr="00E76A6B">
              <w:rPr>
                <w:sz w:val="12"/>
                <w:szCs w:val="12"/>
              </w:rPr>
              <w:t>32,895,000</w:t>
            </w:r>
          </w:p>
        </w:tc>
        <w:tc>
          <w:tcPr>
            <w:tcW w:w="249" w:type="dxa"/>
            <w:tcBorders>
              <w:top w:val="nil"/>
              <w:left w:val="nil"/>
              <w:bottom w:val="nil"/>
              <w:right w:val="nil"/>
            </w:tcBorders>
            <w:shd w:val="clear" w:color="auto" w:fill="auto"/>
            <w:noWrap/>
            <w:vAlign w:val="bottom"/>
          </w:tcPr>
          <w:p w:rsidRPr="009A1427" w:rsidR="00CC07D3" w:rsidP="00CC07D3" w:rsidRDefault="00CC07D3" w14:paraId="733FA8D5"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tcPr>
          <w:p w:rsidR="00CC07D3" w:rsidP="00CC07D3" w:rsidRDefault="00CC07D3" w14:paraId="6C3CF993" w14:textId="777777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C07D3" w:rsidP="00CC07D3" w:rsidRDefault="00CC07D3" w14:paraId="7A3F6287"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48300E" w:rsidR="00CC07D3" w:rsidP="00CC07D3" w:rsidRDefault="00CC07D3" w14:paraId="6CB3C50F" w14:textId="0602E9C3">
            <w:pPr>
              <w:widowControl/>
              <w:autoSpaceDE/>
              <w:autoSpaceDN/>
              <w:adjustRightInd/>
              <w:jc w:val="right"/>
              <w:rPr>
                <w:sz w:val="12"/>
                <w:szCs w:val="12"/>
              </w:rPr>
            </w:pPr>
            <w:r w:rsidRPr="0048300E">
              <w:rPr>
                <w:sz w:val="12"/>
                <w:szCs w:val="12"/>
              </w:rPr>
              <w:t>21,825,000</w:t>
            </w:r>
          </w:p>
        </w:tc>
        <w:tc>
          <w:tcPr>
            <w:tcW w:w="260" w:type="dxa"/>
            <w:tcBorders>
              <w:top w:val="nil"/>
              <w:left w:val="nil"/>
              <w:bottom w:val="nil"/>
              <w:right w:val="nil"/>
            </w:tcBorders>
            <w:shd w:val="clear" w:color="auto" w:fill="auto"/>
            <w:noWrap/>
            <w:vAlign w:val="bottom"/>
          </w:tcPr>
          <w:p w:rsidRPr="00A0434B" w:rsidR="00CC07D3" w:rsidP="00CC07D3" w:rsidRDefault="00CC07D3" w14:paraId="479BBF91"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00CC07D3" w:rsidP="00CC07D3" w:rsidRDefault="00CC07D3" w14:paraId="3D1105E7" w14:textId="77777777">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A0434B" w:rsidR="00CC07D3" w:rsidP="00CC07D3" w:rsidRDefault="00CC07D3" w14:paraId="511C3BCB"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00CC07D3" w:rsidP="00CC07D3" w:rsidRDefault="00CC07D3" w14:paraId="432EC286"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C07D3" w:rsidP="00CC07D3" w:rsidRDefault="00CC07D3" w14:paraId="73E9581B"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C07D3" w:rsidP="00CC07D3" w:rsidRDefault="00CC07D3" w14:paraId="59E6044F"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00CC07D3" w:rsidP="00CC07D3" w:rsidRDefault="00CC07D3" w14:paraId="68403851" w14:textId="77777777">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00CC07D3" w:rsidP="00CC07D3" w:rsidRDefault="00CC07D3" w14:paraId="02BD71AB"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C07D3" w:rsidP="00CC07D3" w:rsidRDefault="00CC07D3" w14:paraId="38BE525C" w14:textId="77777777">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C07D3" w:rsidP="00CC07D3" w:rsidRDefault="00CC07D3" w14:paraId="786A77D3" w14:textId="24F36D4D">
            <w:pPr>
              <w:widowControl/>
              <w:autoSpaceDE/>
              <w:autoSpaceDN/>
              <w:adjustRightInd/>
              <w:jc w:val="right"/>
              <w:rPr>
                <w:sz w:val="12"/>
                <w:szCs w:val="12"/>
              </w:rPr>
            </w:pPr>
            <w:r>
              <w:rPr>
                <w:sz w:val="12"/>
                <w:szCs w:val="12"/>
              </w:rPr>
              <w:t>9,400,000</w:t>
            </w:r>
          </w:p>
        </w:tc>
        <w:tc>
          <w:tcPr>
            <w:tcW w:w="876" w:type="dxa"/>
            <w:tcBorders>
              <w:top w:val="nil"/>
              <w:left w:val="nil"/>
              <w:bottom w:val="nil"/>
              <w:right w:val="nil"/>
            </w:tcBorders>
            <w:shd w:val="clear" w:color="auto" w:fill="auto"/>
            <w:noWrap/>
            <w:vAlign w:val="bottom"/>
          </w:tcPr>
          <w:p w:rsidR="00CC07D3" w:rsidP="00CC07D3" w:rsidRDefault="00CC07D3" w14:paraId="2783D9C8" w14:textId="77777777">
            <w:pPr>
              <w:widowControl/>
              <w:autoSpaceDE/>
              <w:autoSpaceDN/>
              <w:adjustRightInd/>
              <w:jc w:val="right"/>
              <w:rPr>
                <w:sz w:val="12"/>
                <w:szCs w:val="12"/>
              </w:rPr>
            </w:pPr>
            <w:r>
              <w:rPr>
                <w:sz w:val="12"/>
                <w:szCs w:val="12"/>
              </w:rPr>
              <w:t>1,670,000</w:t>
            </w:r>
          </w:p>
        </w:tc>
        <w:tc>
          <w:tcPr>
            <w:tcW w:w="876" w:type="dxa"/>
            <w:tcBorders>
              <w:top w:val="nil"/>
              <w:left w:val="nil"/>
              <w:bottom w:val="nil"/>
              <w:right w:val="nil"/>
            </w:tcBorders>
            <w:shd w:val="clear" w:color="auto" w:fill="auto"/>
            <w:noWrap/>
            <w:vAlign w:val="bottom"/>
          </w:tcPr>
          <w:p w:rsidRPr="00A0434B" w:rsidR="00CC07D3" w:rsidP="00CC07D3" w:rsidRDefault="00CC07D3" w14:paraId="08469883" w14:textId="77777777">
            <w:pPr>
              <w:widowControl/>
              <w:autoSpaceDE/>
              <w:autoSpaceDN/>
              <w:adjustRightInd/>
              <w:jc w:val="right"/>
              <w:rPr>
                <w:sz w:val="12"/>
                <w:szCs w:val="12"/>
              </w:rPr>
            </w:pPr>
            <w:r>
              <w:rPr>
                <w:sz w:val="12"/>
                <w:szCs w:val="12"/>
              </w:rPr>
              <w:t>-</w:t>
            </w:r>
          </w:p>
        </w:tc>
      </w:tr>
      <w:tr w:rsidRPr="009A1427" w:rsidR="00CC07D3" w:rsidTr="00923C22" w14:paraId="1B1BB505" w14:textId="77777777">
        <w:trPr>
          <w:trHeight w:val="48"/>
        </w:trPr>
        <w:tc>
          <w:tcPr>
            <w:tcW w:w="1170" w:type="dxa"/>
            <w:tcBorders>
              <w:top w:val="nil"/>
              <w:left w:val="nil"/>
              <w:bottom w:val="nil"/>
              <w:right w:val="nil"/>
            </w:tcBorders>
            <w:shd w:val="clear" w:color="auto" w:fill="auto"/>
            <w:noWrap/>
            <w:vAlign w:val="bottom"/>
          </w:tcPr>
          <w:p w:rsidR="00CC07D3" w:rsidP="00CC07D3" w:rsidRDefault="00CC07D3" w14:paraId="2C5F0575" w14:textId="3F3E89DA">
            <w:pPr>
              <w:widowControl/>
              <w:autoSpaceDE/>
              <w:autoSpaceDN/>
              <w:adjustRightInd/>
              <w:jc w:val="left"/>
              <w:rPr>
                <w:sz w:val="12"/>
                <w:szCs w:val="12"/>
              </w:rPr>
            </w:pPr>
            <w:r>
              <w:rPr>
                <w:sz w:val="12"/>
                <w:szCs w:val="12"/>
              </w:rPr>
              <w:t>2024 Series B-3</w:t>
            </w:r>
          </w:p>
        </w:tc>
        <w:tc>
          <w:tcPr>
            <w:tcW w:w="763" w:type="dxa"/>
            <w:tcBorders>
              <w:top w:val="nil"/>
              <w:left w:val="nil"/>
              <w:bottom w:val="nil"/>
              <w:right w:val="nil"/>
            </w:tcBorders>
            <w:shd w:val="clear" w:color="auto" w:fill="auto"/>
            <w:noWrap/>
            <w:vAlign w:val="bottom"/>
          </w:tcPr>
          <w:p w:rsidR="00CC07D3" w:rsidP="00CC07D3" w:rsidRDefault="00CC07D3" w14:paraId="54612CD3" w14:textId="7EB0863B">
            <w:pPr>
              <w:widowControl/>
              <w:autoSpaceDE/>
              <w:autoSpaceDN/>
              <w:adjustRightInd/>
              <w:jc w:val="right"/>
              <w:rPr>
                <w:sz w:val="12"/>
                <w:szCs w:val="12"/>
              </w:rPr>
            </w:pPr>
            <w:r>
              <w:rPr>
                <w:sz w:val="12"/>
                <w:szCs w:val="12"/>
              </w:rPr>
              <w:t>5/22/2024</w:t>
            </w:r>
          </w:p>
        </w:tc>
        <w:tc>
          <w:tcPr>
            <w:tcW w:w="966" w:type="dxa"/>
            <w:tcBorders>
              <w:top w:val="nil"/>
              <w:left w:val="nil"/>
              <w:bottom w:val="nil"/>
              <w:right w:val="nil"/>
            </w:tcBorders>
            <w:shd w:val="clear" w:color="auto" w:fill="auto"/>
            <w:noWrap/>
            <w:vAlign w:val="bottom"/>
          </w:tcPr>
          <w:p w:rsidR="00CC07D3" w:rsidP="00CC07D3" w:rsidRDefault="00CC07D3" w14:paraId="2F0173E5" w14:textId="204AB7FD">
            <w:pPr>
              <w:widowControl/>
              <w:autoSpaceDE/>
              <w:autoSpaceDN/>
              <w:adjustRightInd/>
              <w:jc w:val="right"/>
              <w:rPr>
                <w:sz w:val="12"/>
                <w:szCs w:val="12"/>
              </w:rPr>
            </w:pPr>
            <w:r>
              <w:rPr>
                <w:sz w:val="12"/>
                <w:szCs w:val="12"/>
              </w:rPr>
              <w:t>$109,480,000</w:t>
            </w:r>
          </w:p>
        </w:tc>
        <w:tc>
          <w:tcPr>
            <w:tcW w:w="966" w:type="dxa"/>
            <w:tcBorders>
              <w:top w:val="nil"/>
              <w:left w:val="nil"/>
              <w:bottom w:val="nil"/>
              <w:right w:val="nil"/>
            </w:tcBorders>
            <w:shd w:val="clear" w:color="auto" w:fill="auto"/>
            <w:noWrap/>
            <w:vAlign w:val="bottom"/>
          </w:tcPr>
          <w:p w:rsidR="00CC07D3" w:rsidP="00CC07D3" w:rsidRDefault="00CC07D3" w14:paraId="65C7D87A" w14:textId="1A951E4B">
            <w:pPr>
              <w:widowControl/>
              <w:autoSpaceDE/>
              <w:autoSpaceDN/>
              <w:adjustRightInd/>
              <w:jc w:val="right"/>
              <w:rPr>
                <w:sz w:val="12"/>
                <w:szCs w:val="12"/>
              </w:rPr>
            </w:pPr>
            <w:r>
              <w:rPr>
                <w:sz w:val="12"/>
                <w:szCs w:val="12"/>
              </w:rPr>
              <w:t>109,480,000</w:t>
            </w:r>
          </w:p>
        </w:tc>
        <w:tc>
          <w:tcPr>
            <w:tcW w:w="249" w:type="dxa"/>
            <w:tcBorders>
              <w:top w:val="nil"/>
              <w:left w:val="nil"/>
              <w:bottom w:val="nil"/>
              <w:right w:val="nil"/>
            </w:tcBorders>
            <w:shd w:val="clear" w:color="auto" w:fill="auto"/>
            <w:noWrap/>
            <w:vAlign w:val="bottom"/>
          </w:tcPr>
          <w:p w:rsidRPr="009A1427" w:rsidR="00CC07D3" w:rsidP="00CC07D3" w:rsidRDefault="00CC07D3" w14:paraId="3EC8BAAE"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tcPr>
          <w:p w:rsidR="00CC07D3" w:rsidP="00CC07D3" w:rsidRDefault="00CC07D3" w14:paraId="35AE7071" w14:textId="2C26DFAE">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9A1427" w:rsidR="00CC07D3" w:rsidP="00CC07D3" w:rsidRDefault="00CC07D3" w14:paraId="001C609E"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tcPr>
          <w:p w:rsidRPr="0048300E" w:rsidR="00CC07D3" w:rsidP="00CC07D3" w:rsidRDefault="00CC07D3" w14:paraId="5BB33E66" w14:textId="38CE81CF">
            <w:pPr>
              <w:widowControl/>
              <w:autoSpaceDE/>
              <w:autoSpaceDN/>
              <w:adjustRightInd/>
              <w:jc w:val="right"/>
              <w:rPr>
                <w:sz w:val="12"/>
                <w:szCs w:val="12"/>
              </w:rPr>
            </w:pPr>
            <w:r w:rsidRPr="0048300E">
              <w:rPr>
                <w:sz w:val="12"/>
                <w:szCs w:val="12"/>
              </w:rPr>
              <w:t>30,925,000</w:t>
            </w:r>
          </w:p>
        </w:tc>
        <w:tc>
          <w:tcPr>
            <w:tcW w:w="260" w:type="dxa"/>
            <w:tcBorders>
              <w:top w:val="nil"/>
              <w:left w:val="nil"/>
              <w:bottom w:val="nil"/>
              <w:right w:val="nil"/>
            </w:tcBorders>
            <w:shd w:val="clear" w:color="auto" w:fill="auto"/>
            <w:noWrap/>
            <w:vAlign w:val="bottom"/>
          </w:tcPr>
          <w:p w:rsidRPr="00A0434B" w:rsidR="00CC07D3" w:rsidP="00CC07D3" w:rsidRDefault="00CC07D3" w14:paraId="066DC752"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tcPr>
          <w:p w:rsidR="00CC07D3" w:rsidP="00CC07D3" w:rsidRDefault="00CC07D3" w14:paraId="3C8444BE" w14:textId="0E250B79">
            <w:pPr>
              <w:widowControl/>
              <w:autoSpaceDE/>
              <w:autoSpaceDN/>
              <w:adjustRightInd/>
              <w:jc w:val="right"/>
              <w:rPr>
                <w:sz w:val="12"/>
                <w:szCs w:val="12"/>
              </w:rPr>
            </w:pPr>
            <w:r>
              <w:rPr>
                <w:sz w:val="12"/>
                <w:szCs w:val="12"/>
              </w:rPr>
              <w:t>-</w:t>
            </w:r>
          </w:p>
        </w:tc>
        <w:tc>
          <w:tcPr>
            <w:tcW w:w="260" w:type="dxa"/>
            <w:tcBorders>
              <w:top w:val="nil"/>
              <w:left w:val="nil"/>
              <w:bottom w:val="nil"/>
              <w:right w:val="nil"/>
            </w:tcBorders>
            <w:shd w:val="clear" w:color="auto" w:fill="auto"/>
            <w:noWrap/>
            <w:vAlign w:val="bottom"/>
          </w:tcPr>
          <w:p w:rsidRPr="00A0434B" w:rsidR="00CC07D3" w:rsidP="00CC07D3" w:rsidRDefault="00CC07D3" w14:paraId="394E1074"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tcPr>
          <w:p w:rsidR="00CC07D3" w:rsidP="00CC07D3" w:rsidRDefault="00CC07D3" w14:paraId="02DA0D68" w14:textId="26C8C70B">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C07D3" w:rsidP="00CC07D3" w:rsidRDefault="00CC07D3" w14:paraId="02410B67" w14:textId="1FD6421C">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C07D3" w:rsidP="00CC07D3" w:rsidRDefault="00CC07D3" w14:paraId="145F1FE0" w14:textId="575B25AF">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00CC07D3" w:rsidP="00CC07D3" w:rsidRDefault="00CC07D3" w14:paraId="20569A5B" w14:textId="7924194D">
            <w:pPr>
              <w:widowControl/>
              <w:autoSpaceDE/>
              <w:autoSpaceDN/>
              <w:adjustRightInd/>
              <w:jc w:val="right"/>
              <w:rPr>
                <w:sz w:val="12"/>
                <w:szCs w:val="12"/>
              </w:rPr>
            </w:pPr>
            <w:r>
              <w:rPr>
                <w:sz w:val="12"/>
                <w:szCs w:val="12"/>
              </w:rPr>
              <w:t>-</w:t>
            </w:r>
          </w:p>
        </w:tc>
        <w:tc>
          <w:tcPr>
            <w:tcW w:w="816" w:type="dxa"/>
            <w:tcBorders>
              <w:top w:val="nil"/>
              <w:left w:val="nil"/>
              <w:bottom w:val="nil"/>
              <w:right w:val="nil"/>
            </w:tcBorders>
            <w:shd w:val="clear" w:color="auto" w:fill="auto"/>
            <w:noWrap/>
            <w:vAlign w:val="bottom"/>
          </w:tcPr>
          <w:p w:rsidR="00CC07D3" w:rsidP="00CC07D3" w:rsidRDefault="00CC07D3" w14:paraId="356C59F0" w14:textId="17D2E333">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C07D3" w:rsidP="00CC07D3" w:rsidRDefault="00CC07D3" w14:paraId="18C31B64" w14:textId="6606C365">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C07D3" w:rsidP="00CC07D3" w:rsidRDefault="00CC07D3" w14:paraId="0FFE7E95" w14:textId="61114539">
            <w:pPr>
              <w:widowControl/>
              <w:autoSpaceDE/>
              <w:autoSpaceDN/>
              <w:adjustRightInd/>
              <w:jc w:val="right"/>
              <w:rPr>
                <w:sz w:val="12"/>
                <w:szCs w:val="12"/>
              </w:rPr>
            </w:pPr>
            <w:r>
              <w:rPr>
                <w:sz w:val="12"/>
                <w:szCs w:val="12"/>
              </w:rPr>
              <w:t>-</w:t>
            </w:r>
          </w:p>
        </w:tc>
        <w:tc>
          <w:tcPr>
            <w:tcW w:w="876" w:type="dxa"/>
            <w:tcBorders>
              <w:top w:val="nil"/>
              <w:left w:val="nil"/>
              <w:bottom w:val="nil"/>
              <w:right w:val="nil"/>
            </w:tcBorders>
            <w:shd w:val="clear" w:color="auto" w:fill="auto"/>
            <w:noWrap/>
            <w:vAlign w:val="bottom"/>
          </w:tcPr>
          <w:p w:rsidR="00CC07D3" w:rsidP="00CC07D3" w:rsidRDefault="00CC07D3" w14:paraId="314AD6E6" w14:textId="0CD6045B">
            <w:pPr>
              <w:widowControl/>
              <w:autoSpaceDE/>
              <w:autoSpaceDN/>
              <w:adjustRightInd/>
              <w:jc w:val="right"/>
              <w:rPr>
                <w:sz w:val="12"/>
                <w:szCs w:val="12"/>
              </w:rPr>
            </w:pPr>
            <w:r>
              <w:rPr>
                <w:sz w:val="12"/>
                <w:szCs w:val="12"/>
              </w:rPr>
              <w:t>13,975,000</w:t>
            </w:r>
          </w:p>
        </w:tc>
        <w:tc>
          <w:tcPr>
            <w:tcW w:w="876" w:type="dxa"/>
            <w:tcBorders>
              <w:top w:val="nil"/>
              <w:left w:val="nil"/>
              <w:bottom w:val="nil"/>
              <w:right w:val="nil"/>
            </w:tcBorders>
            <w:shd w:val="clear" w:color="auto" w:fill="auto"/>
            <w:noWrap/>
            <w:vAlign w:val="bottom"/>
          </w:tcPr>
          <w:p w:rsidR="00CC07D3" w:rsidP="00CC07D3" w:rsidRDefault="00CC07D3" w14:paraId="1F22F4F2" w14:textId="4753E459">
            <w:pPr>
              <w:widowControl/>
              <w:autoSpaceDE/>
              <w:autoSpaceDN/>
              <w:adjustRightInd/>
              <w:jc w:val="right"/>
              <w:rPr>
                <w:sz w:val="12"/>
                <w:szCs w:val="12"/>
              </w:rPr>
            </w:pPr>
            <w:r>
              <w:rPr>
                <w:sz w:val="12"/>
                <w:szCs w:val="12"/>
              </w:rPr>
              <w:t>64,580,000</w:t>
            </w:r>
          </w:p>
        </w:tc>
      </w:tr>
      <w:tr w:rsidRPr="009A1427" w:rsidR="00923C22" w:rsidTr="00923C22" w14:paraId="3B080874" w14:textId="77777777">
        <w:trPr>
          <w:trHeight w:val="48"/>
        </w:trPr>
        <w:tc>
          <w:tcPr>
            <w:tcW w:w="1170" w:type="dxa"/>
            <w:tcBorders>
              <w:top w:val="nil"/>
              <w:left w:val="nil"/>
              <w:bottom w:val="nil"/>
              <w:right w:val="nil"/>
            </w:tcBorders>
            <w:shd w:val="clear" w:color="auto" w:fill="auto"/>
            <w:noWrap/>
            <w:vAlign w:val="bottom"/>
            <w:hideMark/>
          </w:tcPr>
          <w:p w:rsidRPr="009A1427" w:rsidR="00923C22" w:rsidP="00923C22" w:rsidRDefault="00923C22" w14:paraId="4AB51875" w14:textId="77777777">
            <w:pPr>
              <w:widowControl/>
              <w:autoSpaceDE/>
              <w:autoSpaceDN/>
              <w:adjustRightInd/>
              <w:jc w:val="left"/>
              <w:rPr>
                <w:sz w:val="12"/>
                <w:szCs w:val="12"/>
              </w:rPr>
            </w:pPr>
          </w:p>
        </w:tc>
        <w:tc>
          <w:tcPr>
            <w:tcW w:w="763" w:type="dxa"/>
            <w:tcBorders>
              <w:top w:val="nil"/>
              <w:left w:val="nil"/>
              <w:bottom w:val="nil"/>
              <w:right w:val="nil"/>
            </w:tcBorders>
            <w:shd w:val="clear" w:color="auto" w:fill="auto"/>
            <w:noWrap/>
            <w:vAlign w:val="bottom"/>
            <w:hideMark/>
          </w:tcPr>
          <w:p w:rsidRPr="009A1427" w:rsidR="00923C22" w:rsidP="00923C22" w:rsidRDefault="00923C22" w14:paraId="20781088"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391EE495"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7134044A" w14:textId="77777777">
            <w:pPr>
              <w:widowControl/>
              <w:autoSpaceDE/>
              <w:autoSpaceDN/>
              <w:adjustRightInd/>
              <w:jc w:val="left"/>
              <w:rPr>
                <w:sz w:val="12"/>
                <w:szCs w:val="12"/>
              </w:rPr>
            </w:pPr>
          </w:p>
        </w:tc>
        <w:tc>
          <w:tcPr>
            <w:tcW w:w="249" w:type="dxa"/>
            <w:tcBorders>
              <w:top w:val="nil"/>
              <w:left w:val="nil"/>
              <w:bottom w:val="nil"/>
              <w:right w:val="nil"/>
            </w:tcBorders>
            <w:shd w:val="clear" w:color="auto" w:fill="auto"/>
            <w:noWrap/>
            <w:vAlign w:val="bottom"/>
            <w:hideMark/>
          </w:tcPr>
          <w:p w:rsidRPr="009A1427" w:rsidR="00923C22" w:rsidP="00923C22" w:rsidRDefault="00923C22" w14:paraId="739574C1"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47AD0347" w14:textId="77777777">
            <w:pPr>
              <w:widowControl/>
              <w:autoSpaceDE/>
              <w:autoSpaceDN/>
              <w:adjustRightInd/>
              <w:jc w:val="righ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53639BAD"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2F58105E" w14:textId="77777777">
            <w:pPr>
              <w:widowControl/>
              <w:autoSpaceDE/>
              <w:autoSpaceDN/>
              <w:adjustRightInd/>
              <w:jc w:val="righ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6078BBCA" w14:textId="77777777">
            <w:pPr>
              <w:widowControl/>
              <w:autoSpaceDE/>
              <w:autoSpaceDN/>
              <w:adjustRightInd/>
              <w:jc w:val="right"/>
              <w:rPr>
                <w:sz w:val="12"/>
                <w:szCs w:val="12"/>
              </w:rPr>
            </w:pPr>
          </w:p>
        </w:tc>
        <w:tc>
          <w:tcPr>
            <w:tcW w:w="964" w:type="dxa"/>
            <w:tcBorders>
              <w:top w:val="nil"/>
              <w:left w:val="nil"/>
              <w:bottom w:val="nil"/>
              <w:right w:val="nil"/>
            </w:tcBorders>
            <w:shd w:val="clear" w:color="auto" w:fill="auto"/>
            <w:noWrap/>
            <w:vAlign w:val="bottom"/>
            <w:hideMark/>
          </w:tcPr>
          <w:p w:rsidRPr="009A1427" w:rsidR="00923C22" w:rsidP="00923C22" w:rsidRDefault="00923C22" w14:paraId="12C925D4" w14:textId="77777777">
            <w:pPr>
              <w:widowControl/>
              <w:autoSpaceDE/>
              <w:autoSpaceDN/>
              <w:adjustRightInd/>
              <w:jc w:val="righ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49BCE9A4" w14:textId="77777777">
            <w:pPr>
              <w:widowControl/>
              <w:autoSpaceDE/>
              <w:autoSpaceDN/>
              <w:adjustRightInd/>
              <w:jc w:val="right"/>
              <w:rPr>
                <w:sz w:val="12"/>
                <w:szCs w:val="12"/>
              </w:rPr>
            </w:pPr>
          </w:p>
        </w:tc>
        <w:tc>
          <w:tcPr>
            <w:tcW w:w="866" w:type="dxa"/>
            <w:tcBorders>
              <w:top w:val="nil"/>
              <w:left w:val="nil"/>
              <w:bottom w:val="nil"/>
              <w:right w:val="nil"/>
            </w:tcBorders>
            <w:shd w:val="clear" w:color="auto" w:fill="auto"/>
            <w:noWrap/>
            <w:vAlign w:val="bottom"/>
            <w:hideMark/>
          </w:tcPr>
          <w:p w:rsidRPr="009A1427" w:rsidR="00923C22" w:rsidP="00923C22" w:rsidRDefault="00923C22" w14:paraId="6F5C182F"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3B18BA96"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3EBADB8B"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21852F2D" w14:textId="77777777">
            <w:pPr>
              <w:widowControl/>
              <w:autoSpaceDE/>
              <w:autoSpaceDN/>
              <w:adjustRightInd/>
              <w:jc w:val="righ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0D6F965C"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0CE80611"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3C3D67F5"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1AC9FB2C" w14:textId="77777777">
            <w:pPr>
              <w:widowControl/>
              <w:autoSpaceDE/>
              <w:autoSpaceDN/>
              <w:adjustRightInd/>
              <w:jc w:val="righ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51B5804E" w14:textId="77777777">
            <w:pPr>
              <w:widowControl/>
              <w:autoSpaceDE/>
              <w:autoSpaceDN/>
              <w:adjustRightInd/>
              <w:jc w:val="right"/>
              <w:rPr>
                <w:sz w:val="12"/>
                <w:szCs w:val="12"/>
              </w:rPr>
            </w:pPr>
          </w:p>
        </w:tc>
      </w:tr>
      <w:tr w:rsidRPr="009A1427" w:rsidR="00923C22" w:rsidTr="00923C22" w14:paraId="3FB4E89F" w14:textId="77777777">
        <w:trPr>
          <w:trHeight w:val="188"/>
        </w:trPr>
        <w:tc>
          <w:tcPr>
            <w:tcW w:w="1170" w:type="dxa"/>
            <w:tcBorders>
              <w:top w:val="nil"/>
              <w:left w:val="nil"/>
              <w:bottom w:val="nil"/>
              <w:right w:val="nil"/>
            </w:tcBorders>
            <w:shd w:val="clear" w:color="auto" w:fill="auto"/>
            <w:noWrap/>
            <w:vAlign w:val="bottom"/>
            <w:hideMark/>
          </w:tcPr>
          <w:p w:rsidRPr="009A1427" w:rsidR="00923C22" w:rsidP="00923C22" w:rsidRDefault="00923C22" w14:paraId="3E3914FF" w14:textId="77777777">
            <w:pPr>
              <w:widowControl/>
              <w:autoSpaceDE/>
              <w:autoSpaceDN/>
              <w:adjustRightInd/>
              <w:jc w:val="left"/>
              <w:rPr>
                <w:b/>
                <w:bCs/>
                <w:sz w:val="12"/>
                <w:szCs w:val="12"/>
              </w:rPr>
            </w:pPr>
            <w:r w:rsidRPr="009A1427">
              <w:rPr>
                <w:b/>
                <w:bCs/>
                <w:sz w:val="12"/>
                <w:szCs w:val="12"/>
              </w:rPr>
              <w:t>Sub-Total</w:t>
            </w:r>
          </w:p>
        </w:tc>
        <w:tc>
          <w:tcPr>
            <w:tcW w:w="763" w:type="dxa"/>
            <w:tcBorders>
              <w:top w:val="nil"/>
              <w:left w:val="nil"/>
              <w:bottom w:val="nil"/>
              <w:right w:val="nil"/>
            </w:tcBorders>
            <w:shd w:val="clear" w:color="auto" w:fill="auto"/>
            <w:noWrap/>
            <w:vAlign w:val="bottom"/>
            <w:hideMark/>
          </w:tcPr>
          <w:p w:rsidRPr="009A1427" w:rsidR="00923C22" w:rsidP="00923C22" w:rsidRDefault="00923C22" w14:paraId="2EE73FB9" w14:textId="77777777">
            <w:pPr>
              <w:widowControl/>
              <w:autoSpaceDE/>
              <w:autoSpaceDN/>
              <w:adjustRightInd/>
              <w:jc w:val="left"/>
              <w:rPr>
                <w:b/>
                <w:bCs/>
                <w:sz w:val="12"/>
                <w:szCs w:val="12"/>
              </w:rPr>
            </w:pPr>
          </w:p>
        </w:tc>
        <w:tc>
          <w:tcPr>
            <w:tcW w:w="966" w:type="dxa"/>
            <w:tcBorders>
              <w:top w:val="single" w:color="auto" w:sz="4" w:space="0"/>
              <w:left w:val="nil"/>
              <w:bottom w:val="double" w:color="auto" w:sz="6" w:space="0"/>
              <w:right w:val="nil"/>
            </w:tcBorders>
            <w:shd w:val="clear" w:color="auto" w:fill="auto"/>
            <w:noWrap/>
            <w:vAlign w:val="bottom"/>
            <w:hideMark/>
          </w:tcPr>
          <w:p w:rsidRPr="00B576EC" w:rsidR="00923C22" w:rsidP="0048300E" w:rsidRDefault="00923C22" w14:paraId="788461D0" w14:textId="5FF4BD17">
            <w:pPr>
              <w:widowControl/>
              <w:autoSpaceDE/>
              <w:autoSpaceDN/>
              <w:adjustRightInd/>
              <w:jc w:val="right"/>
              <w:rPr>
                <w:b/>
                <w:bCs/>
                <w:sz w:val="12"/>
                <w:szCs w:val="12"/>
              </w:rPr>
            </w:pPr>
            <w:r w:rsidRPr="00B576EC">
              <w:rPr>
                <w:b/>
                <w:bCs/>
                <w:sz w:val="12"/>
                <w:szCs w:val="12"/>
              </w:rPr>
              <w:t>$</w:t>
            </w:r>
            <w:r w:rsidR="0048300E">
              <w:rPr>
                <w:b/>
                <w:bCs/>
                <w:sz w:val="12"/>
                <w:szCs w:val="12"/>
              </w:rPr>
              <w:t>441,070,000</w:t>
            </w:r>
            <w:r w:rsidRPr="00B576EC">
              <w:rPr>
                <w:b/>
                <w:bCs/>
                <w:sz w:val="12"/>
                <w:szCs w:val="12"/>
              </w:rPr>
              <w:t xml:space="preserve"> </w:t>
            </w:r>
          </w:p>
        </w:tc>
        <w:tc>
          <w:tcPr>
            <w:tcW w:w="96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8300E" w14:paraId="09A95EF4" w14:textId="78D97B06">
            <w:pPr>
              <w:widowControl/>
              <w:autoSpaceDE/>
              <w:autoSpaceDN/>
              <w:adjustRightInd/>
              <w:jc w:val="right"/>
              <w:rPr>
                <w:b/>
                <w:bCs/>
                <w:sz w:val="12"/>
                <w:szCs w:val="12"/>
              </w:rPr>
            </w:pPr>
            <w:r>
              <w:rPr>
                <w:b/>
                <w:bCs/>
                <w:sz w:val="12"/>
                <w:szCs w:val="12"/>
              </w:rPr>
              <w:t>$438,175,000</w:t>
            </w:r>
          </w:p>
        </w:tc>
        <w:tc>
          <w:tcPr>
            <w:tcW w:w="249" w:type="dxa"/>
            <w:tcBorders>
              <w:top w:val="nil"/>
              <w:left w:val="nil"/>
              <w:bottom w:val="nil"/>
              <w:right w:val="nil"/>
            </w:tcBorders>
            <w:shd w:val="clear" w:color="auto" w:fill="auto"/>
            <w:noWrap/>
            <w:vAlign w:val="bottom"/>
            <w:hideMark/>
          </w:tcPr>
          <w:p w:rsidRPr="00B576EC" w:rsidR="00923C22" w:rsidP="00923C22" w:rsidRDefault="00923C22" w14:paraId="41AC69D1" w14:textId="77777777">
            <w:pPr>
              <w:widowControl/>
              <w:autoSpaceDE/>
              <w:autoSpaceDN/>
              <w:adjustRightInd/>
              <w:jc w:val="right"/>
              <w:rPr>
                <w:b/>
                <w:bCs/>
                <w:sz w:val="12"/>
                <w:szCs w:val="12"/>
              </w:rPr>
            </w:pPr>
          </w:p>
        </w:tc>
        <w:tc>
          <w:tcPr>
            <w:tcW w:w="81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923C22" w14:paraId="0E645317" w14:textId="77777777">
            <w:pPr>
              <w:widowControl/>
              <w:autoSpaceDE/>
              <w:autoSpaceDN/>
              <w:adjustRightInd/>
              <w:jc w:val="right"/>
              <w:rPr>
                <w:b/>
                <w:bCs/>
                <w:sz w:val="12"/>
                <w:szCs w:val="12"/>
              </w:rPr>
            </w:pPr>
            <w:r w:rsidRPr="00B576EC">
              <w:rPr>
                <w:b/>
                <w:bCs/>
                <w:sz w:val="12"/>
                <w:szCs w:val="12"/>
              </w:rPr>
              <w:t xml:space="preserve">$0 </w:t>
            </w:r>
          </w:p>
        </w:tc>
        <w:tc>
          <w:tcPr>
            <w:tcW w:w="260" w:type="dxa"/>
            <w:tcBorders>
              <w:top w:val="nil"/>
              <w:left w:val="nil"/>
              <w:bottom w:val="nil"/>
              <w:right w:val="nil"/>
            </w:tcBorders>
            <w:shd w:val="clear" w:color="auto" w:fill="auto"/>
            <w:noWrap/>
            <w:vAlign w:val="bottom"/>
            <w:hideMark/>
          </w:tcPr>
          <w:p w:rsidRPr="00B576EC" w:rsidR="00923C22" w:rsidP="00923C22" w:rsidRDefault="00923C22" w14:paraId="39D45CDE" w14:textId="77777777">
            <w:pPr>
              <w:widowControl/>
              <w:autoSpaceDE/>
              <w:autoSpaceDN/>
              <w:adjustRightInd/>
              <w:jc w:val="right"/>
              <w:rPr>
                <w:b/>
                <w:bCs/>
                <w:sz w:val="12"/>
                <w:szCs w:val="12"/>
              </w:rPr>
            </w:pP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48300E" w:rsidRDefault="00923C22" w14:paraId="22FB7D61" w14:textId="0ACE7FB4">
            <w:pPr>
              <w:widowControl/>
              <w:autoSpaceDE/>
              <w:autoSpaceDN/>
              <w:adjustRightInd/>
              <w:jc w:val="right"/>
              <w:rPr>
                <w:b/>
                <w:bCs/>
                <w:sz w:val="12"/>
                <w:szCs w:val="12"/>
              </w:rPr>
            </w:pPr>
            <w:r>
              <w:rPr>
                <w:b/>
                <w:bCs/>
                <w:sz w:val="12"/>
                <w:szCs w:val="12"/>
              </w:rPr>
              <w:t>$</w:t>
            </w:r>
            <w:r w:rsidR="0048300E">
              <w:rPr>
                <w:b/>
                <w:bCs/>
                <w:sz w:val="12"/>
                <w:szCs w:val="12"/>
              </w:rPr>
              <w:t>101,140,000</w:t>
            </w:r>
            <w:r w:rsidRPr="00B576EC">
              <w:rPr>
                <w:b/>
                <w:bCs/>
                <w:sz w:val="12"/>
                <w:szCs w:val="12"/>
              </w:rPr>
              <w:t xml:space="preserve"> </w:t>
            </w:r>
          </w:p>
        </w:tc>
        <w:tc>
          <w:tcPr>
            <w:tcW w:w="260" w:type="dxa"/>
            <w:tcBorders>
              <w:top w:val="nil"/>
              <w:left w:val="nil"/>
              <w:bottom w:val="nil"/>
              <w:right w:val="nil"/>
            </w:tcBorders>
            <w:shd w:val="clear" w:color="auto" w:fill="auto"/>
            <w:noWrap/>
            <w:vAlign w:val="bottom"/>
            <w:hideMark/>
          </w:tcPr>
          <w:p w:rsidRPr="00B576EC" w:rsidR="00923C22" w:rsidP="00923C22" w:rsidRDefault="00923C22" w14:paraId="2505A5B7" w14:textId="77777777">
            <w:pPr>
              <w:widowControl/>
              <w:autoSpaceDE/>
              <w:autoSpaceDN/>
              <w:adjustRightInd/>
              <w:jc w:val="right"/>
              <w:rPr>
                <w:b/>
                <w:bCs/>
                <w:sz w:val="12"/>
                <w:szCs w:val="12"/>
              </w:rPr>
            </w:pPr>
          </w:p>
        </w:tc>
        <w:tc>
          <w:tcPr>
            <w:tcW w:w="964"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923C22" w14:paraId="64B32F27" w14:textId="77777777">
            <w:pPr>
              <w:widowControl/>
              <w:autoSpaceDE/>
              <w:autoSpaceDN/>
              <w:adjustRightInd/>
              <w:jc w:val="right"/>
              <w:rPr>
                <w:b/>
                <w:bCs/>
                <w:sz w:val="12"/>
                <w:szCs w:val="12"/>
              </w:rPr>
            </w:pPr>
            <w:r w:rsidRPr="00B576EC">
              <w:rPr>
                <w:b/>
                <w:bCs/>
                <w:sz w:val="12"/>
                <w:szCs w:val="12"/>
              </w:rPr>
              <w:t xml:space="preserve">$0 </w:t>
            </w:r>
          </w:p>
        </w:tc>
        <w:tc>
          <w:tcPr>
            <w:tcW w:w="260" w:type="dxa"/>
            <w:tcBorders>
              <w:top w:val="nil"/>
              <w:left w:val="nil"/>
              <w:bottom w:val="nil"/>
              <w:right w:val="nil"/>
            </w:tcBorders>
            <w:shd w:val="clear" w:color="auto" w:fill="auto"/>
            <w:noWrap/>
            <w:vAlign w:val="bottom"/>
            <w:hideMark/>
          </w:tcPr>
          <w:p w:rsidRPr="00B576EC" w:rsidR="00923C22" w:rsidP="00923C22" w:rsidRDefault="00923C22" w14:paraId="4924C48F" w14:textId="77777777">
            <w:pPr>
              <w:widowControl/>
              <w:autoSpaceDE/>
              <w:autoSpaceDN/>
              <w:adjustRightInd/>
              <w:jc w:val="right"/>
              <w:rPr>
                <w:b/>
                <w:bCs/>
                <w:sz w:val="12"/>
                <w:szCs w:val="12"/>
              </w:rPr>
            </w:pPr>
          </w:p>
        </w:tc>
        <w:tc>
          <w:tcPr>
            <w:tcW w:w="86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923C22" w14:paraId="2295702D" w14:textId="77777777">
            <w:pPr>
              <w:widowControl/>
              <w:autoSpaceDE/>
              <w:autoSpaceDN/>
              <w:adjustRightInd/>
              <w:jc w:val="right"/>
              <w:rPr>
                <w:b/>
                <w:bCs/>
                <w:sz w:val="12"/>
                <w:szCs w:val="12"/>
              </w:rPr>
            </w:pPr>
            <w:r w:rsidRPr="00B576EC">
              <w:rPr>
                <w:b/>
                <w:bCs/>
                <w:sz w:val="12"/>
                <w:szCs w:val="12"/>
              </w:rPr>
              <w:t xml:space="preserve">$0 </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923C22" w14:paraId="59FD3A19" w14:textId="77777777">
            <w:pPr>
              <w:widowControl/>
              <w:autoSpaceDE/>
              <w:autoSpaceDN/>
              <w:adjustRightInd/>
              <w:jc w:val="right"/>
              <w:rPr>
                <w:b/>
                <w:bCs/>
                <w:sz w:val="12"/>
                <w:szCs w:val="12"/>
              </w:rPr>
            </w:pPr>
            <w:r w:rsidRPr="00B576EC">
              <w:rPr>
                <w:b/>
                <w:bCs/>
                <w:sz w:val="12"/>
                <w:szCs w:val="12"/>
              </w:rPr>
              <w:t xml:space="preserve">$0 </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923C22" w14:paraId="62AAC36C" w14:textId="77777777">
            <w:pPr>
              <w:widowControl/>
              <w:autoSpaceDE/>
              <w:autoSpaceDN/>
              <w:adjustRightInd/>
              <w:jc w:val="right"/>
              <w:rPr>
                <w:b/>
                <w:bCs/>
                <w:sz w:val="12"/>
                <w:szCs w:val="12"/>
              </w:rPr>
            </w:pPr>
            <w:r w:rsidRPr="00B576EC">
              <w:rPr>
                <w:b/>
                <w:bCs/>
                <w:sz w:val="12"/>
                <w:szCs w:val="12"/>
              </w:rPr>
              <w:t xml:space="preserve">$0 </w:t>
            </w:r>
          </w:p>
        </w:tc>
        <w:tc>
          <w:tcPr>
            <w:tcW w:w="81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923C22" w14:paraId="4C17E71E" w14:textId="77777777">
            <w:pPr>
              <w:widowControl/>
              <w:autoSpaceDE/>
              <w:autoSpaceDN/>
              <w:adjustRightInd/>
              <w:jc w:val="right"/>
              <w:rPr>
                <w:b/>
                <w:bCs/>
                <w:sz w:val="12"/>
                <w:szCs w:val="12"/>
              </w:rPr>
            </w:pPr>
            <w:r w:rsidRPr="00B576EC">
              <w:rPr>
                <w:b/>
                <w:bCs/>
                <w:sz w:val="12"/>
                <w:szCs w:val="12"/>
              </w:rPr>
              <w:t xml:space="preserve">$0 </w:t>
            </w:r>
          </w:p>
        </w:tc>
        <w:tc>
          <w:tcPr>
            <w:tcW w:w="81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8300E" w14:paraId="4C0A3E6B" w14:textId="40D243AB">
            <w:pPr>
              <w:widowControl/>
              <w:autoSpaceDE/>
              <w:autoSpaceDN/>
              <w:adjustRightInd/>
              <w:jc w:val="right"/>
              <w:rPr>
                <w:b/>
                <w:bCs/>
                <w:sz w:val="12"/>
                <w:szCs w:val="12"/>
              </w:rPr>
            </w:pPr>
            <w:r>
              <w:rPr>
                <w:b/>
                <w:bCs/>
                <w:sz w:val="12"/>
                <w:szCs w:val="12"/>
              </w:rPr>
              <w:t>$2,040</w:t>
            </w:r>
            <w:r w:rsidRPr="00B576EC" w:rsidR="00923C22">
              <w:rPr>
                <w:b/>
                <w:bCs/>
                <w:sz w:val="12"/>
                <w:szCs w:val="12"/>
              </w:rPr>
              <w:t xml:space="preserve">,000 </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48300E" w:rsidRDefault="00923C22" w14:paraId="40096484" w14:textId="34E9AC4A">
            <w:pPr>
              <w:widowControl/>
              <w:autoSpaceDE/>
              <w:autoSpaceDN/>
              <w:adjustRightInd/>
              <w:jc w:val="right"/>
              <w:rPr>
                <w:b/>
                <w:bCs/>
                <w:sz w:val="12"/>
                <w:szCs w:val="12"/>
              </w:rPr>
            </w:pPr>
            <w:r w:rsidRPr="00B576EC">
              <w:rPr>
                <w:b/>
                <w:bCs/>
                <w:sz w:val="12"/>
                <w:szCs w:val="12"/>
              </w:rPr>
              <w:t>$</w:t>
            </w:r>
            <w:r w:rsidR="0048300E">
              <w:rPr>
                <w:b/>
                <w:bCs/>
                <w:sz w:val="12"/>
                <w:szCs w:val="12"/>
              </w:rPr>
              <w:t>10,795,000</w:t>
            </w:r>
            <w:r w:rsidRPr="00B576EC">
              <w:rPr>
                <w:b/>
                <w:bCs/>
                <w:sz w:val="12"/>
                <w:szCs w:val="12"/>
              </w:rPr>
              <w:t xml:space="preserve"> </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8300E" w14:paraId="4361E708" w14:textId="028C2734">
            <w:pPr>
              <w:widowControl/>
              <w:autoSpaceDE/>
              <w:autoSpaceDN/>
              <w:adjustRightInd/>
              <w:jc w:val="right"/>
              <w:rPr>
                <w:b/>
                <w:bCs/>
                <w:sz w:val="12"/>
                <w:szCs w:val="12"/>
              </w:rPr>
            </w:pPr>
            <w:r>
              <w:rPr>
                <w:b/>
                <w:bCs/>
                <w:sz w:val="12"/>
                <w:szCs w:val="12"/>
              </w:rPr>
              <w:t>$30,160,000</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8300E" w14:paraId="1DE8F7E6" w14:textId="05DA925F">
            <w:pPr>
              <w:widowControl/>
              <w:autoSpaceDE/>
              <w:autoSpaceDN/>
              <w:adjustRightInd/>
              <w:jc w:val="right"/>
              <w:rPr>
                <w:b/>
                <w:bCs/>
                <w:sz w:val="12"/>
                <w:szCs w:val="12"/>
              </w:rPr>
            </w:pPr>
            <w:r>
              <w:rPr>
                <w:b/>
                <w:bCs/>
                <w:sz w:val="12"/>
                <w:szCs w:val="12"/>
              </w:rPr>
              <w:t>$124,975,000</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8300E" w14:paraId="0D7AEBCE" w14:textId="765A8D05">
            <w:pPr>
              <w:widowControl/>
              <w:autoSpaceDE/>
              <w:autoSpaceDN/>
              <w:adjustRightInd/>
              <w:jc w:val="right"/>
              <w:rPr>
                <w:b/>
                <w:bCs/>
                <w:sz w:val="12"/>
                <w:szCs w:val="12"/>
              </w:rPr>
            </w:pPr>
            <w:r>
              <w:rPr>
                <w:b/>
                <w:bCs/>
                <w:sz w:val="12"/>
                <w:szCs w:val="12"/>
              </w:rPr>
              <w:t>$169,065,000</w:t>
            </w:r>
          </w:p>
        </w:tc>
      </w:tr>
      <w:tr w:rsidRPr="009A1427" w:rsidR="00923C22" w:rsidTr="00923C22" w14:paraId="65F13E37" w14:textId="77777777">
        <w:trPr>
          <w:trHeight w:val="45"/>
        </w:trPr>
        <w:tc>
          <w:tcPr>
            <w:tcW w:w="1170" w:type="dxa"/>
            <w:tcBorders>
              <w:top w:val="nil"/>
              <w:left w:val="nil"/>
              <w:bottom w:val="nil"/>
              <w:right w:val="nil"/>
            </w:tcBorders>
            <w:shd w:val="clear" w:color="auto" w:fill="auto"/>
            <w:noWrap/>
            <w:vAlign w:val="bottom"/>
            <w:hideMark/>
          </w:tcPr>
          <w:p w:rsidRPr="009A1427" w:rsidR="00923C22" w:rsidP="00923C22" w:rsidRDefault="00923C22" w14:paraId="1A4CEABD" w14:textId="77777777">
            <w:pPr>
              <w:widowControl/>
              <w:autoSpaceDE/>
              <w:autoSpaceDN/>
              <w:adjustRightInd/>
              <w:jc w:val="right"/>
              <w:rPr>
                <w:b/>
                <w:bCs/>
                <w:sz w:val="12"/>
                <w:szCs w:val="12"/>
              </w:rPr>
            </w:pPr>
          </w:p>
        </w:tc>
        <w:tc>
          <w:tcPr>
            <w:tcW w:w="763" w:type="dxa"/>
            <w:tcBorders>
              <w:top w:val="nil"/>
              <w:left w:val="nil"/>
              <w:bottom w:val="nil"/>
              <w:right w:val="nil"/>
            </w:tcBorders>
            <w:shd w:val="clear" w:color="auto" w:fill="auto"/>
            <w:noWrap/>
            <w:vAlign w:val="bottom"/>
            <w:hideMark/>
          </w:tcPr>
          <w:p w:rsidRPr="009A1427" w:rsidR="00923C22" w:rsidP="00923C22" w:rsidRDefault="00923C22" w14:paraId="13D6195F"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17981AA5"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9A1427" w:rsidR="00923C22" w:rsidP="00923C22" w:rsidRDefault="00923C22" w14:paraId="4142EA35" w14:textId="77777777">
            <w:pPr>
              <w:widowControl/>
              <w:autoSpaceDE/>
              <w:autoSpaceDN/>
              <w:adjustRightInd/>
              <w:jc w:val="left"/>
              <w:rPr>
                <w:sz w:val="12"/>
                <w:szCs w:val="12"/>
              </w:rPr>
            </w:pPr>
          </w:p>
        </w:tc>
        <w:tc>
          <w:tcPr>
            <w:tcW w:w="249" w:type="dxa"/>
            <w:tcBorders>
              <w:top w:val="nil"/>
              <w:left w:val="nil"/>
              <w:bottom w:val="nil"/>
              <w:right w:val="nil"/>
            </w:tcBorders>
            <w:shd w:val="clear" w:color="auto" w:fill="auto"/>
            <w:noWrap/>
            <w:vAlign w:val="bottom"/>
            <w:hideMark/>
          </w:tcPr>
          <w:p w:rsidRPr="009A1427" w:rsidR="00923C22" w:rsidP="00923C22" w:rsidRDefault="00923C22" w14:paraId="3F1FCAEC"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41B88724" w14:textId="77777777">
            <w:pPr>
              <w:widowControl/>
              <w:autoSpaceDE/>
              <w:autoSpaceDN/>
              <w:adjustRightInd/>
              <w:jc w:val="lef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5F254DE3"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3529E731" w14:textId="77777777">
            <w:pPr>
              <w:widowControl/>
              <w:autoSpaceDE/>
              <w:autoSpaceDN/>
              <w:adjustRightInd/>
              <w:jc w:val="lef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23970198" w14:textId="77777777">
            <w:pPr>
              <w:widowControl/>
              <w:autoSpaceDE/>
              <w:autoSpaceDN/>
              <w:adjustRightInd/>
              <w:jc w:val="left"/>
              <w:rPr>
                <w:sz w:val="12"/>
                <w:szCs w:val="12"/>
              </w:rPr>
            </w:pPr>
          </w:p>
        </w:tc>
        <w:tc>
          <w:tcPr>
            <w:tcW w:w="964" w:type="dxa"/>
            <w:tcBorders>
              <w:top w:val="nil"/>
              <w:left w:val="nil"/>
              <w:bottom w:val="nil"/>
              <w:right w:val="nil"/>
            </w:tcBorders>
            <w:shd w:val="clear" w:color="auto" w:fill="auto"/>
            <w:noWrap/>
            <w:vAlign w:val="bottom"/>
            <w:hideMark/>
          </w:tcPr>
          <w:p w:rsidRPr="009A1427" w:rsidR="00923C22" w:rsidP="00923C22" w:rsidRDefault="00923C22" w14:paraId="7324DFEF" w14:textId="77777777">
            <w:pPr>
              <w:widowControl/>
              <w:autoSpaceDE/>
              <w:autoSpaceDN/>
              <w:adjustRightInd/>
              <w:jc w:val="left"/>
              <w:rPr>
                <w:sz w:val="12"/>
                <w:szCs w:val="12"/>
              </w:rPr>
            </w:pPr>
          </w:p>
        </w:tc>
        <w:tc>
          <w:tcPr>
            <w:tcW w:w="260" w:type="dxa"/>
            <w:tcBorders>
              <w:top w:val="nil"/>
              <w:left w:val="nil"/>
              <w:bottom w:val="nil"/>
              <w:right w:val="nil"/>
            </w:tcBorders>
            <w:shd w:val="clear" w:color="auto" w:fill="auto"/>
            <w:noWrap/>
            <w:vAlign w:val="bottom"/>
            <w:hideMark/>
          </w:tcPr>
          <w:p w:rsidRPr="009A1427" w:rsidR="00923C22" w:rsidP="00923C22" w:rsidRDefault="00923C22" w14:paraId="68AFCB1C" w14:textId="77777777">
            <w:pPr>
              <w:widowControl/>
              <w:autoSpaceDE/>
              <w:autoSpaceDN/>
              <w:adjustRightInd/>
              <w:jc w:val="left"/>
              <w:rPr>
                <w:sz w:val="12"/>
                <w:szCs w:val="12"/>
              </w:rPr>
            </w:pPr>
          </w:p>
        </w:tc>
        <w:tc>
          <w:tcPr>
            <w:tcW w:w="866" w:type="dxa"/>
            <w:tcBorders>
              <w:top w:val="nil"/>
              <w:left w:val="nil"/>
              <w:bottom w:val="nil"/>
              <w:right w:val="nil"/>
            </w:tcBorders>
            <w:shd w:val="clear" w:color="auto" w:fill="auto"/>
            <w:noWrap/>
            <w:vAlign w:val="bottom"/>
            <w:hideMark/>
          </w:tcPr>
          <w:p w:rsidRPr="009A1427" w:rsidR="00923C22" w:rsidP="00923C22" w:rsidRDefault="00923C22" w14:paraId="3B0FD19B"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68E8F861"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4C8D8F9B"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6DCB1C80"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9A1427" w:rsidR="00923C22" w:rsidP="00923C22" w:rsidRDefault="00923C22" w14:paraId="2411499F"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46421AA0"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71043900"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4A0B9CC7"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9A1427" w:rsidR="00923C22" w:rsidP="00923C22" w:rsidRDefault="00923C22" w14:paraId="3A8A47CC" w14:textId="77777777">
            <w:pPr>
              <w:widowControl/>
              <w:autoSpaceDE/>
              <w:autoSpaceDN/>
              <w:adjustRightInd/>
              <w:jc w:val="left"/>
              <w:rPr>
                <w:sz w:val="12"/>
                <w:szCs w:val="12"/>
              </w:rPr>
            </w:pPr>
          </w:p>
        </w:tc>
      </w:tr>
      <w:tr w:rsidRPr="0019678F" w:rsidR="00923C22" w:rsidTr="00923C22" w14:paraId="71E511C5" w14:textId="77777777">
        <w:trPr>
          <w:trHeight w:val="152"/>
        </w:trPr>
        <w:tc>
          <w:tcPr>
            <w:tcW w:w="1170" w:type="dxa"/>
            <w:tcBorders>
              <w:top w:val="nil"/>
              <w:left w:val="nil"/>
              <w:bottom w:val="nil"/>
              <w:right w:val="nil"/>
            </w:tcBorders>
            <w:shd w:val="clear" w:color="auto" w:fill="auto"/>
            <w:noWrap/>
            <w:vAlign w:val="bottom"/>
            <w:hideMark/>
          </w:tcPr>
          <w:p w:rsidRPr="009A1427" w:rsidR="00923C22" w:rsidP="00923C22" w:rsidRDefault="00923C22" w14:paraId="72ECAD67" w14:textId="77777777">
            <w:pPr>
              <w:widowControl/>
              <w:autoSpaceDE/>
              <w:autoSpaceDN/>
              <w:adjustRightInd/>
              <w:jc w:val="left"/>
              <w:rPr>
                <w:b/>
                <w:bCs/>
                <w:sz w:val="12"/>
                <w:szCs w:val="12"/>
              </w:rPr>
            </w:pPr>
            <w:r w:rsidRPr="009A1427">
              <w:rPr>
                <w:b/>
                <w:bCs/>
                <w:sz w:val="12"/>
                <w:szCs w:val="12"/>
              </w:rPr>
              <w:t>Total</w:t>
            </w:r>
          </w:p>
        </w:tc>
        <w:tc>
          <w:tcPr>
            <w:tcW w:w="763" w:type="dxa"/>
            <w:tcBorders>
              <w:top w:val="nil"/>
              <w:left w:val="nil"/>
              <w:bottom w:val="nil"/>
              <w:right w:val="nil"/>
            </w:tcBorders>
            <w:shd w:val="clear" w:color="auto" w:fill="auto"/>
            <w:noWrap/>
            <w:vAlign w:val="bottom"/>
            <w:hideMark/>
          </w:tcPr>
          <w:p w:rsidRPr="009A1427" w:rsidR="00923C22" w:rsidP="00923C22" w:rsidRDefault="00923C22" w14:paraId="7CC5380F" w14:textId="77777777">
            <w:pPr>
              <w:widowControl/>
              <w:autoSpaceDE/>
              <w:autoSpaceDN/>
              <w:adjustRightInd/>
              <w:jc w:val="left"/>
              <w:rPr>
                <w:b/>
                <w:bCs/>
                <w:sz w:val="12"/>
                <w:szCs w:val="12"/>
              </w:rPr>
            </w:pPr>
          </w:p>
        </w:tc>
        <w:tc>
          <w:tcPr>
            <w:tcW w:w="966" w:type="dxa"/>
            <w:tcBorders>
              <w:top w:val="single" w:color="auto" w:sz="4" w:space="0"/>
              <w:left w:val="nil"/>
              <w:bottom w:val="double" w:color="auto" w:sz="6" w:space="0"/>
              <w:right w:val="nil"/>
            </w:tcBorders>
            <w:shd w:val="clear" w:color="auto" w:fill="auto"/>
            <w:noWrap/>
            <w:vAlign w:val="bottom"/>
            <w:hideMark/>
          </w:tcPr>
          <w:p w:rsidRPr="00B576EC" w:rsidR="00923C22" w:rsidP="0048300E" w:rsidRDefault="00923C22" w14:paraId="35048A2A" w14:textId="042AE185">
            <w:pPr>
              <w:widowControl/>
              <w:autoSpaceDE/>
              <w:autoSpaceDN/>
              <w:adjustRightInd/>
              <w:jc w:val="right"/>
              <w:rPr>
                <w:b/>
                <w:bCs/>
                <w:sz w:val="12"/>
                <w:szCs w:val="12"/>
              </w:rPr>
            </w:pPr>
            <w:r w:rsidRPr="00B576EC">
              <w:rPr>
                <w:b/>
                <w:bCs/>
                <w:sz w:val="12"/>
                <w:szCs w:val="12"/>
              </w:rPr>
              <w:t>$</w:t>
            </w:r>
            <w:r w:rsidR="0048300E">
              <w:rPr>
                <w:b/>
                <w:bCs/>
                <w:sz w:val="12"/>
                <w:szCs w:val="12"/>
              </w:rPr>
              <w:t>1,991,815,000</w:t>
            </w:r>
            <w:r w:rsidRPr="00B576EC">
              <w:rPr>
                <w:b/>
                <w:bCs/>
                <w:sz w:val="12"/>
                <w:szCs w:val="12"/>
              </w:rPr>
              <w:t xml:space="preserve"> </w:t>
            </w:r>
          </w:p>
        </w:tc>
        <w:tc>
          <w:tcPr>
            <w:tcW w:w="96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923C22" w14:paraId="0A354AB2" w14:textId="5283A08C">
            <w:pPr>
              <w:widowControl/>
              <w:autoSpaceDE/>
              <w:autoSpaceDN/>
              <w:adjustRightInd/>
              <w:jc w:val="right"/>
              <w:rPr>
                <w:b/>
                <w:bCs/>
                <w:sz w:val="12"/>
                <w:szCs w:val="12"/>
              </w:rPr>
            </w:pPr>
            <w:r w:rsidRPr="00B576EC">
              <w:rPr>
                <w:b/>
                <w:bCs/>
                <w:sz w:val="12"/>
                <w:szCs w:val="12"/>
              </w:rPr>
              <w:t>$</w:t>
            </w:r>
            <w:r w:rsidR="0048300E">
              <w:rPr>
                <w:b/>
                <w:bCs/>
                <w:sz w:val="12"/>
                <w:szCs w:val="12"/>
              </w:rPr>
              <w:t>1,567,650,000</w:t>
            </w:r>
          </w:p>
        </w:tc>
        <w:tc>
          <w:tcPr>
            <w:tcW w:w="249" w:type="dxa"/>
            <w:tcBorders>
              <w:top w:val="nil"/>
              <w:left w:val="nil"/>
              <w:bottom w:val="nil"/>
              <w:right w:val="nil"/>
            </w:tcBorders>
            <w:shd w:val="clear" w:color="auto" w:fill="auto"/>
            <w:noWrap/>
            <w:vAlign w:val="bottom"/>
            <w:hideMark/>
          </w:tcPr>
          <w:p w:rsidRPr="00B576EC" w:rsidR="00923C22" w:rsidP="00923C22" w:rsidRDefault="00923C22" w14:paraId="397F558C" w14:textId="77777777">
            <w:pPr>
              <w:widowControl/>
              <w:autoSpaceDE/>
              <w:autoSpaceDN/>
              <w:adjustRightInd/>
              <w:jc w:val="right"/>
              <w:rPr>
                <w:b/>
                <w:bCs/>
                <w:sz w:val="12"/>
                <w:szCs w:val="12"/>
              </w:rPr>
            </w:pPr>
          </w:p>
        </w:tc>
        <w:tc>
          <w:tcPr>
            <w:tcW w:w="81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923C22" w14:paraId="6501AF41" w14:textId="77777777">
            <w:pPr>
              <w:widowControl/>
              <w:autoSpaceDE/>
              <w:autoSpaceDN/>
              <w:adjustRightInd/>
              <w:jc w:val="right"/>
              <w:rPr>
                <w:b/>
                <w:bCs/>
                <w:sz w:val="12"/>
                <w:szCs w:val="12"/>
              </w:rPr>
            </w:pPr>
            <w:r w:rsidRPr="00B576EC">
              <w:rPr>
                <w:b/>
                <w:bCs/>
                <w:sz w:val="12"/>
                <w:szCs w:val="12"/>
              </w:rPr>
              <w:t xml:space="preserve">$43,705,000 </w:t>
            </w:r>
          </w:p>
        </w:tc>
        <w:tc>
          <w:tcPr>
            <w:tcW w:w="260" w:type="dxa"/>
            <w:tcBorders>
              <w:top w:val="nil"/>
              <w:left w:val="nil"/>
              <w:bottom w:val="nil"/>
              <w:right w:val="nil"/>
            </w:tcBorders>
            <w:shd w:val="clear" w:color="auto" w:fill="auto"/>
            <w:noWrap/>
            <w:vAlign w:val="bottom"/>
            <w:hideMark/>
          </w:tcPr>
          <w:p w:rsidRPr="00B576EC" w:rsidR="00923C22" w:rsidP="00923C22" w:rsidRDefault="00923C22" w14:paraId="0CAD30D3" w14:textId="77777777">
            <w:pPr>
              <w:widowControl/>
              <w:autoSpaceDE/>
              <w:autoSpaceDN/>
              <w:adjustRightInd/>
              <w:jc w:val="right"/>
              <w:rPr>
                <w:b/>
                <w:bCs/>
                <w:sz w:val="12"/>
                <w:szCs w:val="12"/>
              </w:rPr>
            </w:pP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48300E" w:rsidRDefault="00923C22" w14:paraId="6B36CAD1" w14:textId="0A6C098A">
            <w:pPr>
              <w:widowControl/>
              <w:autoSpaceDE/>
              <w:autoSpaceDN/>
              <w:adjustRightInd/>
              <w:jc w:val="right"/>
              <w:rPr>
                <w:b/>
                <w:bCs/>
                <w:sz w:val="12"/>
                <w:szCs w:val="12"/>
              </w:rPr>
            </w:pPr>
            <w:r>
              <w:rPr>
                <w:b/>
                <w:bCs/>
                <w:sz w:val="12"/>
                <w:szCs w:val="12"/>
              </w:rPr>
              <w:t>$</w:t>
            </w:r>
            <w:r w:rsidR="0048300E">
              <w:rPr>
                <w:b/>
                <w:bCs/>
                <w:sz w:val="12"/>
                <w:szCs w:val="12"/>
              </w:rPr>
              <w:t>318,045,000</w:t>
            </w:r>
          </w:p>
        </w:tc>
        <w:tc>
          <w:tcPr>
            <w:tcW w:w="260" w:type="dxa"/>
            <w:tcBorders>
              <w:top w:val="nil"/>
              <w:left w:val="nil"/>
              <w:bottom w:val="nil"/>
              <w:right w:val="nil"/>
            </w:tcBorders>
            <w:shd w:val="clear" w:color="auto" w:fill="auto"/>
            <w:noWrap/>
            <w:vAlign w:val="bottom"/>
            <w:hideMark/>
          </w:tcPr>
          <w:p w:rsidRPr="00B576EC" w:rsidR="00923C22" w:rsidP="00923C22" w:rsidRDefault="00923C22" w14:paraId="300FAEA9" w14:textId="77777777">
            <w:pPr>
              <w:widowControl/>
              <w:autoSpaceDE/>
              <w:autoSpaceDN/>
              <w:adjustRightInd/>
              <w:jc w:val="right"/>
              <w:rPr>
                <w:b/>
                <w:bCs/>
                <w:sz w:val="12"/>
                <w:szCs w:val="12"/>
              </w:rPr>
            </w:pPr>
          </w:p>
        </w:tc>
        <w:tc>
          <w:tcPr>
            <w:tcW w:w="964"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8300E" w14:paraId="64AC5140" w14:textId="0E80DAAD">
            <w:pPr>
              <w:widowControl/>
              <w:autoSpaceDE/>
              <w:autoSpaceDN/>
              <w:adjustRightInd/>
              <w:jc w:val="right"/>
              <w:rPr>
                <w:b/>
                <w:bCs/>
                <w:sz w:val="12"/>
                <w:szCs w:val="12"/>
              </w:rPr>
            </w:pPr>
            <w:r>
              <w:rPr>
                <w:b/>
                <w:bCs/>
                <w:sz w:val="12"/>
                <w:szCs w:val="12"/>
              </w:rPr>
              <w:t>$66,060</w:t>
            </w:r>
            <w:r w:rsidRPr="00B576EC" w:rsidR="00923C22">
              <w:rPr>
                <w:b/>
                <w:bCs/>
                <w:sz w:val="12"/>
                <w:szCs w:val="12"/>
              </w:rPr>
              <w:t xml:space="preserve">,000 </w:t>
            </w:r>
          </w:p>
        </w:tc>
        <w:tc>
          <w:tcPr>
            <w:tcW w:w="260" w:type="dxa"/>
            <w:tcBorders>
              <w:top w:val="nil"/>
              <w:left w:val="nil"/>
              <w:bottom w:val="nil"/>
              <w:right w:val="nil"/>
            </w:tcBorders>
            <w:shd w:val="clear" w:color="auto" w:fill="auto"/>
            <w:noWrap/>
            <w:vAlign w:val="bottom"/>
            <w:hideMark/>
          </w:tcPr>
          <w:p w:rsidRPr="00B576EC" w:rsidR="00923C22" w:rsidP="00923C22" w:rsidRDefault="00923C22" w14:paraId="41B5E582" w14:textId="77777777">
            <w:pPr>
              <w:widowControl/>
              <w:autoSpaceDE/>
              <w:autoSpaceDN/>
              <w:adjustRightInd/>
              <w:jc w:val="right"/>
              <w:rPr>
                <w:b/>
                <w:bCs/>
                <w:sz w:val="12"/>
                <w:szCs w:val="12"/>
              </w:rPr>
            </w:pPr>
          </w:p>
        </w:tc>
        <w:tc>
          <w:tcPr>
            <w:tcW w:w="86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67C97" w14:paraId="7A327D39" w14:textId="743B0CD7">
            <w:pPr>
              <w:widowControl/>
              <w:autoSpaceDE/>
              <w:autoSpaceDN/>
              <w:adjustRightInd/>
              <w:jc w:val="right"/>
              <w:rPr>
                <w:b/>
                <w:bCs/>
                <w:sz w:val="12"/>
                <w:szCs w:val="12"/>
              </w:rPr>
            </w:pPr>
            <w:r>
              <w:rPr>
                <w:b/>
                <w:bCs/>
                <w:sz w:val="12"/>
                <w:szCs w:val="12"/>
              </w:rPr>
              <w:t>$79,655,000</w:t>
            </w:r>
            <w:r w:rsidRPr="00B576EC" w:rsidR="00923C22">
              <w:rPr>
                <w:b/>
                <w:bCs/>
                <w:sz w:val="12"/>
                <w:szCs w:val="12"/>
              </w:rPr>
              <w:t xml:space="preserve"> </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67C97" w14:paraId="7DFADB1B" w14:textId="59469B23">
            <w:pPr>
              <w:widowControl/>
              <w:autoSpaceDE/>
              <w:autoSpaceDN/>
              <w:adjustRightInd/>
              <w:jc w:val="right"/>
              <w:rPr>
                <w:b/>
                <w:bCs/>
                <w:sz w:val="12"/>
                <w:szCs w:val="12"/>
              </w:rPr>
            </w:pPr>
            <w:r>
              <w:rPr>
                <w:b/>
                <w:bCs/>
                <w:sz w:val="12"/>
                <w:szCs w:val="12"/>
              </w:rPr>
              <w:t>$101,100</w:t>
            </w:r>
            <w:r w:rsidRPr="00B576EC" w:rsidR="00923C22">
              <w:rPr>
                <w:b/>
                <w:bCs/>
                <w:sz w:val="12"/>
                <w:szCs w:val="12"/>
              </w:rPr>
              <w:t xml:space="preserve">,000 </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67C97" w14:paraId="1BB48E20" w14:textId="7BA8FFD7">
            <w:pPr>
              <w:widowControl/>
              <w:autoSpaceDE/>
              <w:autoSpaceDN/>
              <w:adjustRightInd/>
              <w:jc w:val="right"/>
              <w:rPr>
                <w:b/>
                <w:bCs/>
                <w:sz w:val="12"/>
                <w:szCs w:val="12"/>
              </w:rPr>
            </w:pPr>
            <w:r>
              <w:rPr>
                <w:b/>
                <w:bCs/>
                <w:sz w:val="12"/>
                <w:szCs w:val="12"/>
              </w:rPr>
              <w:t>$37,360</w:t>
            </w:r>
            <w:r w:rsidRPr="00B576EC" w:rsidR="00923C22">
              <w:rPr>
                <w:b/>
                <w:bCs/>
                <w:sz w:val="12"/>
                <w:szCs w:val="12"/>
              </w:rPr>
              <w:t xml:space="preserve">,000 </w:t>
            </w:r>
          </w:p>
        </w:tc>
        <w:tc>
          <w:tcPr>
            <w:tcW w:w="81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67C97" w14:paraId="78BD2A14" w14:textId="58F22B08">
            <w:pPr>
              <w:widowControl/>
              <w:autoSpaceDE/>
              <w:autoSpaceDN/>
              <w:adjustRightInd/>
              <w:jc w:val="right"/>
              <w:rPr>
                <w:b/>
                <w:bCs/>
                <w:sz w:val="12"/>
                <w:szCs w:val="12"/>
              </w:rPr>
            </w:pPr>
            <w:r>
              <w:rPr>
                <w:b/>
                <w:bCs/>
                <w:sz w:val="12"/>
                <w:szCs w:val="12"/>
              </w:rPr>
              <w:t>$2,545,</w:t>
            </w:r>
            <w:r w:rsidRPr="00B576EC" w:rsidR="00923C22">
              <w:rPr>
                <w:b/>
                <w:bCs/>
                <w:sz w:val="12"/>
                <w:szCs w:val="12"/>
              </w:rPr>
              <w:t xml:space="preserve">,000 </w:t>
            </w:r>
          </w:p>
        </w:tc>
        <w:tc>
          <w:tcPr>
            <w:tcW w:w="81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67C97" w14:paraId="0C0433E9" w14:textId="272E0C83">
            <w:pPr>
              <w:widowControl/>
              <w:autoSpaceDE/>
              <w:autoSpaceDN/>
              <w:adjustRightInd/>
              <w:jc w:val="right"/>
              <w:rPr>
                <w:b/>
                <w:bCs/>
                <w:sz w:val="12"/>
                <w:szCs w:val="12"/>
              </w:rPr>
            </w:pPr>
            <w:r>
              <w:rPr>
                <w:b/>
                <w:bCs/>
                <w:sz w:val="12"/>
                <w:szCs w:val="12"/>
              </w:rPr>
              <w:t>$22,250</w:t>
            </w:r>
            <w:r w:rsidR="00923C22">
              <w:rPr>
                <w:b/>
                <w:bCs/>
                <w:sz w:val="12"/>
                <w:szCs w:val="12"/>
              </w:rPr>
              <w:t>,000</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467C97" w:rsidRDefault="00923C22" w14:paraId="184821D4" w14:textId="59254DEF">
            <w:pPr>
              <w:widowControl/>
              <w:autoSpaceDE/>
              <w:autoSpaceDN/>
              <w:adjustRightInd/>
              <w:jc w:val="right"/>
              <w:rPr>
                <w:b/>
                <w:bCs/>
                <w:sz w:val="12"/>
                <w:szCs w:val="12"/>
              </w:rPr>
            </w:pPr>
            <w:r>
              <w:rPr>
                <w:b/>
                <w:bCs/>
                <w:sz w:val="12"/>
                <w:szCs w:val="12"/>
              </w:rPr>
              <w:t>$</w:t>
            </w:r>
            <w:r w:rsidR="00467C97">
              <w:rPr>
                <w:b/>
                <w:bCs/>
                <w:sz w:val="12"/>
                <w:szCs w:val="12"/>
              </w:rPr>
              <w:t>146,005,000</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67C97" w14:paraId="22466DA0" w14:textId="17E2BF5D">
            <w:pPr>
              <w:widowControl/>
              <w:autoSpaceDE/>
              <w:autoSpaceDN/>
              <w:adjustRightInd/>
              <w:jc w:val="right"/>
              <w:rPr>
                <w:b/>
                <w:bCs/>
                <w:sz w:val="12"/>
                <w:szCs w:val="12"/>
              </w:rPr>
            </w:pPr>
            <w:r>
              <w:rPr>
                <w:b/>
                <w:bCs/>
                <w:sz w:val="12"/>
                <w:szCs w:val="12"/>
              </w:rPr>
              <w:t>$399,455,000</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67C97" w14:paraId="02E86207" w14:textId="077A0954">
            <w:pPr>
              <w:widowControl/>
              <w:autoSpaceDE/>
              <w:autoSpaceDN/>
              <w:adjustRightInd/>
              <w:jc w:val="right"/>
              <w:rPr>
                <w:b/>
                <w:bCs/>
                <w:sz w:val="12"/>
                <w:szCs w:val="12"/>
              </w:rPr>
            </w:pPr>
            <w:r>
              <w:rPr>
                <w:b/>
                <w:bCs/>
                <w:sz w:val="12"/>
                <w:szCs w:val="12"/>
              </w:rPr>
              <w:t>$182,405,000</w:t>
            </w:r>
          </w:p>
        </w:tc>
        <w:tc>
          <w:tcPr>
            <w:tcW w:w="876" w:type="dxa"/>
            <w:tcBorders>
              <w:top w:val="single" w:color="auto" w:sz="4" w:space="0"/>
              <w:left w:val="nil"/>
              <w:bottom w:val="double" w:color="auto" w:sz="6" w:space="0"/>
              <w:right w:val="nil"/>
            </w:tcBorders>
            <w:shd w:val="clear" w:color="auto" w:fill="auto"/>
            <w:noWrap/>
            <w:vAlign w:val="bottom"/>
            <w:hideMark/>
          </w:tcPr>
          <w:p w:rsidRPr="00B576EC" w:rsidR="00923C22" w:rsidP="00923C22" w:rsidRDefault="00467C97" w14:paraId="28056449" w14:textId="27A64DD7">
            <w:pPr>
              <w:widowControl/>
              <w:autoSpaceDE/>
              <w:autoSpaceDN/>
              <w:adjustRightInd/>
              <w:jc w:val="right"/>
              <w:rPr>
                <w:b/>
                <w:bCs/>
                <w:sz w:val="12"/>
                <w:szCs w:val="12"/>
              </w:rPr>
            </w:pPr>
            <w:r>
              <w:rPr>
                <w:b/>
                <w:bCs/>
                <w:sz w:val="12"/>
                <w:szCs w:val="12"/>
              </w:rPr>
              <w:t>$169,065,000</w:t>
            </w:r>
          </w:p>
        </w:tc>
      </w:tr>
      <w:tr w:rsidRPr="0019678F" w:rsidR="00923C22" w:rsidTr="00923C22" w14:paraId="76E71787" w14:textId="77777777">
        <w:trPr>
          <w:trHeight w:val="270"/>
        </w:trPr>
        <w:tc>
          <w:tcPr>
            <w:tcW w:w="1170" w:type="dxa"/>
            <w:tcBorders>
              <w:top w:val="nil"/>
              <w:left w:val="nil"/>
              <w:bottom w:val="nil"/>
              <w:right w:val="nil"/>
            </w:tcBorders>
            <w:shd w:val="clear" w:color="auto" w:fill="auto"/>
            <w:noWrap/>
            <w:vAlign w:val="bottom"/>
            <w:hideMark/>
          </w:tcPr>
          <w:p w:rsidRPr="0019678F" w:rsidR="00923C22" w:rsidP="00923C22" w:rsidRDefault="00923C22" w14:paraId="7BE7ADD2" w14:textId="77777777">
            <w:pPr>
              <w:widowControl/>
              <w:autoSpaceDE/>
              <w:autoSpaceDN/>
              <w:adjustRightInd/>
              <w:jc w:val="right"/>
              <w:rPr>
                <w:b/>
                <w:bCs/>
                <w:sz w:val="12"/>
                <w:szCs w:val="12"/>
              </w:rPr>
            </w:pPr>
          </w:p>
        </w:tc>
        <w:tc>
          <w:tcPr>
            <w:tcW w:w="763" w:type="dxa"/>
            <w:tcBorders>
              <w:top w:val="nil"/>
              <w:left w:val="nil"/>
              <w:bottom w:val="nil"/>
              <w:right w:val="nil"/>
            </w:tcBorders>
            <w:shd w:val="clear" w:color="auto" w:fill="auto"/>
            <w:noWrap/>
            <w:vAlign w:val="bottom"/>
            <w:hideMark/>
          </w:tcPr>
          <w:p w:rsidRPr="0019678F" w:rsidR="00923C22" w:rsidP="00923C22" w:rsidRDefault="00923C22" w14:paraId="020449DA"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19678F" w:rsidR="00923C22" w:rsidP="00923C22" w:rsidRDefault="00923C22" w14:paraId="7991EDB5" w14:textId="77777777">
            <w:pPr>
              <w:widowControl/>
              <w:autoSpaceDE/>
              <w:autoSpaceDN/>
              <w:adjustRightInd/>
              <w:jc w:val="left"/>
              <w:rPr>
                <w:sz w:val="12"/>
                <w:szCs w:val="12"/>
              </w:rPr>
            </w:pPr>
          </w:p>
        </w:tc>
        <w:tc>
          <w:tcPr>
            <w:tcW w:w="966" w:type="dxa"/>
            <w:tcBorders>
              <w:top w:val="nil"/>
              <w:left w:val="nil"/>
              <w:bottom w:val="nil"/>
              <w:right w:val="nil"/>
            </w:tcBorders>
            <w:shd w:val="clear" w:color="auto" w:fill="auto"/>
            <w:noWrap/>
            <w:vAlign w:val="bottom"/>
            <w:hideMark/>
          </w:tcPr>
          <w:p w:rsidRPr="0019678F" w:rsidR="00923C22" w:rsidP="00923C22" w:rsidRDefault="00923C22" w14:paraId="6E593DD4" w14:textId="77777777">
            <w:pPr>
              <w:widowControl/>
              <w:autoSpaceDE/>
              <w:autoSpaceDN/>
              <w:adjustRightInd/>
              <w:jc w:val="left"/>
              <w:rPr>
                <w:sz w:val="12"/>
                <w:szCs w:val="12"/>
              </w:rPr>
            </w:pPr>
          </w:p>
        </w:tc>
        <w:tc>
          <w:tcPr>
            <w:tcW w:w="249" w:type="dxa"/>
            <w:tcBorders>
              <w:top w:val="nil"/>
              <w:left w:val="nil"/>
              <w:bottom w:val="nil"/>
              <w:right w:val="nil"/>
            </w:tcBorders>
            <w:shd w:val="clear" w:color="auto" w:fill="auto"/>
            <w:noWrap/>
            <w:vAlign w:val="bottom"/>
            <w:hideMark/>
          </w:tcPr>
          <w:p w:rsidRPr="0019678F" w:rsidR="00923C22" w:rsidP="00923C22" w:rsidRDefault="00923C22" w14:paraId="70A5CF58"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19678F" w:rsidR="00923C22" w:rsidP="00923C22" w:rsidRDefault="00923C22" w14:paraId="24106160" w14:textId="77777777">
            <w:pPr>
              <w:widowControl/>
              <w:autoSpaceDE/>
              <w:autoSpaceDN/>
              <w:adjustRightInd/>
              <w:jc w:val="left"/>
              <w:rPr>
                <w:sz w:val="12"/>
                <w:szCs w:val="12"/>
              </w:rPr>
            </w:pPr>
          </w:p>
        </w:tc>
        <w:tc>
          <w:tcPr>
            <w:tcW w:w="260" w:type="dxa"/>
            <w:tcBorders>
              <w:top w:val="nil"/>
              <w:left w:val="nil"/>
              <w:bottom w:val="nil"/>
              <w:right w:val="nil"/>
            </w:tcBorders>
            <w:shd w:val="clear" w:color="auto" w:fill="auto"/>
            <w:noWrap/>
            <w:vAlign w:val="bottom"/>
            <w:hideMark/>
          </w:tcPr>
          <w:p w:rsidRPr="0019678F" w:rsidR="00923C22" w:rsidP="00923C22" w:rsidRDefault="00923C22" w14:paraId="237463D6"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19678F" w:rsidR="00923C22" w:rsidP="00923C22" w:rsidRDefault="00923C22" w14:paraId="4326D8EA" w14:textId="77777777">
            <w:pPr>
              <w:widowControl/>
              <w:autoSpaceDE/>
              <w:autoSpaceDN/>
              <w:adjustRightInd/>
              <w:jc w:val="left"/>
              <w:rPr>
                <w:sz w:val="12"/>
                <w:szCs w:val="12"/>
              </w:rPr>
            </w:pPr>
          </w:p>
        </w:tc>
        <w:tc>
          <w:tcPr>
            <w:tcW w:w="260" w:type="dxa"/>
            <w:tcBorders>
              <w:top w:val="nil"/>
              <w:left w:val="nil"/>
              <w:bottom w:val="nil"/>
              <w:right w:val="nil"/>
            </w:tcBorders>
            <w:shd w:val="clear" w:color="auto" w:fill="auto"/>
            <w:noWrap/>
            <w:vAlign w:val="bottom"/>
            <w:hideMark/>
          </w:tcPr>
          <w:p w:rsidRPr="0019678F" w:rsidR="00923C22" w:rsidP="00923C22" w:rsidRDefault="00923C22" w14:paraId="445C707C" w14:textId="77777777">
            <w:pPr>
              <w:widowControl/>
              <w:autoSpaceDE/>
              <w:autoSpaceDN/>
              <w:adjustRightInd/>
              <w:jc w:val="left"/>
              <w:rPr>
                <w:sz w:val="12"/>
                <w:szCs w:val="12"/>
              </w:rPr>
            </w:pPr>
          </w:p>
        </w:tc>
        <w:tc>
          <w:tcPr>
            <w:tcW w:w="964" w:type="dxa"/>
            <w:tcBorders>
              <w:top w:val="nil"/>
              <w:left w:val="nil"/>
              <w:bottom w:val="nil"/>
              <w:right w:val="nil"/>
            </w:tcBorders>
            <w:shd w:val="clear" w:color="auto" w:fill="auto"/>
            <w:noWrap/>
            <w:vAlign w:val="bottom"/>
            <w:hideMark/>
          </w:tcPr>
          <w:p w:rsidRPr="0019678F" w:rsidR="00923C22" w:rsidP="00923C22" w:rsidRDefault="00923C22" w14:paraId="295418F8" w14:textId="77777777">
            <w:pPr>
              <w:widowControl/>
              <w:autoSpaceDE/>
              <w:autoSpaceDN/>
              <w:adjustRightInd/>
              <w:jc w:val="left"/>
              <w:rPr>
                <w:sz w:val="12"/>
                <w:szCs w:val="12"/>
              </w:rPr>
            </w:pPr>
          </w:p>
        </w:tc>
        <w:tc>
          <w:tcPr>
            <w:tcW w:w="260" w:type="dxa"/>
            <w:tcBorders>
              <w:top w:val="nil"/>
              <w:left w:val="nil"/>
              <w:bottom w:val="nil"/>
              <w:right w:val="nil"/>
            </w:tcBorders>
            <w:shd w:val="clear" w:color="auto" w:fill="auto"/>
            <w:noWrap/>
            <w:vAlign w:val="bottom"/>
            <w:hideMark/>
          </w:tcPr>
          <w:p w:rsidRPr="0019678F" w:rsidR="00923C22" w:rsidP="00923C22" w:rsidRDefault="00923C22" w14:paraId="1A4EA65B" w14:textId="77777777">
            <w:pPr>
              <w:widowControl/>
              <w:autoSpaceDE/>
              <w:autoSpaceDN/>
              <w:adjustRightInd/>
              <w:jc w:val="left"/>
              <w:rPr>
                <w:sz w:val="12"/>
                <w:szCs w:val="12"/>
              </w:rPr>
            </w:pPr>
          </w:p>
        </w:tc>
        <w:tc>
          <w:tcPr>
            <w:tcW w:w="866" w:type="dxa"/>
            <w:tcBorders>
              <w:top w:val="nil"/>
              <w:left w:val="nil"/>
              <w:bottom w:val="nil"/>
              <w:right w:val="nil"/>
            </w:tcBorders>
            <w:shd w:val="clear" w:color="auto" w:fill="auto"/>
            <w:noWrap/>
            <w:vAlign w:val="bottom"/>
            <w:hideMark/>
          </w:tcPr>
          <w:p w:rsidRPr="0019678F" w:rsidR="00923C22" w:rsidP="00923C22" w:rsidRDefault="00923C22" w14:paraId="5650B6BE"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19678F" w:rsidR="00923C22" w:rsidP="00923C22" w:rsidRDefault="00923C22" w14:paraId="717F6E03"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19678F" w:rsidR="00923C22" w:rsidP="00923C22" w:rsidRDefault="00923C22" w14:paraId="40AC64DF"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19678F" w:rsidR="00923C22" w:rsidP="00923C22" w:rsidRDefault="00923C22" w14:paraId="30A69B8D" w14:textId="77777777">
            <w:pPr>
              <w:widowControl/>
              <w:autoSpaceDE/>
              <w:autoSpaceDN/>
              <w:adjustRightInd/>
              <w:jc w:val="left"/>
              <w:rPr>
                <w:sz w:val="12"/>
                <w:szCs w:val="12"/>
              </w:rPr>
            </w:pPr>
          </w:p>
        </w:tc>
        <w:tc>
          <w:tcPr>
            <w:tcW w:w="816" w:type="dxa"/>
            <w:tcBorders>
              <w:top w:val="nil"/>
              <w:left w:val="nil"/>
              <w:bottom w:val="nil"/>
              <w:right w:val="nil"/>
            </w:tcBorders>
            <w:shd w:val="clear" w:color="auto" w:fill="auto"/>
            <w:noWrap/>
            <w:vAlign w:val="bottom"/>
            <w:hideMark/>
          </w:tcPr>
          <w:p w:rsidRPr="0019678F" w:rsidR="00923C22" w:rsidP="00923C22" w:rsidRDefault="00923C22" w14:paraId="02AA3037"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19678F" w:rsidR="00923C22" w:rsidP="00923C22" w:rsidRDefault="00923C22" w14:paraId="5608661A"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19678F" w:rsidR="00923C22" w:rsidP="00923C22" w:rsidRDefault="00923C22" w14:paraId="1B41CF2A"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19678F" w:rsidR="00923C22" w:rsidP="00923C22" w:rsidRDefault="00923C22" w14:paraId="46B52EF6" w14:textId="77777777">
            <w:pPr>
              <w:widowControl/>
              <w:autoSpaceDE/>
              <w:autoSpaceDN/>
              <w:adjustRightInd/>
              <w:jc w:val="left"/>
              <w:rPr>
                <w:sz w:val="12"/>
                <w:szCs w:val="12"/>
              </w:rPr>
            </w:pPr>
          </w:p>
        </w:tc>
        <w:tc>
          <w:tcPr>
            <w:tcW w:w="876" w:type="dxa"/>
            <w:tcBorders>
              <w:top w:val="nil"/>
              <w:left w:val="nil"/>
              <w:bottom w:val="nil"/>
              <w:right w:val="nil"/>
            </w:tcBorders>
            <w:shd w:val="clear" w:color="auto" w:fill="auto"/>
            <w:noWrap/>
            <w:vAlign w:val="bottom"/>
            <w:hideMark/>
          </w:tcPr>
          <w:p w:rsidRPr="0019678F" w:rsidR="00923C22" w:rsidP="00923C22" w:rsidRDefault="00923C22" w14:paraId="2FD76FC1" w14:textId="77777777">
            <w:pPr>
              <w:widowControl/>
              <w:autoSpaceDE/>
              <w:autoSpaceDN/>
              <w:adjustRightInd/>
              <w:jc w:val="left"/>
              <w:rPr>
                <w:sz w:val="12"/>
                <w:szCs w:val="12"/>
              </w:rPr>
            </w:pPr>
          </w:p>
        </w:tc>
      </w:tr>
    </w:tbl>
    <w:p w:rsidRPr="0019678F" w:rsidR="003248FF" w:rsidP="003248FF" w:rsidRDefault="003248FF" w14:paraId="3DCD29F9" w14:textId="77777777">
      <w:pPr>
        <w:rPr>
          <w:sz w:val="12"/>
          <w:szCs w:val="12"/>
        </w:rPr>
      </w:pPr>
    </w:p>
    <w:p w:rsidRPr="00873CE9" w:rsidR="003248FF" w:rsidP="003248FF" w:rsidRDefault="003248FF" w14:paraId="02CFFC7E" w14:textId="77777777">
      <w:pPr>
        <w:pStyle w:val="ListParagraph"/>
        <w:numPr>
          <w:ilvl w:val="0"/>
          <w:numId w:val="46"/>
        </w:numPr>
        <w:rPr>
          <w:sz w:val="12"/>
          <w:szCs w:val="12"/>
        </w:rPr>
      </w:pPr>
      <w:r>
        <w:rPr>
          <w:sz w:val="12"/>
          <w:szCs w:val="12"/>
        </w:rPr>
        <w:t>In some cases a “non-callable bond” may be subject to redemption if no other bonds in a tax plan are outstanding and such redemption is required for tax purposes.</w:t>
      </w:r>
    </w:p>
    <w:p w:rsidRPr="00B34407" w:rsidR="007246E2" w:rsidP="0031350D" w:rsidRDefault="007246E2" w14:paraId="4B7E61E3" w14:textId="77777777">
      <w:pPr>
        <w:widowControl/>
        <w:contextualSpacing/>
        <w:jc w:val="center"/>
        <w:outlineLvl w:val="2"/>
        <w:rPr>
          <w:b/>
        </w:rPr>
      </w:pPr>
    </w:p>
    <w:p w:rsidRPr="00B34407" w:rsidR="000B2AEC" w:rsidP="002842FA" w:rsidRDefault="000B2AEC" w14:paraId="632C1CE5" w14:textId="77777777">
      <w:pPr>
        <w:pStyle w:val="BodyTextFirstIndent"/>
        <w:ind w:firstLine="0"/>
        <w:outlineLvl w:val="2"/>
        <w:sectPr w:rsidRPr="00B34407" w:rsidR="000B2AEC" w:rsidSect="0019678F">
          <w:pgSz w:w="15840" w:h="12240" w:orient="landscape" w:code="1"/>
          <w:pgMar w:top="1440" w:right="1008" w:bottom="1440" w:left="450" w:header="864" w:footer="432" w:gutter="0"/>
          <w:cols w:space="720"/>
          <w:noEndnote/>
          <w:docGrid w:linePitch="360"/>
        </w:sectPr>
      </w:pPr>
    </w:p>
    <w:p w:rsidRPr="00353FAB" w:rsidR="00974BC4" w:rsidP="00974BC4" w:rsidRDefault="00ED18EC" w14:paraId="09359D0D" w14:textId="420006B9">
      <w:pPr>
        <w:pStyle w:val="aHEADINGSUB2"/>
        <w:rPr>
          <w:bCs/>
          <w:i w:val="0"/>
          <w:iCs w:val="0"/>
          <w:vanish/>
          <w:color w:val="FF0000"/>
          <w:sz w:val="19"/>
          <w:szCs w:val="19"/>
          <w:specVanish/>
        </w:rPr>
      </w:pPr>
      <w:bookmarkStart w:name="ElPgBr33" w:id="337"/>
      <w:bookmarkStart w:name="_Toc172841942" w:id="338"/>
      <w:bookmarkEnd w:id="337"/>
      <w:r w:rsidRPr="00353FAB">
        <w:lastRenderedPageBreak/>
        <w:t>Mortgage Loans</w:t>
      </w:r>
      <w:bookmarkEnd w:id="338"/>
    </w:p>
    <w:p w:rsidRPr="00353FAB" w:rsidR="002F636E" w:rsidP="00974BC4" w:rsidRDefault="004E4AA4" w14:paraId="2C0130AB" w14:textId="42234903">
      <w:pPr>
        <w:pStyle w:val="BodyText"/>
      </w:pPr>
      <w:r w:rsidRPr="00353FAB">
        <w:t xml:space="preserve">. </w:t>
      </w:r>
      <w:r w:rsidRPr="00353FAB" w:rsidR="00911C24">
        <w:t xml:space="preserve"> </w:t>
      </w:r>
      <w:bookmarkStart w:name="_DV_M423" w:id="339"/>
      <w:bookmarkEnd w:id="339"/>
      <w:r w:rsidRPr="00353FAB" w:rsidR="00F9663B">
        <w:t>Mortgage Loans currently held under the Indenture are primarily held as Mortgage Certificates (except down payment assistance</w:t>
      </w:r>
      <w:r w:rsidRPr="00353FAB" w:rsidR="001E330F">
        <w:t xml:space="preserve"> loans</w:t>
      </w:r>
      <w:r w:rsidRPr="00353FAB" w:rsidR="00F9663B">
        <w:t xml:space="preserve">).  As of </w:t>
      </w:r>
      <w:r w:rsidRPr="00353FAB" w:rsidR="00467C97">
        <w:t>June 30</w:t>
      </w:r>
      <w:r w:rsidRPr="00353FAB" w:rsidR="00EF3554">
        <w:t>, 202</w:t>
      </w:r>
      <w:r w:rsidRPr="00353FAB" w:rsidR="0087357E">
        <w:t>4</w:t>
      </w:r>
      <w:r w:rsidRPr="00353FAB" w:rsidR="00F9663B">
        <w:t>, Mortgage Certificates in an aggregate principal amount of $</w:t>
      </w:r>
      <w:r w:rsidRPr="00353FAB" w:rsidR="00467C97">
        <w:t>1,419,837,661</w:t>
      </w:r>
      <w:r w:rsidRPr="00353FAB" w:rsidR="00F9663B">
        <w:t xml:space="preserve"> were held under the Indenture.  The following table sets forth certain information with respect to the outstanding Mortgage </w:t>
      </w:r>
      <w:r w:rsidRPr="00353FAB" w:rsidR="007D72FC">
        <w:t>Certificates</w:t>
      </w:r>
      <w:r w:rsidRPr="00353FAB" w:rsidR="00F9663B">
        <w:t xml:space="preserve"> financed with proceeds of the Bonds of each series issued under the Indenture.</w:t>
      </w:r>
      <w:r w:rsidRPr="00353FAB" w:rsidR="00BB4044">
        <w:t xml:space="preserve">  </w:t>
      </w:r>
    </w:p>
    <w:p w:rsidRPr="00B34407" w:rsidR="00100FDA" w:rsidP="00100FDA" w:rsidRDefault="00100FDA" w14:paraId="44B4EAC9" w14:textId="77777777">
      <w:pPr>
        <w:pStyle w:val="BodyTextFirstIndent"/>
        <w:ind w:firstLine="0"/>
        <w:jc w:val="center"/>
      </w:pPr>
      <w:r w:rsidRPr="00353FAB">
        <w:rPr>
          <w:i/>
        </w:rPr>
        <w:t>[Remainder of Page Intentionally Left Blank]</w:t>
      </w:r>
    </w:p>
    <w:p w:rsidRPr="00B34407" w:rsidR="003D0FB1" w:rsidP="00DA1A4B" w:rsidRDefault="003D0FB1" w14:paraId="069ADF44" w14:textId="77777777">
      <w:pPr>
        <w:pStyle w:val="BodyTextFirstIndent"/>
        <w:keepNext/>
        <w:spacing w:after="0"/>
        <w:ind w:firstLine="0"/>
        <w:jc w:val="center"/>
        <w:rPr>
          <w:b/>
          <w:highlight w:val="yellow"/>
        </w:rPr>
        <w:sectPr w:rsidRPr="00B34407" w:rsidR="003D0FB1" w:rsidSect="00452454">
          <w:headerReference w:type="first" r:id="rId25"/>
          <w:pgSz w:w="12240" w:h="15840"/>
          <w:pgMar w:top="1008" w:right="1440" w:bottom="1440" w:left="1440" w:header="864" w:footer="432" w:gutter="0"/>
          <w:cols w:space="720"/>
          <w:noEndnote/>
          <w:docGrid w:linePitch="360"/>
        </w:sectPr>
      </w:pPr>
      <w:bookmarkStart w:name="_DV_M426" w:id="340"/>
      <w:bookmarkStart w:name="_DV_M427" w:id="341"/>
      <w:bookmarkStart w:name="_DV_M435" w:id="342"/>
      <w:bookmarkStart w:name="_DV_M452" w:id="343"/>
      <w:bookmarkStart w:name="_Toc212948801" w:id="344"/>
      <w:bookmarkStart w:name="_Toc3865663" w:id="345"/>
      <w:bookmarkStart w:name="_Toc85337907" w:id="346"/>
      <w:bookmarkEnd w:id="340"/>
      <w:bookmarkEnd w:id="341"/>
      <w:bookmarkEnd w:id="342"/>
      <w:bookmarkEnd w:id="343"/>
    </w:p>
    <w:p w:rsidRPr="00B34407" w:rsidR="004437DC" w:rsidP="003D0FB1" w:rsidRDefault="004437DC" w14:paraId="0CA32890" w14:textId="5A5C3656">
      <w:pPr>
        <w:rPr>
          <w:b/>
          <w:sz w:val="16"/>
          <w:szCs w:val="16"/>
        </w:rPr>
      </w:pPr>
      <w:bookmarkStart w:name="_DV_M424" w:id="347"/>
      <w:bookmarkStart w:name="ElPgBr34" w:id="348"/>
      <w:bookmarkEnd w:id="347"/>
      <w:bookmarkEnd w:id="348"/>
    </w:p>
    <w:tbl>
      <w:tblPr>
        <w:tblStyle w:val="TableGrid"/>
        <w:tblW w:w="1413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55"/>
        <w:gridCol w:w="256"/>
        <w:gridCol w:w="1099"/>
        <w:gridCol w:w="1170"/>
        <w:gridCol w:w="1080"/>
        <w:gridCol w:w="1350"/>
        <w:gridCol w:w="1260"/>
        <w:gridCol w:w="1350"/>
        <w:gridCol w:w="1170"/>
        <w:gridCol w:w="1260"/>
        <w:gridCol w:w="1080"/>
        <w:gridCol w:w="900"/>
        <w:gridCol w:w="900"/>
      </w:tblGrid>
      <w:tr w:rsidRPr="007132E1" w:rsidR="006B5F77" w:rsidTr="006B5F77" w14:paraId="7B1873A1" w14:textId="77777777">
        <w:trPr>
          <w:trHeight w:val="375"/>
        </w:trPr>
        <w:tc>
          <w:tcPr>
            <w:tcW w:w="13230" w:type="dxa"/>
            <w:gridSpan w:val="12"/>
            <w:noWrap/>
            <w:hideMark/>
          </w:tcPr>
          <w:p w:rsidRPr="007132E1" w:rsidR="006B5F77" w:rsidP="006B5F77" w:rsidRDefault="006B5F77" w14:paraId="365960D8" w14:textId="1A06DFA3">
            <w:pPr>
              <w:jc w:val="center"/>
              <w:rPr>
                <w:b/>
                <w:bCs/>
                <w:sz w:val="16"/>
                <w:szCs w:val="16"/>
              </w:rPr>
            </w:pPr>
            <w:bookmarkStart w:name="RANGE!A1:L23" w:id="349"/>
            <w:r>
              <w:rPr>
                <w:b/>
                <w:bCs/>
                <w:sz w:val="16"/>
                <w:szCs w:val="16"/>
              </w:rPr>
              <w:t>Information as of June 30, 2024</w:t>
            </w:r>
            <w:r w:rsidRPr="007132E1">
              <w:rPr>
                <w:b/>
                <w:bCs/>
                <w:sz w:val="16"/>
                <w:szCs w:val="16"/>
              </w:rPr>
              <w:t xml:space="preserve"> Concerning Outstanding Indiana Housing and Community Development Authority</w:t>
            </w:r>
            <w:bookmarkEnd w:id="349"/>
          </w:p>
          <w:p w:rsidRPr="007132E1" w:rsidR="006B5F77" w:rsidP="006B5F77" w:rsidRDefault="006B5F77" w14:paraId="1DE50308" w14:textId="77777777">
            <w:pPr>
              <w:jc w:val="center"/>
              <w:rPr>
                <w:b/>
                <w:bCs/>
                <w:sz w:val="16"/>
                <w:szCs w:val="16"/>
              </w:rPr>
            </w:pPr>
            <w:r w:rsidRPr="007132E1">
              <w:rPr>
                <w:b/>
                <w:bCs/>
                <w:sz w:val="16"/>
                <w:szCs w:val="16"/>
              </w:rPr>
              <w:t>Mortgage-Backed Securities under the 2016 Amended and Restated Indenture of Trust as of June 1, 2016</w:t>
            </w:r>
          </w:p>
          <w:p w:rsidRPr="007132E1" w:rsidR="006B5F77" w:rsidP="006B5F77" w:rsidRDefault="006B5F77" w14:paraId="75B20519" w14:textId="77777777">
            <w:pPr>
              <w:jc w:val="center"/>
              <w:rPr>
                <w:b/>
                <w:bCs/>
                <w:sz w:val="16"/>
                <w:szCs w:val="16"/>
              </w:rPr>
            </w:pPr>
          </w:p>
        </w:tc>
        <w:tc>
          <w:tcPr>
            <w:tcW w:w="900" w:type="dxa"/>
          </w:tcPr>
          <w:p w:rsidRPr="007132E1" w:rsidR="006B5F77" w:rsidP="006B5F77" w:rsidRDefault="006B5F77" w14:paraId="497A7CF4" w14:textId="77777777">
            <w:pPr>
              <w:jc w:val="center"/>
              <w:rPr>
                <w:b/>
                <w:bCs/>
                <w:sz w:val="16"/>
                <w:szCs w:val="16"/>
              </w:rPr>
            </w:pPr>
          </w:p>
        </w:tc>
      </w:tr>
      <w:tr w:rsidRPr="007132E1" w:rsidR="006B5F77" w:rsidTr="00E6200E" w14:paraId="27D44CB6" w14:textId="77777777">
        <w:trPr>
          <w:trHeight w:val="315"/>
        </w:trPr>
        <w:tc>
          <w:tcPr>
            <w:tcW w:w="1255" w:type="dxa"/>
            <w:noWrap/>
            <w:hideMark/>
          </w:tcPr>
          <w:p w:rsidRPr="007132E1" w:rsidR="006B5F77" w:rsidP="006B5F77" w:rsidRDefault="006B5F77" w14:paraId="7418E344" w14:textId="77777777">
            <w:pPr>
              <w:jc w:val="center"/>
              <w:rPr>
                <w:b/>
                <w:bCs/>
                <w:sz w:val="16"/>
                <w:szCs w:val="16"/>
              </w:rPr>
            </w:pPr>
          </w:p>
        </w:tc>
        <w:tc>
          <w:tcPr>
            <w:tcW w:w="256" w:type="dxa"/>
            <w:noWrap/>
            <w:hideMark/>
          </w:tcPr>
          <w:p w:rsidRPr="007132E1" w:rsidR="006B5F77" w:rsidP="006B5F77" w:rsidRDefault="006B5F77" w14:paraId="79D3AA9A" w14:textId="77777777">
            <w:pPr>
              <w:jc w:val="center"/>
              <w:rPr>
                <w:sz w:val="16"/>
                <w:szCs w:val="16"/>
              </w:rPr>
            </w:pPr>
          </w:p>
        </w:tc>
        <w:tc>
          <w:tcPr>
            <w:tcW w:w="1099" w:type="dxa"/>
            <w:noWrap/>
            <w:hideMark/>
          </w:tcPr>
          <w:p w:rsidRPr="007132E1" w:rsidR="006B5F77" w:rsidP="006B5F77" w:rsidRDefault="006B5F77" w14:paraId="4844BC5F" w14:textId="77777777">
            <w:pPr>
              <w:jc w:val="center"/>
              <w:rPr>
                <w:sz w:val="16"/>
                <w:szCs w:val="16"/>
              </w:rPr>
            </w:pPr>
          </w:p>
        </w:tc>
        <w:tc>
          <w:tcPr>
            <w:tcW w:w="1170" w:type="dxa"/>
            <w:noWrap/>
            <w:hideMark/>
          </w:tcPr>
          <w:p w:rsidRPr="007132E1" w:rsidR="006B5F77" w:rsidP="006B5F77" w:rsidRDefault="006B5F77" w14:paraId="0FFB6E0B" w14:textId="77777777">
            <w:pPr>
              <w:jc w:val="center"/>
              <w:rPr>
                <w:sz w:val="16"/>
                <w:szCs w:val="16"/>
              </w:rPr>
            </w:pPr>
          </w:p>
        </w:tc>
        <w:tc>
          <w:tcPr>
            <w:tcW w:w="1080" w:type="dxa"/>
            <w:noWrap/>
            <w:hideMark/>
          </w:tcPr>
          <w:p w:rsidRPr="007132E1" w:rsidR="006B5F77" w:rsidP="006B5F77" w:rsidRDefault="006B5F77" w14:paraId="3BB95431" w14:textId="77777777">
            <w:pPr>
              <w:jc w:val="center"/>
              <w:rPr>
                <w:sz w:val="16"/>
                <w:szCs w:val="16"/>
              </w:rPr>
            </w:pPr>
          </w:p>
        </w:tc>
        <w:tc>
          <w:tcPr>
            <w:tcW w:w="1350" w:type="dxa"/>
            <w:noWrap/>
            <w:hideMark/>
          </w:tcPr>
          <w:p w:rsidRPr="007132E1" w:rsidR="006B5F77" w:rsidP="006B5F77" w:rsidRDefault="006B5F77" w14:paraId="4FDFBE7B" w14:textId="77777777">
            <w:pPr>
              <w:jc w:val="center"/>
              <w:rPr>
                <w:sz w:val="16"/>
                <w:szCs w:val="16"/>
              </w:rPr>
            </w:pPr>
          </w:p>
        </w:tc>
        <w:tc>
          <w:tcPr>
            <w:tcW w:w="1260" w:type="dxa"/>
            <w:noWrap/>
            <w:hideMark/>
          </w:tcPr>
          <w:p w:rsidRPr="007132E1" w:rsidR="006B5F77" w:rsidP="006B5F77" w:rsidRDefault="006B5F77" w14:paraId="559B56FD" w14:textId="77777777">
            <w:pPr>
              <w:jc w:val="left"/>
              <w:rPr>
                <w:sz w:val="16"/>
                <w:szCs w:val="16"/>
              </w:rPr>
            </w:pPr>
          </w:p>
        </w:tc>
        <w:tc>
          <w:tcPr>
            <w:tcW w:w="1350" w:type="dxa"/>
            <w:noWrap/>
            <w:hideMark/>
          </w:tcPr>
          <w:p w:rsidRPr="007132E1" w:rsidR="006B5F77" w:rsidP="006B5F77" w:rsidRDefault="006B5F77" w14:paraId="43650DBD" w14:textId="77777777">
            <w:pPr>
              <w:jc w:val="left"/>
              <w:rPr>
                <w:sz w:val="16"/>
                <w:szCs w:val="16"/>
              </w:rPr>
            </w:pPr>
          </w:p>
        </w:tc>
        <w:tc>
          <w:tcPr>
            <w:tcW w:w="1170" w:type="dxa"/>
            <w:noWrap/>
            <w:hideMark/>
          </w:tcPr>
          <w:p w:rsidRPr="007132E1" w:rsidR="006B5F77" w:rsidP="006B5F77" w:rsidRDefault="006B5F77" w14:paraId="16CCDFBC" w14:textId="77777777">
            <w:pPr>
              <w:jc w:val="left"/>
              <w:rPr>
                <w:sz w:val="16"/>
                <w:szCs w:val="16"/>
              </w:rPr>
            </w:pPr>
          </w:p>
        </w:tc>
        <w:tc>
          <w:tcPr>
            <w:tcW w:w="1260" w:type="dxa"/>
            <w:noWrap/>
            <w:hideMark/>
          </w:tcPr>
          <w:p w:rsidRPr="007132E1" w:rsidR="006B5F77" w:rsidP="006B5F77" w:rsidRDefault="006B5F77" w14:paraId="4CAFDB21" w14:textId="77777777">
            <w:pPr>
              <w:jc w:val="left"/>
              <w:rPr>
                <w:sz w:val="16"/>
                <w:szCs w:val="16"/>
              </w:rPr>
            </w:pPr>
          </w:p>
        </w:tc>
        <w:tc>
          <w:tcPr>
            <w:tcW w:w="1080" w:type="dxa"/>
            <w:noWrap/>
            <w:hideMark/>
          </w:tcPr>
          <w:p w:rsidRPr="007132E1" w:rsidR="006B5F77" w:rsidP="006B5F77" w:rsidRDefault="006B5F77" w14:paraId="117664CC" w14:textId="77777777">
            <w:pPr>
              <w:jc w:val="left"/>
              <w:rPr>
                <w:sz w:val="16"/>
                <w:szCs w:val="16"/>
              </w:rPr>
            </w:pPr>
          </w:p>
        </w:tc>
        <w:tc>
          <w:tcPr>
            <w:tcW w:w="900" w:type="dxa"/>
            <w:noWrap/>
            <w:hideMark/>
          </w:tcPr>
          <w:p w:rsidRPr="007132E1" w:rsidR="006B5F77" w:rsidP="006B5F77" w:rsidRDefault="006B5F77" w14:paraId="0605977E" w14:textId="77777777">
            <w:pPr>
              <w:jc w:val="left"/>
              <w:rPr>
                <w:sz w:val="16"/>
                <w:szCs w:val="16"/>
              </w:rPr>
            </w:pPr>
          </w:p>
        </w:tc>
        <w:tc>
          <w:tcPr>
            <w:tcW w:w="900" w:type="dxa"/>
          </w:tcPr>
          <w:p w:rsidRPr="007132E1" w:rsidR="006B5F77" w:rsidP="006B5F77" w:rsidRDefault="006B5F77" w14:paraId="1F9164CA" w14:textId="77777777">
            <w:pPr>
              <w:jc w:val="left"/>
              <w:rPr>
                <w:sz w:val="16"/>
                <w:szCs w:val="16"/>
              </w:rPr>
            </w:pPr>
          </w:p>
        </w:tc>
      </w:tr>
      <w:tr w:rsidRPr="007132E1" w:rsidR="006B5F77" w:rsidTr="00E6200E" w14:paraId="3ACCDDA8" w14:textId="77777777">
        <w:trPr>
          <w:trHeight w:val="315"/>
        </w:trPr>
        <w:tc>
          <w:tcPr>
            <w:tcW w:w="1255" w:type="dxa"/>
            <w:noWrap/>
            <w:hideMark/>
          </w:tcPr>
          <w:p w:rsidRPr="007132E1" w:rsidR="006B5F77" w:rsidP="006B5F77" w:rsidRDefault="006B5F77" w14:paraId="168FA5DB" w14:textId="77777777">
            <w:pPr>
              <w:jc w:val="left"/>
              <w:rPr>
                <w:sz w:val="16"/>
                <w:szCs w:val="16"/>
              </w:rPr>
            </w:pPr>
          </w:p>
        </w:tc>
        <w:tc>
          <w:tcPr>
            <w:tcW w:w="256" w:type="dxa"/>
            <w:noWrap/>
            <w:hideMark/>
          </w:tcPr>
          <w:p w:rsidRPr="007132E1" w:rsidR="006B5F77" w:rsidP="006B5F77" w:rsidRDefault="006B5F77" w14:paraId="1FDA7DD4" w14:textId="77777777">
            <w:pPr>
              <w:jc w:val="left"/>
              <w:rPr>
                <w:sz w:val="16"/>
                <w:szCs w:val="16"/>
              </w:rPr>
            </w:pPr>
          </w:p>
        </w:tc>
        <w:tc>
          <w:tcPr>
            <w:tcW w:w="1099" w:type="dxa"/>
            <w:noWrap/>
            <w:hideMark/>
          </w:tcPr>
          <w:p w:rsidRPr="007132E1" w:rsidR="006B5F77" w:rsidP="006B5F77" w:rsidRDefault="006B5F77" w14:paraId="1C19FB7E" w14:textId="77777777">
            <w:pPr>
              <w:jc w:val="left"/>
              <w:rPr>
                <w:sz w:val="16"/>
                <w:szCs w:val="16"/>
              </w:rPr>
            </w:pPr>
          </w:p>
        </w:tc>
        <w:tc>
          <w:tcPr>
            <w:tcW w:w="1170" w:type="dxa"/>
            <w:noWrap/>
            <w:hideMark/>
          </w:tcPr>
          <w:p w:rsidRPr="007132E1" w:rsidR="006B5F77" w:rsidP="006B5F77" w:rsidRDefault="006B5F77" w14:paraId="2BD1E392" w14:textId="77777777">
            <w:pPr>
              <w:jc w:val="left"/>
              <w:rPr>
                <w:sz w:val="16"/>
                <w:szCs w:val="16"/>
              </w:rPr>
            </w:pPr>
          </w:p>
        </w:tc>
        <w:tc>
          <w:tcPr>
            <w:tcW w:w="1080" w:type="dxa"/>
            <w:noWrap/>
            <w:hideMark/>
          </w:tcPr>
          <w:p w:rsidRPr="007132E1" w:rsidR="006B5F77" w:rsidP="006B5F77" w:rsidRDefault="006B5F77" w14:paraId="2E1426DD" w14:textId="77777777">
            <w:pPr>
              <w:jc w:val="left"/>
              <w:rPr>
                <w:sz w:val="16"/>
                <w:szCs w:val="16"/>
              </w:rPr>
            </w:pPr>
          </w:p>
        </w:tc>
        <w:tc>
          <w:tcPr>
            <w:tcW w:w="1350" w:type="dxa"/>
            <w:noWrap/>
            <w:hideMark/>
          </w:tcPr>
          <w:p w:rsidRPr="007132E1" w:rsidR="006B5F77" w:rsidP="006B5F77" w:rsidRDefault="006B5F77" w14:paraId="5623C96C" w14:textId="77777777">
            <w:pPr>
              <w:jc w:val="left"/>
              <w:rPr>
                <w:sz w:val="16"/>
                <w:szCs w:val="16"/>
              </w:rPr>
            </w:pPr>
          </w:p>
        </w:tc>
        <w:tc>
          <w:tcPr>
            <w:tcW w:w="1260" w:type="dxa"/>
            <w:noWrap/>
            <w:hideMark/>
          </w:tcPr>
          <w:p w:rsidRPr="007132E1" w:rsidR="006B5F77" w:rsidP="006B5F77" w:rsidRDefault="006B5F77" w14:paraId="35F3059C" w14:textId="77777777">
            <w:pPr>
              <w:jc w:val="left"/>
              <w:rPr>
                <w:sz w:val="16"/>
                <w:szCs w:val="16"/>
              </w:rPr>
            </w:pPr>
          </w:p>
        </w:tc>
        <w:tc>
          <w:tcPr>
            <w:tcW w:w="1350" w:type="dxa"/>
            <w:noWrap/>
            <w:hideMark/>
          </w:tcPr>
          <w:p w:rsidRPr="007132E1" w:rsidR="006B5F77" w:rsidP="006B5F77" w:rsidRDefault="006B5F77" w14:paraId="472AEF30" w14:textId="77777777">
            <w:pPr>
              <w:jc w:val="left"/>
              <w:rPr>
                <w:sz w:val="16"/>
                <w:szCs w:val="16"/>
              </w:rPr>
            </w:pPr>
          </w:p>
        </w:tc>
        <w:tc>
          <w:tcPr>
            <w:tcW w:w="1170" w:type="dxa"/>
            <w:noWrap/>
            <w:hideMark/>
          </w:tcPr>
          <w:p w:rsidRPr="007132E1" w:rsidR="006B5F77" w:rsidP="006B5F77" w:rsidRDefault="006B5F77" w14:paraId="5526E325" w14:textId="77777777">
            <w:pPr>
              <w:jc w:val="left"/>
              <w:rPr>
                <w:sz w:val="16"/>
                <w:szCs w:val="16"/>
              </w:rPr>
            </w:pPr>
          </w:p>
        </w:tc>
        <w:tc>
          <w:tcPr>
            <w:tcW w:w="1260" w:type="dxa"/>
            <w:noWrap/>
            <w:hideMark/>
          </w:tcPr>
          <w:p w:rsidRPr="007132E1" w:rsidR="006B5F77" w:rsidP="006B5F77" w:rsidRDefault="006B5F77" w14:paraId="4FE4F30F" w14:textId="77777777">
            <w:pPr>
              <w:jc w:val="left"/>
              <w:rPr>
                <w:sz w:val="16"/>
                <w:szCs w:val="16"/>
              </w:rPr>
            </w:pPr>
          </w:p>
        </w:tc>
        <w:tc>
          <w:tcPr>
            <w:tcW w:w="1080" w:type="dxa"/>
            <w:noWrap/>
            <w:hideMark/>
          </w:tcPr>
          <w:p w:rsidRPr="007132E1" w:rsidR="006B5F77" w:rsidP="006B5F77" w:rsidRDefault="006B5F77" w14:paraId="1D4D6084" w14:textId="77777777">
            <w:pPr>
              <w:jc w:val="left"/>
              <w:rPr>
                <w:sz w:val="16"/>
                <w:szCs w:val="16"/>
              </w:rPr>
            </w:pPr>
          </w:p>
        </w:tc>
        <w:tc>
          <w:tcPr>
            <w:tcW w:w="900" w:type="dxa"/>
            <w:noWrap/>
            <w:hideMark/>
          </w:tcPr>
          <w:p w:rsidRPr="007132E1" w:rsidR="006B5F77" w:rsidP="006B5F77" w:rsidRDefault="006B5F77" w14:paraId="3C7C682B" w14:textId="77777777">
            <w:pPr>
              <w:jc w:val="left"/>
              <w:rPr>
                <w:sz w:val="16"/>
                <w:szCs w:val="16"/>
              </w:rPr>
            </w:pPr>
          </w:p>
        </w:tc>
        <w:tc>
          <w:tcPr>
            <w:tcW w:w="900" w:type="dxa"/>
          </w:tcPr>
          <w:p w:rsidRPr="007132E1" w:rsidR="006B5F77" w:rsidP="006B5F77" w:rsidRDefault="006B5F77" w14:paraId="0BB506A7" w14:textId="77777777">
            <w:pPr>
              <w:jc w:val="left"/>
              <w:rPr>
                <w:sz w:val="16"/>
                <w:szCs w:val="16"/>
              </w:rPr>
            </w:pPr>
          </w:p>
        </w:tc>
      </w:tr>
      <w:tr w:rsidRPr="007132E1" w:rsidR="006B5F77" w:rsidTr="00E6200E" w14:paraId="1D3028EA" w14:textId="77777777">
        <w:trPr>
          <w:trHeight w:val="20"/>
        </w:trPr>
        <w:tc>
          <w:tcPr>
            <w:tcW w:w="1255" w:type="dxa"/>
          </w:tcPr>
          <w:p w:rsidRPr="007132E1" w:rsidR="006B5F77" w:rsidP="006B5F77" w:rsidRDefault="006B5F77" w14:paraId="60603738" w14:textId="77777777">
            <w:pPr>
              <w:jc w:val="left"/>
              <w:rPr>
                <w:sz w:val="16"/>
                <w:szCs w:val="16"/>
              </w:rPr>
            </w:pPr>
          </w:p>
        </w:tc>
        <w:tc>
          <w:tcPr>
            <w:tcW w:w="256" w:type="dxa"/>
            <w:noWrap/>
            <w:hideMark/>
          </w:tcPr>
          <w:p w:rsidRPr="007132E1" w:rsidR="006B5F77" w:rsidP="006B5F77" w:rsidRDefault="006B5F77" w14:paraId="66333A3B" w14:textId="77777777">
            <w:pPr>
              <w:jc w:val="left"/>
              <w:rPr>
                <w:sz w:val="16"/>
                <w:szCs w:val="16"/>
              </w:rPr>
            </w:pPr>
          </w:p>
        </w:tc>
        <w:tc>
          <w:tcPr>
            <w:tcW w:w="1099" w:type="dxa"/>
            <w:tcBorders>
              <w:top w:val="nil"/>
              <w:left w:val="nil"/>
              <w:bottom w:val="nil"/>
              <w:right w:val="nil"/>
            </w:tcBorders>
            <w:shd w:val="clear" w:color="auto" w:fill="auto"/>
            <w:vAlign w:val="bottom"/>
            <w:hideMark/>
          </w:tcPr>
          <w:p w:rsidRPr="007132E1" w:rsidR="006B5F77" w:rsidP="006B5F77" w:rsidRDefault="006B5F77" w14:paraId="564DCFEF" w14:textId="67B08FB3">
            <w:pPr>
              <w:jc w:val="center"/>
              <w:rPr>
                <w:b/>
                <w:bCs/>
                <w:sz w:val="16"/>
                <w:szCs w:val="16"/>
              </w:rPr>
            </w:pPr>
            <w:r w:rsidRPr="007132E1">
              <w:rPr>
                <w:b/>
                <w:bCs/>
                <w:sz w:val="16"/>
                <w:szCs w:val="16"/>
              </w:rPr>
              <w:t>Outstanding</w:t>
            </w:r>
            <w:r w:rsidRPr="007132E1">
              <w:rPr>
                <w:b/>
                <w:bCs/>
                <w:sz w:val="16"/>
                <w:szCs w:val="16"/>
              </w:rPr>
              <w:br/>
              <w:t>Balance</w:t>
            </w:r>
          </w:p>
        </w:tc>
        <w:tc>
          <w:tcPr>
            <w:tcW w:w="1170" w:type="dxa"/>
            <w:tcBorders>
              <w:top w:val="nil"/>
              <w:left w:val="nil"/>
              <w:bottom w:val="nil"/>
              <w:right w:val="nil"/>
            </w:tcBorders>
            <w:shd w:val="clear" w:color="auto" w:fill="auto"/>
            <w:vAlign w:val="bottom"/>
            <w:hideMark/>
          </w:tcPr>
          <w:p w:rsidRPr="007132E1" w:rsidR="006B5F77" w:rsidP="006B5F77" w:rsidRDefault="006B5F77" w14:paraId="022EF040" w14:textId="51F0C6B2">
            <w:pPr>
              <w:jc w:val="center"/>
              <w:rPr>
                <w:b/>
                <w:bCs/>
                <w:sz w:val="16"/>
                <w:szCs w:val="16"/>
              </w:rPr>
            </w:pPr>
            <w:r w:rsidRPr="007132E1">
              <w:rPr>
                <w:b/>
                <w:bCs/>
                <w:sz w:val="16"/>
                <w:szCs w:val="16"/>
              </w:rPr>
              <w:t>Prepayments</w:t>
            </w:r>
          </w:p>
        </w:tc>
        <w:tc>
          <w:tcPr>
            <w:tcW w:w="1080" w:type="dxa"/>
            <w:tcBorders>
              <w:top w:val="nil"/>
              <w:left w:val="nil"/>
              <w:bottom w:val="nil"/>
              <w:right w:val="nil"/>
            </w:tcBorders>
            <w:shd w:val="clear" w:color="auto" w:fill="auto"/>
            <w:vAlign w:val="bottom"/>
            <w:hideMark/>
          </w:tcPr>
          <w:p w:rsidRPr="007132E1" w:rsidR="006B5F77" w:rsidP="006B5F77" w:rsidRDefault="006B5F77" w14:paraId="5DC3745B" w14:textId="77777777">
            <w:pPr>
              <w:jc w:val="center"/>
              <w:rPr>
                <w:b/>
                <w:bCs/>
                <w:sz w:val="16"/>
                <w:szCs w:val="16"/>
              </w:rPr>
            </w:pPr>
            <w:r w:rsidRPr="007132E1">
              <w:rPr>
                <w:b/>
                <w:bCs/>
                <w:sz w:val="16"/>
                <w:szCs w:val="16"/>
              </w:rPr>
              <w:t>Outstanding</w:t>
            </w:r>
            <w:r w:rsidRPr="007132E1">
              <w:rPr>
                <w:b/>
                <w:bCs/>
                <w:sz w:val="16"/>
                <w:szCs w:val="16"/>
              </w:rPr>
              <w:br/>
              <w:t>Balance</w:t>
            </w:r>
          </w:p>
        </w:tc>
        <w:tc>
          <w:tcPr>
            <w:tcW w:w="1350" w:type="dxa"/>
            <w:tcBorders>
              <w:top w:val="nil"/>
              <w:left w:val="nil"/>
              <w:bottom w:val="nil"/>
              <w:right w:val="nil"/>
            </w:tcBorders>
            <w:shd w:val="clear" w:color="auto" w:fill="auto"/>
            <w:vAlign w:val="bottom"/>
            <w:hideMark/>
          </w:tcPr>
          <w:p w:rsidRPr="007132E1" w:rsidR="006B5F77" w:rsidP="006B5F77" w:rsidRDefault="006B5F77" w14:paraId="2E53AE3D" w14:textId="77777777">
            <w:pPr>
              <w:jc w:val="center"/>
              <w:rPr>
                <w:b/>
                <w:bCs/>
                <w:sz w:val="16"/>
                <w:szCs w:val="16"/>
              </w:rPr>
            </w:pPr>
            <w:r w:rsidRPr="007132E1">
              <w:rPr>
                <w:b/>
                <w:bCs/>
                <w:sz w:val="16"/>
                <w:szCs w:val="16"/>
              </w:rPr>
              <w:t>Prepayments</w:t>
            </w:r>
          </w:p>
        </w:tc>
        <w:tc>
          <w:tcPr>
            <w:tcW w:w="1260" w:type="dxa"/>
            <w:tcBorders>
              <w:top w:val="nil"/>
              <w:left w:val="nil"/>
              <w:bottom w:val="nil"/>
              <w:right w:val="nil"/>
            </w:tcBorders>
            <w:shd w:val="clear" w:color="auto" w:fill="auto"/>
            <w:vAlign w:val="bottom"/>
            <w:hideMark/>
          </w:tcPr>
          <w:p w:rsidRPr="007132E1" w:rsidR="006B5F77" w:rsidP="006B5F77" w:rsidRDefault="006B5F77" w14:paraId="5B502935" w14:textId="77777777">
            <w:pPr>
              <w:jc w:val="center"/>
              <w:rPr>
                <w:b/>
                <w:bCs/>
                <w:sz w:val="16"/>
                <w:szCs w:val="16"/>
              </w:rPr>
            </w:pPr>
            <w:r w:rsidRPr="007132E1">
              <w:rPr>
                <w:b/>
                <w:bCs/>
                <w:sz w:val="16"/>
                <w:szCs w:val="16"/>
              </w:rPr>
              <w:t>Outstanding</w:t>
            </w:r>
            <w:r w:rsidRPr="007132E1">
              <w:rPr>
                <w:b/>
                <w:bCs/>
                <w:sz w:val="16"/>
                <w:szCs w:val="16"/>
              </w:rPr>
              <w:br/>
              <w:t>Balance</w:t>
            </w:r>
          </w:p>
        </w:tc>
        <w:tc>
          <w:tcPr>
            <w:tcW w:w="1350" w:type="dxa"/>
            <w:tcBorders>
              <w:top w:val="nil"/>
              <w:left w:val="nil"/>
              <w:bottom w:val="nil"/>
              <w:right w:val="nil"/>
            </w:tcBorders>
            <w:shd w:val="clear" w:color="auto" w:fill="auto"/>
            <w:vAlign w:val="bottom"/>
            <w:hideMark/>
          </w:tcPr>
          <w:p w:rsidRPr="007132E1" w:rsidR="006B5F77" w:rsidP="006B5F77" w:rsidRDefault="006B5F77" w14:paraId="2D49C84C" w14:textId="77777777">
            <w:pPr>
              <w:jc w:val="center"/>
              <w:rPr>
                <w:b/>
                <w:bCs/>
                <w:sz w:val="16"/>
                <w:szCs w:val="16"/>
              </w:rPr>
            </w:pPr>
            <w:r w:rsidRPr="007132E1">
              <w:rPr>
                <w:b/>
                <w:bCs/>
                <w:sz w:val="16"/>
                <w:szCs w:val="16"/>
              </w:rPr>
              <w:t>Prepayments</w:t>
            </w:r>
          </w:p>
        </w:tc>
        <w:tc>
          <w:tcPr>
            <w:tcW w:w="1170" w:type="dxa"/>
            <w:tcBorders>
              <w:top w:val="nil"/>
              <w:left w:val="nil"/>
              <w:bottom w:val="nil"/>
              <w:right w:val="nil"/>
            </w:tcBorders>
            <w:shd w:val="clear" w:color="auto" w:fill="auto"/>
            <w:vAlign w:val="bottom"/>
            <w:hideMark/>
          </w:tcPr>
          <w:p w:rsidRPr="007132E1" w:rsidR="006B5F77" w:rsidP="006B5F77" w:rsidRDefault="006B5F77" w14:paraId="0295D09F" w14:textId="77777777">
            <w:pPr>
              <w:jc w:val="center"/>
              <w:rPr>
                <w:b/>
                <w:bCs/>
                <w:sz w:val="16"/>
                <w:szCs w:val="16"/>
              </w:rPr>
            </w:pPr>
            <w:r w:rsidRPr="007132E1">
              <w:rPr>
                <w:b/>
                <w:bCs/>
                <w:sz w:val="16"/>
                <w:szCs w:val="16"/>
              </w:rPr>
              <w:t>Outstanding</w:t>
            </w:r>
            <w:r w:rsidRPr="007132E1">
              <w:rPr>
                <w:b/>
                <w:bCs/>
                <w:sz w:val="16"/>
                <w:szCs w:val="16"/>
              </w:rPr>
              <w:br/>
              <w:t>Balance</w:t>
            </w:r>
          </w:p>
        </w:tc>
        <w:tc>
          <w:tcPr>
            <w:tcW w:w="1260" w:type="dxa"/>
            <w:tcBorders>
              <w:top w:val="nil"/>
              <w:left w:val="nil"/>
              <w:bottom w:val="nil"/>
              <w:right w:val="nil"/>
            </w:tcBorders>
            <w:shd w:val="clear" w:color="auto" w:fill="auto"/>
            <w:vAlign w:val="bottom"/>
            <w:hideMark/>
          </w:tcPr>
          <w:p w:rsidRPr="007132E1" w:rsidR="006B5F77" w:rsidP="006B5F77" w:rsidRDefault="006B5F77" w14:paraId="48712267" w14:textId="77777777">
            <w:pPr>
              <w:jc w:val="center"/>
              <w:rPr>
                <w:b/>
                <w:bCs/>
                <w:sz w:val="16"/>
                <w:szCs w:val="16"/>
              </w:rPr>
            </w:pPr>
            <w:r w:rsidRPr="007132E1">
              <w:rPr>
                <w:b/>
                <w:bCs/>
                <w:sz w:val="16"/>
                <w:szCs w:val="16"/>
              </w:rPr>
              <w:t>Prepayments</w:t>
            </w:r>
          </w:p>
        </w:tc>
        <w:tc>
          <w:tcPr>
            <w:tcW w:w="1080" w:type="dxa"/>
            <w:tcBorders>
              <w:top w:val="nil"/>
              <w:left w:val="nil"/>
              <w:bottom w:val="nil"/>
              <w:right w:val="nil"/>
            </w:tcBorders>
            <w:shd w:val="clear" w:color="auto" w:fill="auto"/>
            <w:vAlign w:val="bottom"/>
            <w:hideMark/>
          </w:tcPr>
          <w:p w:rsidRPr="007132E1" w:rsidR="006B5F77" w:rsidP="006B5F77" w:rsidRDefault="006B5F77" w14:paraId="37419D91" w14:textId="77777777">
            <w:pPr>
              <w:jc w:val="center"/>
              <w:rPr>
                <w:b/>
                <w:bCs/>
                <w:sz w:val="16"/>
                <w:szCs w:val="16"/>
              </w:rPr>
            </w:pPr>
            <w:r w:rsidRPr="007132E1">
              <w:rPr>
                <w:b/>
                <w:bCs/>
                <w:sz w:val="16"/>
                <w:szCs w:val="16"/>
              </w:rPr>
              <w:t>Outstanding</w:t>
            </w:r>
            <w:r w:rsidRPr="007132E1">
              <w:rPr>
                <w:b/>
                <w:bCs/>
                <w:sz w:val="16"/>
                <w:szCs w:val="16"/>
              </w:rPr>
              <w:br/>
              <w:t>Balance</w:t>
            </w:r>
          </w:p>
        </w:tc>
        <w:tc>
          <w:tcPr>
            <w:tcW w:w="900" w:type="dxa"/>
            <w:tcBorders>
              <w:top w:val="nil"/>
              <w:left w:val="nil"/>
              <w:bottom w:val="nil"/>
              <w:right w:val="nil"/>
            </w:tcBorders>
            <w:shd w:val="clear" w:color="auto" w:fill="auto"/>
            <w:vAlign w:val="bottom"/>
            <w:hideMark/>
          </w:tcPr>
          <w:p w:rsidRPr="007132E1" w:rsidR="006B5F77" w:rsidP="006B5F77" w:rsidRDefault="006B5F77" w14:paraId="6B468D7A" w14:textId="77777777">
            <w:pPr>
              <w:jc w:val="center"/>
              <w:rPr>
                <w:b/>
                <w:bCs/>
                <w:sz w:val="16"/>
                <w:szCs w:val="16"/>
              </w:rPr>
            </w:pPr>
            <w:r w:rsidRPr="007132E1">
              <w:rPr>
                <w:b/>
                <w:bCs/>
                <w:sz w:val="16"/>
                <w:szCs w:val="16"/>
              </w:rPr>
              <w:t>Average</w:t>
            </w:r>
            <w:r w:rsidRPr="007132E1">
              <w:rPr>
                <w:b/>
                <w:bCs/>
                <w:sz w:val="16"/>
                <w:szCs w:val="16"/>
              </w:rPr>
              <w:br/>
              <w:t>Mortgage</w:t>
            </w:r>
          </w:p>
        </w:tc>
        <w:tc>
          <w:tcPr>
            <w:tcW w:w="900" w:type="dxa"/>
            <w:tcBorders>
              <w:top w:val="nil"/>
              <w:left w:val="nil"/>
              <w:bottom w:val="nil"/>
              <w:right w:val="nil"/>
            </w:tcBorders>
            <w:vAlign w:val="bottom"/>
          </w:tcPr>
          <w:p w:rsidRPr="007132E1" w:rsidR="006B5F77" w:rsidP="006B5F77" w:rsidRDefault="006B5F77" w14:paraId="0CAE7E4E" w14:textId="77777777">
            <w:pPr>
              <w:jc w:val="center"/>
              <w:rPr>
                <w:b/>
                <w:bCs/>
                <w:sz w:val="16"/>
                <w:szCs w:val="16"/>
              </w:rPr>
            </w:pPr>
            <w:r w:rsidRPr="007132E1">
              <w:rPr>
                <w:b/>
                <w:bCs/>
                <w:sz w:val="16"/>
                <w:szCs w:val="16"/>
              </w:rPr>
              <w:t>Average</w:t>
            </w:r>
            <w:r w:rsidRPr="007132E1">
              <w:rPr>
                <w:b/>
                <w:bCs/>
                <w:sz w:val="16"/>
                <w:szCs w:val="16"/>
              </w:rPr>
              <w:br/>
              <w:t>Pass Through</w:t>
            </w:r>
          </w:p>
        </w:tc>
      </w:tr>
      <w:tr w:rsidRPr="007132E1" w:rsidR="006B5F77" w:rsidTr="00E6200E" w14:paraId="4DE24ABC" w14:textId="77777777">
        <w:trPr>
          <w:trHeight w:val="20"/>
        </w:trPr>
        <w:tc>
          <w:tcPr>
            <w:tcW w:w="1255" w:type="dxa"/>
            <w:tcBorders>
              <w:bottom w:val="single" w:color="auto" w:sz="8" w:space="0"/>
            </w:tcBorders>
            <w:vAlign w:val="bottom"/>
            <w:hideMark/>
          </w:tcPr>
          <w:p w:rsidRPr="006B5F77" w:rsidR="006B5F77" w:rsidP="006B5F77" w:rsidRDefault="006B5F77" w14:paraId="5B9E63C9" w14:textId="77777777">
            <w:pPr>
              <w:jc w:val="center"/>
              <w:rPr>
                <w:b/>
                <w:bCs/>
                <w:sz w:val="16"/>
                <w:szCs w:val="16"/>
              </w:rPr>
            </w:pPr>
            <w:r w:rsidRPr="006B5F77">
              <w:rPr>
                <w:b/>
                <w:bCs/>
                <w:sz w:val="16"/>
                <w:szCs w:val="16"/>
              </w:rPr>
              <w:t>Bond Issue</w:t>
            </w:r>
          </w:p>
        </w:tc>
        <w:tc>
          <w:tcPr>
            <w:tcW w:w="256" w:type="dxa"/>
            <w:tcBorders>
              <w:bottom w:val="single" w:color="auto" w:sz="8" w:space="0"/>
            </w:tcBorders>
            <w:noWrap/>
            <w:vAlign w:val="bottom"/>
            <w:hideMark/>
          </w:tcPr>
          <w:p w:rsidRPr="006B5F77" w:rsidR="006B5F77" w:rsidP="006B5F77" w:rsidRDefault="006B5F77" w14:paraId="6666FA7F" w14:textId="77777777">
            <w:pPr>
              <w:jc w:val="left"/>
              <w:rPr>
                <w:b/>
                <w:sz w:val="16"/>
                <w:szCs w:val="16"/>
              </w:rPr>
            </w:pPr>
            <w:r w:rsidRPr="006B5F77">
              <w:rPr>
                <w:b/>
                <w:sz w:val="16"/>
                <w:szCs w:val="16"/>
              </w:rPr>
              <w:t> </w:t>
            </w:r>
          </w:p>
        </w:tc>
        <w:tc>
          <w:tcPr>
            <w:tcW w:w="1099" w:type="dxa"/>
            <w:tcBorders>
              <w:top w:val="nil"/>
              <w:left w:val="nil"/>
              <w:bottom w:val="single" w:color="auto" w:sz="8" w:space="0"/>
              <w:right w:val="nil"/>
            </w:tcBorders>
            <w:shd w:val="clear" w:color="auto" w:fill="auto"/>
            <w:vAlign w:val="bottom"/>
            <w:hideMark/>
          </w:tcPr>
          <w:p w:rsidRPr="007132E1" w:rsidR="006B5F77" w:rsidP="006B5F77" w:rsidRDefault="006B5F77" w14:paraId="17A4CA3B" w14:textId="2B9BA7E1">
            <w:pPr>
              <w:jc w:val="center"/>
              <w:rPr>
                <w:b/>
                <w:bCs/>
                <w:sz w:val="16"/>
                <w:szCs w:val="16"/>
              </w:rPr>
            </w:pPr>
            <w:r>
              <w:rPr>
                <w:b/>
                <w:bCs/>
                <w:sz w:val="16"/>
                <w:szCs w:val="16"/>
              </w:rPr>
              <w:t>6/30/2023</w:t>
            </w:r>
          </w:p>
        </w:tc>
        <w:tc>
          <w:tcPr>
            <w:tcW w:w="1170" w:type="dxa"/>
            <w:tcBorders>
              <w:top w:val="nil"/>
              <w:left w:val="nil"/>
              <w:bottom w:val="single" w:color="auto" w:sz="8" w:space="0"/>
              <w:right w:val="nil"/>
            </w:tcBorders>
            <w:shd w:val="clear" w:color="auto" w:fill="auto"/>
            <w:vAlign w:val="bottom"/>
            <w:hideMark/>
          </w:tcPr>
          <w:p w:rsidRPr="007132E1" w:rsidR="006B5F77" w:rsidP="006B5F77" w:rsidRDefault="006B5F77" w14:paraId="27EF0916" w14:textId="207A4077">
            <w:pPr>
              <w:jc w:val="center"/>
              <w:rPr>
                <w:b/>
                <w:bCs/>
                <w:sz w:val="16"/>
                <w:szCs w:val="16"/>
              </w:rPr>
            </w:pPr>
            <w:r>
              <w:rPr>
                <w:b/>
                <w:bCs/>
                <w:sz w:val="16"/>
                <w:szCs w:val="16"/>
              </w:rPr>
              <w:t>7/2023-9/2023</w:t>
            </w:r>
          </w:p>
        </w:tc>
        <w:tc>
          <w:tcPr>
            <w:tcW w:w="1080" w:type="dxa"/>
            <w:tcBorders>
              <w:top w:val="nil"/>
              <w:left w:val="nil"/>
              <w:bottom w:val="single" w:color="auto" w:sz="8" w:space="0"/>
              <w:right w:val="nil"/>
            </w:tcBorders>
            <w:shd w:val="clear" w:color="auto" w:fill="auto"/>
            <w:vAlign w:val="bottom"/>
            <w:hideMark/>
          </w:tcPr>
          <w:p w:rsidRPr="007132E1" w:rsidR="006B5F77" w:rsidP="006B5F77" w:rsidRDefault="00E6200E" w14:paraId="183C47B1" w14:textId="28512E0B">
            <w:pPr>
              <w:jc w:val="center"/>
              <w:rPr>
                <w:b/>
                <w:bCs/>
                <w:sz w:val="16"/>
                <w:szCs w:val="16"/>
              </w:rPr>
            </w:pPr>
            <w:r>
              <w:rPr>
                <w:b/>
                <w:bCs/>
                <w:sz w:val="16"/>
                <w:szCs w:val="16"/>
              </w:rPr>
              <w:t>9</w:t>
            </w:r>
            <w:r w:rsidR="006B5F77">
              <w:rPr>
                <w:b/>
                <w:bCs/>
                <w:sz w:val="16"/>
                <w:szCs w:val="16"/>
              </w:rPr>
              <w:t>/30/2023</w:t>
            </w:r>
          </w:p>
        </w:tc>
        <w:tc>
          <w:tcPr>
            <w:tcW w:w="1350" w:type="dxa"/>
            <w:tcBorders>
              <w:top w:val="nil"/>
              <w:left w:val="nil"/>
              <w:bottom w:val="single" w:color="auto" w:sz="8" w:space="0"/>
              <w:right w:val="nil"/>
            </w:tcBorders>
            <w:shd w:val="clear" w:color="auto" w:fill="auto"/>
            <w:vAlign w:val="bottom"/>
            <w:hideMark/>
          </w:tcPr>
          <w:p w:rsidRPr="007132E1" w:rsidR="006B5F77" w:rsidP="006B5F77" w:rsidRDefault="00E6200E" w14:paraId="5B971BB4" w14:textId="3C42EE49">
            <w:pPr>
              <w:jc w:val="center"/>
              <w:rPr>
                <w:b/>
                <w:bCs/>
                <w:sz w:val="16"/>
                <w:szCs w:val="16"/>
              </w:rPr>
            </w:pPr>
            <w:r>
              <w:rPr>
                <w:b/>
                <w:bCs/>
                <w:sz w:val="16"/>
                <w:szCs w:val="16"/>
              </w:rPr>
              <w:t>10/2023-12</w:t>
            </w:r>
            <w:r w:rsidR="006B5F77">
              <w:rPr>
                <w:b/>
                <w:bCs/>
                <w:sz w:val="16"/>
                <w:szCs w:val="16"/>
              </w:rPr>
              <w:t>/2023</w:t>
            </w:r>
          </w:p>
        </w:tc>
        <w:tc>
          <w:tcPr>
            <w:tcW w:w="1260" w:type="dxa"/>
            <w:tcBorders>
              <w:top w:val="nil"/>
              <w:left w:val="nil"/>
              <w:bottom w:val="single" w:color="auto" w:sz="8" w:space="0"/>
              <w:right w:val="nil"/>
            </w:tcBorders>
            <w:shd w:val="clear" w:color="auto" w:fill="auto"/>
            <w:vAlign w:val="bottom"/>
            <w:hideMark/>
          </w:tcPr>
          <w:p w:rsidRPr="007132E1" w:rsidR="006B5F77" w:rsidP="006B5F77" w:rsidRDefault="00E6200E" w14:paraId="4F0EB064" w14:textId="27080079">
            <w:pPr>
              <w:jc w:val="center"/>
              <w:rPr>
                <w:b/>
                <w:bCs/>
                <w:sz w:val="16"/>
                <w:szCs w:val="16"/>
              </w:rPr>
            </w:pPr>
            <w:r>
              <w:rPr>
                <w:b/>
                <w:bCs/>
                <w:sz w:val="16"/>
                <w:szCs w:val="16"/>
              </w:rPr>
              <w:t>12/31/2023</w:t>
            </w:r>
          </w:p>
        </w:tc>
        <w:tc>
          <w:tcPr>
            <w:tcW w:w="1350" w:type="dxa"/>
            <w:tcBorders>
              <w:top w:val="nil"/>
              <w:left w:val="nil"/>
              <w:bottom w:val="single" w:color="auto" w:sz="8" w:space="0"/>
              <w:right w:val="nil"/>
            </w:tcBorders>
            <w:shd w:val="clear" w:color="auto" w:fill="auto"/>
            <w:vAlign w:val="bottom"/>
            <w:hideMark/>
          </w:tcPr>
          <w:p w:rsidRPr="007132E1" w:rsidR="006B5F77" w:rsidP="006B5F77" w:rsidRDefault="00E6200E" w14:paraId="0191CAAB" w14:textId="6BF85CDB">
            <w:pPr>
              <w:jc w:val="center"/>
              <w:rPr>
                <w:b/>
                <w:bCs/>
                <w:sz w:val="16"/>
                <w:szCs w:val="16"/>
              </w:rPr>
            </w:pPr>
            <w:r>
              <w:rPr>
                <w:b/>
                <w:bCs/>
                <w:sz w:val="16"/>
                <w:szCs w:val="16"/>
              </w:rPr>
              <w:t>1/2024-3/2024</w:t>
            </w:r>
          </w:p>
        </w:tc>
        <w:tc>
          <w:tcPr>
            <w:tcW w:w="1170" w:type="dxa"/>
            <w:tcBorders>
              <w:top w:val="nil"/>
              <w:left w:val="nil"/>
              <w:bottom w:val="single" w:color="auto" w:sz="8" w:space="0"/>
              <w:right w:val="nil"/>
            </w:tcBorders>
            <w:shd w:val="clear" w:color="auto" w:fill="auto"/>
            <w:vAlign w:val="bottom"/>
            <w:hideMark/>
          </w:tcPr>
          <w:p w:rsidRPr="007132E1" w:rsidR="006B5F77" w:rsidP="006B5F77" w:rsidRDefault="00E6200E" w14:paraId="5118A988" w14:textId="505B43FA">
            <w:pPr>
              <w:jc w:val="center"/>
              <w:rPr>
                <w:b/>
                <w:bCs/>
                <w:sz w:val="16"/>
                <w:szCs w:val="16"/>
              </w:rPr>
            </w:pPr>
            <w:r>
              <w:rPr>
                <w:b/>
                <w:bCs/>
                <w:sz w:val="16"/>
                <w:szCs w:val="16"/>
              </w:rPr>
              <w:t>3/31/2024</w:t>
            </w:r>
          </w:p>
        </w:tc>
        <w:tc>
          <w:tcPr>
            <w:tcW w:w="1260" w:type="dxa"/>
            <w:tcBorders>
              <w:top w:val="nil"/>
              <w:left w:val="nil"/>
              <w:bottom w:val="single" w:color="auto" w:sz="8" w:space="0"/>
              <w:right w:val="nil"/>
            </w:tcBorders>
            <w:shd w:val="clear" w:color="auto" w:fill="auto"/>
            <w:vAlign w:val="bottom"/>
            <w:hideMark/>
          </w:tcPr>
          <w:p w:rsidRPr="007132E1" w:rsidR="006B5F77" w:rsidP="006B5F77" w:rsidRDefault="00E6200E" w14:paraId="3A2CB514" w14:textId="76075C24">
            <w:pPr>
              <w:jc w:val="center"/>
              <w:rPr>
                <w:b/>
                <w:bCs/>
                <w:sz w:val="16"/>
                <w:szCs w:val="16"/>
              </w:rPr>
            </w:pPr>
            <w:r>
              <w:rPr>
                <w:b/>
                <w:bCs/>
                <w:sz w:val="16"/>
                <w:szCs w:val="16"/>
              </w:rPr>
              <w:t>4/2024-6/2024</w:t>
            </w:r>
          </w:p>
        </w:tc>
        <w:tc>
          <w:tcPr>
            <w:tcW w:w="1080" w:type="dxa"/>
            <w:tcBorders>
              <w:top w:val="nil"/>
              <w:left w:val="nil"/>
              <w:bottom w:val="single" w:color="auto" w:sz="8" w:space="0"/>
              <w:right w:val="nil"/>
            </w:tcBorders>
            <w:shd w:val="clear" w:color="auto" w:fill="auto"/>
            <w:vAlign w:val="bottom"/>
            <w:hideMark/>
          </w:tcPr>
          <w:p w:rsidRPr="007132E1" w:rsidR="006B5F77" w:rsidP="006B5F77" w:rsidRDefault="00E6200E" w14:paraId="602B8A11" w14:textId="26574036">
            <w:pPr>
              <w:jc w:val="center"/>
              <w:rPr>
                <w:b/>
                <w:bCs/>
                <w:sz w:val="16"/>
                <w:szCs w:val="16"/>
              </w:rPr>
            </w:pPr>
            <w:r>
              <w:rPr>
                <w:b/>
                <w:bCs/>
                <w:sz w:val="16"/>
                <w:szCs w:val="16"/>
              </w:rPr>
              <w:t>6/30/2024</w:t>
            </w:r>
          </w:p>
        </w:tc>
        <w:tc>
          <w:tcPr>
            <w:tcW w:w="900" w:type="dxa"/>
            <w:tcBorders>
              <w:top w:val="nil"/>
              <w:left w:val="nil"/>
              <w:bottom w:val="single" w:color="auto" w:sz="8" w:space="0"/>
              <w:right w:val="nil"/>
            </w:tcBorders>
            <w:shd w:val="clear" w:color="auto" w:fill="auto"/>
            <w:vAlign w:val="bottom"/>
            <w:hideMark/>
          </w:tcPr>
          <w:p w:rsidRPr="007132E1" w:rsidR="006B5F77" w:rsidP="006B5F77" w:rsidRDefault="006B5F77" w14:paraId="015CAB29" w14:textId="77777777">
            <w:pPr>
              <w:jc w:val="center"/>
              <w:rPr>
                <w:b/>
                <w:bCs/>
                <w:sz w:val="16"/>
                <w:szCs w:val="16"/>
              </w:rPr>
            </w:pPr>
            <w:r w:rsidRPr="007132E1">
              <w:rPr>
                <w:b/>
                <w:bCs/>
                <w:sz w:val="16"/>
                <w:szCs w:val="16"/>
              </w:rPr>
              <w:t>Rate</w:t>
            </w:r>
          </w:p>
        </w:tc>
        <w:tc>
          <w:tcPr>
            <w:tcW w:w="900" w:type="dxa"/>
            <w:tcBorders>
              <w:top w:val="nil"/>
              <w:left w:val="nil"/>
              <w:bottom w:val="single" w:color="auto" w:sz="8" w:space="0"/>
              <w:right w:val="nil"/>
            </w:tcBorders>
            <w:vAlign w:val="bottom"/>
          </w:tcPr>
          <w:p w:rsidRPr="007132E1" w:rsidR="006B5F77" w:rsidP="006B5F77" w:rsidRDefault="006B5F77" w14:paraId="5B1EF678" w14:textId="77777777">
            <w:pPr>
              <w:jc w:val="center"/>
              <w:rPr>
                <w:b/>
                <w:bCs/>
                <w:sz w:val="16"/>
                <w:szCs w:val="16"/>
              </w:rPr>
            </w:pPr>
            <w:r w:rsidRPr="007132E1">
              <w:rPr>
                <w:b/>
                <w:bCs/>
                <w:sz w:val="16"/>
                <w:szCs w:val="16"/>
              </w:rPr>
              <w:t>Rate</w:t>
            </w:r>
          </w:p>
        </w:tc>
      </w:tr>
      <w:tr w:rsidRPr="007132E1" w:rsidR="006B5F77" w:rsidTr="00E6200E" w14:paraId="5A9611A4" w14:textId="77777777">
        <w:trPr>
          <w:trHeight w:val="20"/>
        </w:trPr>
        <w:tc>
          <w:tcPr>
            <w:tcW w:w="1255" w:type="dxa"/>
            <w:tcBorders>
              <w:top w:val="single" w:color="auto" w:sz="8" w:space="0"/>
            </w:tcBorders>
            <w:noWrap/>
            <w:hideMark/>
          </w:tcPr>
          <w:p w:rsidRPr="007132E1" w:rsidR="006B5F77" w:rsidP="006B5F77" w:rsidRDefault="006B5F77" w14:paraId="7D59FE3C" w14:textId="77777777">
            <w:pPr>
              <w:jc w:val="left"/>
              <w:rPr>
                <w:b/>
                <w:bCs/>
                <w:sz w:val="16"/>
                <w:szCs w:val="16"/>
              </w:rPr>
            </w:pPr>
          </w:p>
        </w:tc>
        <w:tc>
          <w:tcPr>
            <w:tcW w:w="256" w:type="dxa"/>
            <w:tcBorders>
              <w:top w:val="single" w:color="auto" w:sz="8" w:space="0"/>
            </w:tcBorders>
            <w:noWrap/>
            <w:hideMark/>
          </w:tcPr>
          <w:p w:rsidRPr="007132E1" w:rsidR="006B5F77" w:rsidP="006B5F77" w:rsidRDefault="006B5F77" w14:paraId="007B523D" w14:textId="77777777">
            <w:pPr>
              <w:jc w:val="left"/>
              <w:rPr>
                <w:sz w:val="16"/>
                <w:szCs w:val="16"/>
              </w:rPr>
            </w:pPr>
          </w:p>
        </w:tc>
        <w:tc>
          <w:tcPr>
            <w:tcW w:w="1099" w:type="dxa"/>
            <w:tcBorders>
              <w:top w:val="single" w:color="auto" w:sz="4" w:space="0"/>
            </w:tcBorders>
            <w:noWrap/>
            <w:hideMark/>
          </w:tcPr>
          <w:p w:rsidRPr="007132E1" w:rsidR="006B5F77" w:rsidP="006B5F77" w:rsidRDefault="006B5F77" w14:paraId="160EAD2E" w14:textId="77777777">
            <w:pPr>
              <w:jc w:val="left"/>
              <w:rPr>
                <w:sz w:val="16"/>
                <w:szCs w:val="16"/>
              </w:rPr>
            </w:pPr>
          </w:p>
        </w:tc>
        <w:tc>
          <w:tcPr>
            <w:tcW w:w="1170" w:type="dxa"/>
            <w:tcBorders>
              <w:top w:val="single" w:color="auto" w:sz="4" w:space="0"/>
            </w:tcBorders>
            <w:noWrap/>
            <w:hideMark/>
          </w:tcPr>
          <w:p w:rsidRPr="007132E1" w:rsidR="006B5F77" w:rsidP="006B5F77" w:rsidRDefault="006B5F77" w14:paraId="4C1667F9" w14:textId="77777777">
            <w:pPr>
              <w:jc w:val="left"/>
              <w:rPr>
                <w:sz w:val="16"/>
                <w:szCs w:val="16"/>
              </w:rPr>
            </w:pPr>
          </w:p>
        </w:tc>
        <w:tc>
          <w:tcPr>
            <w:tcW w:w="1080" w:type="dxa"/>
            <w:tcBorders>
              <w:top w:val="single" w:color="auto" w:sz="4" w:space="0"/>
            </w:tcBorders>
            <w:noWrap/>
            <w:hideMark/>
          </w:tcPr>
          <w:p w:rsidRPr="007132E1" w:rsidR="006B5F77" w:rsidP="006B5F77" w:rsidRDefault="006B5F77" w14:paraId="129F8B85" w14:textId="77777777">
            <w:pPr>
              <w:jc w:val="left"/>
              <w:rPr>
                <w:sz w:val="16"/>
                <w:szCs w:val="16"/>
              </w:rPr>
            </w:pPr>
          </w:p>
        </w:tc>
        <w:tc>
          <w:tcPr>
            <w:tcW w:w="1350" w:type="dxa"/>
            <w:tcBorders>
              <w:top w:val="single" w:color="auto" w:sz="4" w:space="0"/>
            </w:tcBorders>
            <w:noWrap/>
            <w:hideMark/>
          </w:tcPr>
          <w:p w:rsidRPr="007132E1" w:rsidR="006B5F77" w:rsidP="006B5F77" w:rsidRDefault="006B5F77" w14:paraId="0DB83733" w14:textId="77777777">
            <w:pPr>
              <w:jc w:val="left"/>
              <w:rPr>
                <w:sz w:val="16"/>
                <w:szCs w:val="16"/>
              </w:rPr>
            </w:pPr>
          </w:p>
        </w:tc>
        <w:tc>
          <w:tcPr>
            <w:tcW w:w="1260" w:type="dxa"/>
            <w:tcBorders>
              <w:top w:val="single" w:color="auto" w:sz="4" w:space="0"/>
            </w:tcBorders>
            <w:noWrap/>
            <w:hideMark/>
          </w:tcPr>
          <w:p w:rsidRPr="007132E1" w:rsidR="006B5F77" w:rsidP="006B5F77" w:rsidRDefault="006B5F77" w14:paraId="6F2A56BF" w14:textId="77777777">
            <w:pPr>
              <w:jc w:val="left"/>
              <w:rPr>
                <w:sz w:val="16"/>
                <w:szCs w:val="16"/>
              </w:rPr>
            </w:pPr>
          </w:p>
        </w:tc>
        <w:tc>
          <w:tcPr>
            <w:tcW w:w="1350" w:type="dxa"/>
            <w:tcBorders>
              <w:top w:val="single" w:color="auto" w:sz="4" w:space="0"/>
            </w:tcBorders>
            <w:noWrap/>
            <w:hideMark/>
          </w:tcPr>
          <w:p w:rsidRPr="007132E1" w:rsidR="006B5F77" w:rsidP="006B5F77" w:rsidRDefault="006B5F77" w14:paraId="464ED892" w14:textId="77777777">
            <w:pPr>
              <w:jc w:val="left"/>
              <w:rPr>
                <w:sz w:val="16"/>
                <w:szCs w:val="16"/>
              </w:rPr>
            </w:pPr>
          </w:p>
        </w:tc>
        <w:tc>
          <w:tcPr>
            <w:tcW w:w="1170" w:type="dxa"/>
            <w:tcBorders>
              <w:top w:val="single" w:color="auto" w:sz="4" w:space="0"/>
            </w:tcBorders>
            <w:noWrap/>
            <w:hideMark/>
          </w:tcPr>
          <w:p w:rsidRPr="007132E1" w:rsidR="006B5F77" w:rsidP="006B5F77" w:rsidRDefault="006B5F77" w14:paraId="59D72431" w14:textId="77777777">
            <w:pPr>
              <w:jc w:val="left"/>
              <w:rPr>
                <w:sz w:val="16"/>
                <w:szCs w:val="16"/>
              </w:rPr>
            </w:pPr>
          </w:p>
        </w:tc>
        <w:tc>
          <w:tcPr>
            <w:tcW w:w="1260" w:type="dxa"/>
            <w:tcBorders>
              <w:top w:val="single" w:color="auto" w:sz="4" w:space="0"/>
            </w:tcBorders>
            <w:noWrap/>
            <w:hideMark/>
          </w:tcPr>
          <w:p w:rsidRPr="007132E1" w:rsidR="006B5F77" w:rsidP="006B5F77" w:rsidRDefault="006B5F77" w14:paraId="2D944CC2" w14:textId="77777777">
            <w:pPr>
              <w:jc w:val="left"/>
              <w:rPr>
                <w:sz w:val="16"/>
                <w:szCs w:val="16"/>
              </w:rPr>
            </w:pPr>
          </w:p>
        </w:tc>
        <w:tc>
          <w:tcPr>
            <w:tcW w:w="1080" w:type="dxa"/>
            <w:tcBorders>
              <w:top w:val="single" w:color="auto" w:sz="4" w:space="0"/>
            </w:tcBorders>
            <w:noWrap/>
            <w:hideMark/>
          </w:tcPr>
          <w:p w:rsidRPr="007132E1" w:rsidR="006B5F77" w:rsidP="006B5F77" w:rsidRDefault="006B5F77" w14:paraId="2D5189F7" w14:textId="77777777">
            <w:pPr>
              <w:jc w:val="left"/>
              <w:rPr>
                <w:sz w:val="16"/>
                <w:szCs w:val="16"/>
              </w:rPr>
            </w:pPr>
          </w:p>
        </w:tc>
        <w:tc>
          <w:tcPr>
            <w:tcW w:w="900" w:type="dxa"/>
            <w:tcBorders>
              <w:top w:val="single" w:color="auto" w:sz="4" w:space="0"/>
            </w:tcBorders>
            <w:noWrap/>
            <w:hideMark/>
          </w:tcPr>
          <w:p w:rsidRPr="007132E1" w:rsidR="006B5F77" w:rsidP="006B5F77" w:rsidRDefault="006B5F77" w14:paraId="2C269A41" w14:textId="77777777">
            <w:pPr>
              <w:jc w:val="left"/>
              <w:rPr>
                <w:sz w:val="16"/>
                <w:szCs w:val="16"/>
              </w:rPr>
            </w:pPr>
          </w:p>
        </w:tc>
        <w:tc>
          <w:tcPr>
            <w:tcW w:w="900" w:type="dxa"/>
            <w:tcBorders>
              <w:top w:val="single" w:color="auto" w:sz="4" w:space="0"/>
            </w:tcBorders>
          </w:tcPr>
          <w:p w:rsidRPr="007132E1" w:rsidR="006B5F77" w:rsidP="006B5F77" w:rsidRDefault="006B5F77" w14:paraId="5FF87B10" w14:textId="77777777">
            <w:pPr>
              <w:jc w:val="left"/>
              <w:rPr>
                <w:sz w:val="16"/>
                <w:szCs w:val="16"/>
              </w:rPr>
            </w:pPr>
          </w:p>
        </w:tc>
      </w:tr>
      <w:tr w:rsidRPr="007132E1" w:rsidR="004557E9" w:rsidTr="00E6200E" w14:paraId="5706DCF4" w14:textId="77777777">
        <w:trPr>
          <w:trHeight w:val="20"/>
        </w:trPr>
        <w:tc>
          <w:tcPr>
            <w:tcW w:w="1255" w:type="dxa"/>
            <w:noWrap/>
            <w:vAlign w:val="bottom"/>
            <w:hideMark/>
          </w:tcPr>
          <w:p w:rsidRPr="00030447" w:rsidR="004557E9" w:rsidP="004557E9" w:rsidRDefault="004557E9" w14:paraId="4A2FB1F2" w14:textId="77777777">
            <w:pPr>
              <w:jc w:val="right"/>
              <w:rPr>
                <w:sz w:val="14"/>
                <w:szCs w:val="14"/>
              </w:rPr>
            </w:pPr>
            <w:r w:rsidRPr="00030447">
              <w:rPr>
                <w:sz w:val="14"/>
                <w:szCs w:val="14"/>
              </w:rPr>
              <w:t>Retired</w:t>
            </w:r>
          </w:p>
        </w:tc>
        <w:tc>
          <w:tcPr>
            <w:tcW w:w="256" w:type="dxa"/>
            <w:noWrap/>
            <w:vAlign w:val="bottom"/>
            <w:hideMark/>
          </w:tcPr>
          <w:p w:rsidRPr="007132E1" w:rsidR="004557E9" w:rsidP="004557E9" w:rsidRDefault="004557E9" w14:paraId="22CA63F0"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4968AB8E" w14:textId="3C7E4E51">
            <w:pPr>
              <w:jc w:val="right"/>
              <w:rPr>
                <w:sz w:val="14"/>
                <w:szCs w:val="14"/>
              </w:rPr>
            </w:pPr>
            <w:r w:rsidRPr="00E6200E">
              <w:rPr>
                <w:sz w:val="14"/>
                <w:szCs w:val="14"/>
              </w:rPr>
              <w:t xml:space="preserve">1,350,551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4F8A375C" w14:textId="1A415C0B">
            <w:pPr>
              <w:jc w:val="right"/>
              <w:rPr>
                <w:sz w:val="14"/>
                <w:szCs w:val="14"/>
              </w:rPr>
            </w:pPr>
            <w:r w:rsidRPr="0039586C">
              <w:rPr>
                <w:sz w:val="14"/>
                <w:szCs w:val="14"/>
              </w:rPr>
              <w:t xml:space="preserve">146,996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047A96EC" w14:textId="7987EEBE">
            <w:pPr>
              <w:jc w:val="right"/>
              <w:rPr>
                <w:sz w:val="14"/>
                <w:szCs w:val="14"/>
              </w:rPr>
            </w:pPr>
            <w:r w:rsidRPr="0039586C">
              <w:rPr>
                <w:sz w:val="14"/>
                <w:szCs w:val="14"/>
              </w:rPr>
              <w:t xml:space="preserve">1,191,731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6DFC8EAF" w14:textId="303056DA">
            <w:pPr>
              <w:jc w:val="right"/>
              <w:rPr>
                <w:sz w:val="14"/>
                <w:szCs w:val="14"/>
              </w:rPr>
            </w:pPr>
            <w:r w:rsidRPr="0039586C">
              <w:rPr>
                <w:sz w:val="14"/>
                <w:szCs w:val="14"/>
              </w:rPr>
              <w:t xml:space="preserve">26,550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0CFABD33" w14:textId="201FB776">
            <w:pPr>
              <w:jc w:val="right"/>
              <w:rPr>
                <w:sz w:val="14"/>
                <w:szCs w:val="14"/>
              </w:rPr>
            </w:pPr>
            <w:r w:rsidRPr="004557E9">
              <w:rPr>
                <w:sz w:val="14"/>
                <w:szCs w:val="14"/>
              </w:rPr>
              <w:t xml:space="preserve">1,154,438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0A38F71E" w14:textId="49320360">
            <w:pPr>
              <w:jc w:val="right"/>
              <w:rPr>
                <w:sz w:val="14"/>
                <w:szCs w:val="14"/>
              </w:rPr>
            </w:pPr>
            <w:r w:rsidRPr="004557E9">
              <w:rPr>
                <w:sz w:val="14"/>
                <w:szCs w:val="14"/>
              </w:rPr>
              <w:t xml:space="preserve">2,088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466CE61B" w14:textId="18C18D9C">
            <w:pPr>
              <w:jc w:val="right"/>
              <w:rPr>
                <w:sz w:val="14"/>
                <w:szCs w:val="14"/>
              </w:rPr>
            </w:pPr>
            <w:r w:rsidRPr="004557E9">
              <w:rPr>
                <w:sz w:val="14"/>
                <w:szCs w:val="14"/>
              </w:rPr>
              <w:t xml:space="preserve">1,141,648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5AC47A17" w14:textId="6FD80F39">
            <w:pPr>
              <w:jc w:val="right"/>
              <w:rPr>
                <w:sz w:val="14"/>
                <w:szCs w:val="14"/>
              </w:rPr>
            </w:pPr>
            <w:r w:rsidRPr="004557E9">
              <w:rPr>
                <w:sz w:val="14"/>
                <w:szCs w:val="14"/>
              </w:rPr>
              <w:t xml:space="preserve">104,962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3E8CADDB" w14:textId="08B09F0E">
            <w:pPr>
              <w:jc w:val="right"/>
              <w:rPr>
                <w:sz w:val="14"/>
                <w:szCs w:val="14"/>
              </w:rPr>
            </w:pPr>
            <w:r w:rsidRPr="004557E9">
              <w:rPr>
                <w:sz w:val="14"/>
                <w:szCs w:val="14"/>
              </w:rPr>
              <w:t xml:space="preserve">1,026,164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35F67ACF" w14:textId="27E6F6B8">
            <w:pPr>
              <w:jc w:val="right"/>
              <w:rPr>
                <w:sz w:val="14"/>
                <w:szCs w:val="14"/>
              </w:rPr>
            </w:pPr>
            <w:r w:rsidRPr="004557E9">
              <w:rPr>
                <w:sz w:val="14"/>
                <w:szCs w:val="14"/>
              </w:rPr>
              <w:t>4.34%</w:t>
            </w:r>
          </w:p>
        </w:tc>
        <w:tc>
          <w:tcPr>
            <w:tcW w:w="900" w:type="dxa"/>
            <w:tcBorders>
              <w:top w:val="nil"/>
              <w:left w:val="nil"/>
              <w:bottom w:val="nil"/>
              <w:right w:val="nil"/>
            </w:tcBorders>
            <w:shd w:val="clear" w:color="auto" w:fill="auto"/>
            <w:vAlign w:val="bottom"/>
          </w:tcPr>
          <w:p w:rsidRPr="004557E9" w:rsidR="004557E9" w:rsidP="004557E9" w:rsidRDefault="004557E9" w14:paraId="4BD21F48" w14:textId="61DE4413">
            <w:pPr>
              <w:jc w:val="right"/>
              <w:rPr>
                <w:sz w:val="14"/>
                <w:szCs w:val="14"/>
              </w:rPr>
            </w:pPr>
            <w:r w:rsidRPr="004557E9">
              <w:rPr>
                <w:sz w:val="14"/>
                <w:szCs w:val="14"/>
              </w:rPr>
              <w:t>3.84%</w:t>
            </w:r>
          </w:p>
        </w:tc>
      </w:tr>
      <w:tr w:rsidRPr="007132E1" w:rsidR="004557E9" w:rsidTr="00E6200E" w14:paraId="660FC830" w14:textId="77777777">
        <w:trPr>
          <w:trHeight w:val="20"/>
        </w:trPr>
        <w:tc>
          <w:tcPr>
            <w:tcW w:w="1255" w:type="dxa"/>
            <w:noWrap/>
            <w:vAlign w:val="bottom"/>
          </w:tcPr>
          <w:p w:rsidRPr="00030447" w:rsidR="004557E9" w:rsidP="004557E9" w:rsidRDefault="004557E9" w14:paraId="3D5767A4" w14:textId="77777777">
            <w:pPr>
              <w:jc w:val="right"/>
              <w:rPr>
                <w:sz w:val="14"/>
                <w:szCs w:val="14"/>
              </w:rPr>
            </w:pPr>
            <w:r w:rsidRPr="00030447">
              <w:rPr>
                <w:sz w:val="14"/>
                <w:szCs w:val="14"/>
              </w:rPr>
              <w:t>2016 Series A</w:t>
            </w:r>
          </w:p>
        </w:tc>
        <w:tc>
          <w:tcPr>
            <w:tcW w:w="256" w:type="dxa"/>
            <w:noWrap/>
            <w:vAlign w:val="bottom"/>
          </w:tcPr>
          <w:p w:rsidRPr="007132E1" w:rsidR="004557E9" w:rsidP="004557E9" w:rsidRDefault="004557E9" w14:paraId="5D2FC0BD" w14:textId="77777777">
            <w:pPr>
              <w:jc w:val="right"/>
              <w:rPr>
                <w:sz w:val="14"/>
                <w:szCs w:val="14"/>
              </w:rPr>
            </w:pPr>
          </w:p>
        </w:tc>
        <w:tc>
          <w:tcPr>
            <w:tcW w:w="1099" w:type="dxa"/>
            <w:tcBorders>
              <w:top w:val="nil"/>
              <w:left w:val="nil"/>
              <w:bottom w:val="nil"/>
              <w:right w:val="nil"/>
            </w:tcBorders>
            <w:shd w:val="clear" w:color="auto" w:fill="auto"/>
            <w:noWrap/>
            <w:vAlign w:val="bottom"/>
          </w:tcPr>
          <w:p w:rsidRPr="00E6200E" w:rsidR="004557E9" w:rsidP="004557E9" w:rsidRDefault="004557E9" w14:paraId="0C01FB6A" w14:textId="3688B722">
            <w:pPr>
              <w:jc w:val="right"/>
              <w:rPr>
                <w:sz w:val="14"/>
                <w:szCs w:val="14"/>
              </w:rPr>
            </w:pPr>
            <w:r w:rsidRPr="00E6200E">
              <w:rPr>
                <w:sz w:val="14"/>
                <w:szCs w:val="14"/>
              </w:rPr>
              <w:t xml:space="preserve">25,499,591 </w:t>
            </w:r>
          </w:p>
        </w:tc>
        <w:tc>
          <w:tcPr>
            <w:tcW w:w="1170" w:type="dxa"/>
            <w:tcBorders>
              <w:top w:val="nil"/>
              <w:left w:val="nil"/>
              <w:bottom w:val="nil"/>
              <w:right w:val="nil"/>
            </w:tcBorders>
            <w:shd w:val="clear" w:color="auto" w:fill="auto"/>
            <w:noWrap/>
            <w:vAlign w:val="bottom"/>
          </w:tcPr>
          <w:p w:rsidRPr="0039586C" w:rsidR="004557E9" w:rsidP="004557E9" w:rsidRDefault="004557E9" w14:paraId="4316C270" w14:textId="15E7A0AE">
            <w:pPr>
              <w:jc w:val="right"/>
              <w:rPr>
                <w:sz w:val="14"/>
                <w:szCs w:val="14"/>
              </w:rPr>
            </w:pPr>
            <w:r w:rsidRPr="0039586C">
              <w:rPr>
                <w:sz w:val="14"/>
                <w:szCs w:val="14"/>
              </w:rPr>
              <w:t xml:space="preserve">520,696 </w:t>
            </w:r>
          </w:p>
        </w:tc>
        <w:tc>
          <w:tcPr>
            <w:tcW w:w="1080" w:type="dxa"/>
            <w:tcBorders>
              <w:top w:val="nil"/>
              <w:left w:val="nil"/>
              <w:bottom w:val="nil"/>
              <w:right w:val="nil"/>
            </w:tcBorders>
            <w:shd w:val="clear" w:color="auto" w:fill="auto"/>
            <w:noWrap/>
            <w:vAlign w:val="bottom"/>
          </w:tcPr>
          <w:p w:rsidRPr="0039586C" w:rsidR="004557E9" w:rsidP="004557E9" w:rsidRDefault="004557E9" w14:paraId="5B2E0D9D" w14:textId="7A108FDD">
            <w:pPr>
              <w:jc w:val="right"/>
              <w:rPr>
                <w:sz w:val="14"/>
                <w:szCs w:val="14"/>
              </w:rPr>
            </w:pPr>
            <w:r w:rsidRPr="0039586C">
              <w:rPr>
                <w:sz w:val="14"/>
                <w:szCs w:val="14"/>
              </w:rPr>
              <w:t xml:space="preserve">24,702,780 </w:t>
            </w:r>
          </w:p>
        </w:tc>
        <w:tc>
          <w:tcPr>
            <w:tcW w:w="1350" w:type="dxa"/>
            <w:tcBorders>
              <w:top w:val="nil"/>
              <w:left w:val="nil"/>
              <w:bottom w:val="nil"/>
              <w:right w:val="nil"/>
            </w:tcBorders>
            <w:shd w:val="clear" w:color="auto" w:fill="auto"/>
            <w:noWrap/>
            <w:vAlign w:val="bottom"/>
          </w:tcPr>
          <w:p w:rsidRPr="0039586C" w:rsidR="004557E9" w:rsidP="004557E9" w:rsidRDefault="004557E9" w14:paraId="10CD3274" w14:textId="689F4648">
            <w:pPr>
              <w:jc w:val="right"/>
              <w:rPr>
                <w:sz w:val="14"/>
                <w:szCs w:val="14"/>
              </w:rPr>
            </w:pPr>
            <w:r w:rsidRPr="0039586C">
              <w:rPr>
                <w:sz w:val="14"/>
                <w:szCs w:val="14"/>
              </w:rPr>
              <w:t xml:space="preserve">702,005 </w:t>
            </w:r>
          </w:p>
        </w:tc>
        <w:tc>
          <w:tcPr>
            <w:tcW w:w="1260" w:type="dxa"/>
            <w:tcBorders>
              <w:top w:val="nil"/>
              <w:left w:val="nil"/>
              <w:bottom w:val="nil"/>
              <w:right w:val="nil"/>
            </w:tcBorders>
            <w:shd w:val="clear" w:color="auto" w:fill="auto"/>
            <w:noWrap/>
            <w:vAlign w:val="bottom"/>
          </w:tcPr>
          <w:p w:rsidRPr="004557E9" w:rsidR="004557E9" w:rsidP="004557E9" w:rsidRDefault="004557E9" w14:paraId="2B154DA1" w14:textId="23AB8AE7">
            <w:pPr>
              <w:jc w:val="right"/>
              <w:rPr>
                <w:sz w:val="14"/>
                <w:szCs w:val="14"/>
              </w:rPr>
            </w:pPr>
            <w:r w:rsidRPr="004557E9">
              <w:rPr>
                <w:sz w:val="14"/>
                <w:szCs w:val="14"/>
              </w:rPr>
              <w:t xml:space="preserve">23,730,877 </w:t>
            </w:r>
          </w:p>
        </w:tc>
        <w:tc>
          <w:tcPr>
            <w:tcW w:w="1350" w:type="dxa"/>
            <w:tcBorders>
              <w:top w:val="nil"/>
              <w:left w:val="nil"/>
              <w:bottom w:val="nil"/>
              <w:right w:val="nil"/>
            </w:tcBorders>
            <w:shd w:val="clear" w:color="auto" w:fill="auto"/>
            <w:noWrap/>
            <w:vAlign w:val="bottom"/>
          </w:tcPr>
          <w:p w:rsidRPr="004557E9" w:rsidR="004557E9" w:rsidP="004557E9" w:rsidRDefault="004557E9" w14:paraId="6B4FE9E2" w14:textId="22A6ABAD">
            <w:pPr>
              <w:jc w:val="right"/>
              <w:rPr>
                <w:sz w:val="14"/>
                <w:szCs w:val="14"/>
              </w:rPr>
            </w:pPr>
            <w:r w:rsidRPr="004557E9">
              <w:rPr>
                <w:sz w:val="14"/>
                <w:szCs w:val="14"/>
              </w:rPr>
              <w:t xml:space="preserve">411,036 </w:t>
            </w:r>
          </w:p>
        </w:tc>
        <w:tc>
          <w:tcPr>
            <w:tcW w:w="1170" w:type="dxa"/>
            <w:tcBorders>
              <w:top w:val="nil"/>
              <w:left w:val="nil"/>
              <w:bottom w:val="nil"/>
              <w:right w:val="nil"/>
            </w:tcBorders>
            <w:shd w:val="clear" w:color="auto" w:fill="auto"/>
            <w:noWrap/>
            <w:vAlign w:val="bottom"/>
          </w:tcPr>
          <w:p w:rsidRPr="004557E9" w:rsidR="004557E9" w:rsidP="004557E9" w:rsidRDefault="004557E9" w14:paraId="73CC7F7B" w14:textId="5ADD34F9">
            <w:pPr>
              <w:jc w:val="right"/>
              <w:rPr>
                <w:sz w:val="14"/>
                <w:szCs w:val="14"/>
              </w:rPr>
            </w:pPr>
            <w:r w:rsidRPr="004557E9">
              <w:rPr>
                <w:sz w:val="14"/>
                <w:szCs w:val="14"/>
              </w:rPr>
              <w:t xml:space="preserve">23,054,354 </w:t>
            </w:r>
          </w:p>
        </w:tc>
        <w:tc>
          <w:tcPr>
            <w:tcW w:w="1260" w:type="dxa"/>
            <w:tcBorders>
              <w:top w:val="nil"/>
              <w:left w:val="nil"/>
              <w:bottom w:val="nil"/>
              <w:right w:val="nil"/>
            </w:tcBorders>
            <w:shd w:val="clear" w:color="auto" w:fill="auto"/>
            <w:noWrap/>
            <w:vAlign w:val="bottom"/>
          </w:tcPr>
          <w:p w:rsidRPr="004557E9" w:rsidR="004557E9" w:rsidP="004557E9" w:rsidRDefault="004557E9" w14:paraId="07437F9B" w14:textId="26756527">
            <w:pPr>
              <w:jc w:val="right"/>
              <w:rPr>
                <w:sz w:val="14"/>
                <w:szCs w:val="14"/>
              </w:rPr>
            </w:pPr>
            <w:r w:rsidRPr="004557E9">
              <w:rPr>
                <w:sz w:val="14"/>
                <w:szCs w:val="14"/>
              </w:rPr>
              <w:t xml:space="preserve">394,177 </w:t>
            </w:r>
          </w:p>
        </w:tc>
        <w:tc>
          <w:tcPr>
            <w:tcW w:w="1080" w:type="dxa"/>
            <w:tcBorders>
              <w:top w:val="nil"/>
              <w:left w:val="nil"/>
              <w:bottom w:val="nil"/>
              <w:right w:val="nil"/>
            </w:tcBorders>
            <w:shd w:val="clear" w:color="auto" w:fill="auto"/>
            <w:noWrap/>
            <w:vAlign w:val="bottom"/>
          </w:tcPr>
          <w:p w:rsidRPr="004557E9" w:rsidR="004557E9" w:rsidP="004557E9" w:rsidRDefault="004557E9" w14:paraId="438322C4" w14:textId="7D8C39F1">
            <w:pPr>
              <w:jc w:val="right"/>
              <w:rPr>
                <w:sz w:val="14"/>
                <w:szCs w:val="14"/>
              </w:rPr>
            </w:pPr>
            <w:r w:rsidRPr="004557E9">
              <w:rPr>
                <w:sz w:val="14"/>
                <w:szCs w:val="14"/>
              </w:rPr>
              <w:t xml:space="preserve">22,398,544 </w:t>
            </w:r>
          </w:p>
        </w:tc>
        <w:tc>
          <w:tcPr>
            <w:tcW w:w="900" w:type="dxa"/>
            <w:tcBorders>
              <w:top w:val="nil"/>
              <w:left w:val="nil"/>
              <w:bottom w:val="nil"/>
              <w:right w:val="nil"/>
            </w:tcBorders>
            <w:shd w:val="clear" w:color="auto" w:fill="auto"/>
            <w:noWrap/>
            <w:vAlign w:val="bottom"/>
          </w:tcPr>
          <w:p w:rsidRPr="004557E9" w:rsidR="004557E9" w:rsidP="004557E9" w:rsidRDefault="004557E9" w14:paraId="18D9A1A8" w14:textId="5A29D4E0">
            <w:pPr>
              <w:jc w:val="right"/>
              <w:rPr>
                <w:sz w:val="14"/>
                <w:szCs w:val="14"/>
              </w:rPr>
            </w:pPr>
            <w:r w:rsidRPr="004557E9">
              <w:rPr>
                <w:sz w:val="14"/>
                <w:szCs w:val="14"/>
              </w:rPr>
              <w:t>4.52%</w:t>
            </w:r>
          </w:p>
        </w:tc>
        <w:tc>
          <w:tcPr>
            <w:tcW w:w="900" w:type="dxa"/>
            <w:tcBorders>
              <w:top w:val="nil"/>
              <w:left w:val="nil"/>
              <w:bottom w:val="nil"/>
              <w:right w:val="nil"/>
            </w:tcBorders>
            <w:shd w:val="clear" w:color="auto" w:fill="auto"/>
            <w:vAlign w:val="bottom"/>
          </w:tcPr>
          <w:p w:rsidRPr="004557E9" w:rsidR="004557E9" w:rsidP="004557E9" w:rsidRDefault="004557E9" w14:paraId="701B6572" w14:textId="72C658C0">
            <w:pPr>
              <w:jc w:val="right"/>
              <w:rPr>
                <w:sz w:val="14"/>
                <w:szCs w:val="14"/>
              </w:rPr>
            </w:pPr>
            <w:r w:rsidRPr="004557E9">
              <w:rPr>
                <w:sz w:val="14"/>
                <w:szCs w:val="14"/>
              </w:rPr>
              <w:t>4.01%</w:t>
            </w:r>
          </w:p>
        </w:tc>
      </w:tr>
      <w:tr w:rsidRPr="007132E1" w:rsidR="004557E9" w:rsidTr="00E6200E" w14:paraId="163697D1" w14:textId="77777777">
        <w:trPr>
          <w:trHeight w:val="20"/>
        </w:trPr>
        <w:tc>
          <w:tcPr>
            <w:tcW w:w="1255" w:type="dxa"/>
            <w:noWrap/>
            <w:vAlign w:val="bottom"/>
            <w:hideMark/>
          </w:tcPr>
          <w:p w:rsidRPr="00030447" w:rsidR="004557E9" w:rsidP="004557E9" w:rsidRDefault="004557E9" w14:paraId="067FCA5C" w14:textId="77777777">
            <w:pPr>
              <w:jc w:val="right"/>
              <w:rPr>
                <w:sz w:val="14"/>
                <w:szCs w:val="14"/>
              </w:rPr>
            </w:pPr>
            <w:r w:rsidRPr="00030447">
              <w:rPr>
                <w:sz w:val="14"/>
                <w:szCs w:val="14"/>
              </w:rPr>
              <w:t>2017 Series A</w:t>
            </w:r>
          </w:p>
        </w:tc>
        <w:tc>
          <w:tcPr>
            <w:tcW w:w="256" w:type="dxa"/>
            <w:noWrap/>
            <w:vAlign w:val="bottom"/>
            <w:hideMark/>
          </w:tcPr>
          <w:p w:rsidRPr="007132E1" w:rsidR="004557E9" w:rsidP="004557E9" w:rsidRDefault="004557E9" w14:paraId="6F82D4A1"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092420F3" w14:textId="5A847DDD">
            <w:pPr>
              <w:jc w:val="right"/>
              <w:rPr>
                <w:sz w:val="14"/>
                <w:szCs w:val="14"/>
              </w:rPr>
            </w:pPr>
            <w:r w:rsidRPr="00E6200E">
              <w:rPr>
                <w:sz w:val="14"/>
                <w:szCs w:val="14"/>
              </w:rPr>
              <w:t xml:space="preserve">13,691,818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4A10B283" w14:textId="4E55B755">
            <w:pPr>
              <w:jc w:val="right"/>
              <w:rPr>
                <w:sz w:val="14"/>
                <w:szCs w:val="14"/>
              </w:rPr>
            </w:pPr>
            <w:r w:rsidRPr="0039586C">
              <w:rPr>
                <w:sz w:val="14"/>
                <w:szCs w:val="14"/>
              </w:rPr>
              <w:t xml:space="preserve">284,917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7D9D3A2E" w14:textId="163AEAE6">
            <w:pPr>
              <w:jc w:val="right"/>
              <w:rPr>
                <w:sz w:val="14"/>
                <w:szCs w:val="14"/>
              </w:rPr>
            </w:pPr>
            <w:r w:rsidRPr="0039586C">
              <w:rPr>
                <w:sz w:val="14"/>
                <w:szCs w:val="14"/>
              </w:rPr>
              <w:t xml:space="preserve">13,303,788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13CDFAD0" w14:textId="6BB709CC">
            <w:pPr>
              <w:jc w:val="right"/>
              <w:rPr>
                <w:sz w:val="14"/>
                <w:szCs w:val="14"/>
              </w:rPr>
            </w:pPr>
            <w:r w:rsidRPr="0039586C">
              <w:rPr>
                <w:sz w:val="14"/>
                <w:szCs w:val="14"/>
              </w:rPr>
              <w:t xml:space="preserve">246,883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601BBA07" w14:textId="1F0EADEA">
            <w:pPr>
              <w:jc w:val="right"/>
              <w:rPr>
                <w:sz w:val="14"/>
                <w:szCs w:val="14"/>
              </w:rPr>
            </w:pPr>
            <w:r w:rsidRPr="004557E9">
              <w:rPr>
                <w:sz w:val="14"/>
                <w:szCs w:val="14"/>
              </w:rPr>
              <w:t xml:space="preserve">12,954,419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22BC8ECA" w14:textId="0EBC8E1F">
            <w:pPr>
              <w:jc w:val="right"/>
              <w:rPr>
                <w:sz w:val="14"/>
                <w:szCs w:val="14"/>
              </w:rPr>
            </w:pPr>
            <w:r w:rsidRPr="004557E9">
              <w:rPr>
                <w:sz w:val="14"/>
                <w:szCs w:val="14"/>
              </w:rPr>
              <w:t xml:space="preserve">180,284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36BE929B" w14:textId="65FA991A">
            <w:pPr>
              <w:jc w:val="right"/>
              <w:rPr>
                <w:sz w:val="14"/>
                <w:szCs w:val="14"/>
              </w:rPr>
            </w:pPr>
            <w:r w:rsidRPr="004557E9">
              <w:rPr>
                <w:sz w:val="14"/>
                <w:szCs w:val="14"/>
              </w:rPr>
              <w:t xml:space="preserve">12,672,273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480B1921" w14:textId="6E1B4B41">
            <w:pPr>
              <w:jc w:val="right"/>
              <w:rPr>
                <w:sz w:val="14"/>
                <w:szCs w:val="14"/>
              </w:rPr>
            </w:pPr>
            <w:r w:rsidRPr="004557E9">
              <w:rPr>
                <w:sz w:val="14"/>
                <w:szCs w:val="14"/>
              </w:rPr>
              <w:t xml:space="preserve">202,107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6CCFD224" w14:textId="67B379E4">
            <w:pPr>
              <w:jc w:val="right"/>
              <w:rPr>
                <w:sz w:val="14"/>
                <w:szCs w:val="14"/>
              </w:rPr>
            </w:pPr>
            <w:r w:rsidRPr="004557E9">
              <w:rPr>
                <w:sz w:val="14"/>
                <w:szCs w:val="14"/>
              </w:rPr>
              <w:t xml:space="preserve">12,368,634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7BBD9008" w14:textId="390F6D0E">
            <w:pPr>
              <w:jc w:val="right"/>
              <w:rPr>
                <w:sz w:val="14"/>
                <w:szCs w:val="14"/>
              </w:rPr>
            </w:pPr>
            <w:r w:rsidRPr="004557E9">
              <w:rPr>
                <w:sz w:val="14"/>
                <w:szCs w:val="14"/>
              </w:rPr>
              <w:t>4.26%</w:t>
            </w:r>
          </w:p>
        </w:tc>
        <w:tc>
          <w:tcPr>
            <w:tcW w:w="900" w:type="dxa"/>
            <w:tcBorders>
              <w:top w:val="nil"/>
              <w:left w:val="nil"/>
              <w:bottom w:val="nil"/>
              <w:right w:val="nil"/>
            </w:tcBorders>
            <w:shd w:val="clear" w:color="auto" w:fill="auto"/>
            <w:vAlign w:val="bottom"/>
          </w:tcPr>
          <w:p w:rsidRPr="004557E9" w:rsidR="004557E9" w:rsidP="004557E9" w:rsidRDefault="004557E9" w14:paraId="324B84E8" w14:textId="5E2D0F65">
            <w:pPr>
              <w:jc w:val="right"/>
              <w:rPr>
                <w:sz w:val="14"/>
                <w:szCs w:val="14"/>
              </w:rPr>
            </w:pPr>
            <w:r w:rsidRPr="004557E9">
              <w:rPr>
                <w:sz w:val="14"/>
                <w:szCs w:val="14"/>
              </w:rPr>
              <w:t>3.76%</w:t>
            </w:r>
          </w:p>
        </w:tc>
      </w:tr>
      <w:tr w:rsidRPr="007132E1" w:rsidR="004557E9" w:rsidTr="00E6200E" w14:paraId="5A67553D" w14:textId="77777777">
        <w:trPr>
          <w:trHeight w:val="20"/>
        </w:trPr>
        <w:tc>
          <w:tcPr>
            <w:tcW w:w="1255" w:type="dxa"/>
            <w:noWrap/>
            <w:vAlign w:val="bottom"/>
            <w:hideMark/>
          </w:tcPr>
          <w:p w:rsidRPr="00030447" w:rsidR="004557E9" w:rsidP="004557E9" w:rsidRDefault="004557E9" w14:paraId="476AF71B" w14:textId="77777777">
            <w:pPr>
              <w:jc w:val="right"/>
              <w:rPr>
                <w:sz w:val="14"/>
                <w:szCs w:val="14"/>
              </w:rPr>
            </w:pPr>
            <w:r w:rsidRPr="00030447">
              <w:rPr>
                <w:sz w:val="14"/>
                <w:szCs w:val="14"/>
              </w:rPr>
              <w:t>2017 Series B</w:t>
            </w:r>
          </w:p>
        </w:tc>
        <w:tc>
          <w:tcPr>
            <w:tcW w:w="256" w:type="dxa"/>
            <w:noWrap/>
            <w:vAlign w:val="bottom"/>
            <w:hideMark/>
          </w:tcPr>
          <w:p w:rsidRPr="007132E1" w:rsidR="004557E9" w:rsidP="004557E9" w:rsidRDefault="004557E9" w14:paraId="6D9699E7"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459B1D9E" w14:textId="4E2422EF">
            <w:pPr>
              <w:jc w:val="right"/>
              <w:rPr>
                <w:sz w:val="14"/>
                <w:szCs w:val="14"/>
              </w:rPr>
            </w:pPr>
            <w:r w:rsidRPr="00E6200E">
              <w:rPr>
                <w:sz w:val="14"/>
                <w:szCs w:val="14"/>
              </w:rPr>
              <w:t xml:space="preserve">17,468,633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6ACC030C" w14:textId="12CC09C2">
            <w:pPr>
              <w:jc w:val="right"/>
              <w:rPr>
                <w:sz w:val="14"/>
                <w:szCs w:val="14"/>
              </w:rPr>
            </w:pPr>
            <w:r w:rsidRPr="0039586C">
              <w:rPr>
                <w:sz w:val="14"/>
                <w:szCs w:val="14"/>
              </w:rPr>
              <w:t xml:space="preserve">535,210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2F9DDC98" w14:textId="076D9CDD">
            <w:pPr>
              <w:jc w:val="right"/>
              <w:rPr>
                <w:sz w:val="14"/>
                <w:szCs w:val="14"/>
              </w:rPr>
            </w:pPr>
            <w:r w:rsidRPr="0039586C">
              <w:rPr>
                <w:sz w:val="14"/>
                <w:szCs w:val="14"/>
              </w:rPr>
              <w:t xml:space="preserve">16,816,400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56248929" w14:textId="59A9AFC7">
            <w:pPr>
              <w:jc w:val="right"/>
              <w:rPr>
                <w:sz w:val="14"/>
                <w:szCs w:val="14"/>
              </w:rPr>
            </w:pPr>
            <w:r w:rsidRPr="0039586C">
              <w:rPr>
                <w:sz w:val="14"/>
                <w:szCs w:val="14"/>
              </w:rPr>
              <w:t xml:space="preserve">566,231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52AED0D8" w14:textId="6281F9A9">
            <w:pPr>
              <w:jc w:val="right"/>
              <w:rPr>
                <w:sz w:val="14"/>
                <w:szCs w:val="14"/>
              </w:rPr>
            </w:pPr>
            <w:r w:rsidRPr="004557E9">
              <w:rPr>
                <w:sz w:val="14"/>
                <w:szCs w:val="14"/>
              </w:rPr>
              <w:t xml:space="preserve">16,134,542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178EDE57" w14:textId="3F9235DD">
            <w:pPr>
              <w:jc w:val="right"/>
              <w:rPr>
                <w:sz w:val="14"/>
                <w:szCs w:val="14"/>
              </w:rPr>
            </w:pPr>
            <w:r w:rsidRPr="004557E9">
              <w:rPr>
                <w:sz w:val="14"/>
                <w:szCs w:val="14"/>
              </w:rPr>
              <w:t xml:space="preserve">235,592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5EF46A59" w14:textId="2A0A3180">
            <w:pPr>
              <w:jc w:val="right"/>
              <w:rPr>
                <w:sz w:val="14"/>
                <w:szCs w:val="14"/>
              </w:rPr>
            </w:pPr>
            <w:r w:rsidRPr="004557E9">
              <w:rPr>
                <w:sz w:val="14"/>
                <w:szCs w:val="14"/>
              </w:rPr>
              <w:t xml:space="preserve">15,785,679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61A0C1C1" w14:textId="5C5BD3E9">
            <w:pPr>
              <w:jc w:val="right"/>
              <w:rPr>
                <w:sz w:val="14"/>
                <w:szCs w:val="14"/>
              </w:rPr>
            </w:pPr>
            <w:r w:rsidRPr="004557E9">
              <w:rPr>
                <w:sz w:val="14"/>
                <w:szCs w:val="14"/>
              </w:rPr>
              <w:t xml:space="preserve">155,377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6F35F8C1" w14:textId="2C566129">
            <w:pPr>
              <w:jc w:val="right"/>
              <w:rPr>
                <w:sz w:val="14"/>
                <w:szCs w:val="14"/>
              </w:rPr>
            </w:pPr>
            <w:r w:rsidRPr="004557E9">
              <w:rPr>
                <w:sz w:val="14"/>
                <w:szCs w:val="14"/>
              </w:rPr>
              <w:t xml:space="preserve">15,517,197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0494F6AF" w14:textId="2B67B18A">
            <w:pPr>
              <w:jc w:val="right"/>
              <w:rPr>
                <w:sz w:val="14"/>
                <w:szCs w:val="14"/>
              </w:rPr>
            </w:pPr>
            <w:r w:rsidRPr="004557E9">
              <w:rPr>
                <w:sz w:val="14"/>
                <w:szCs w:val="14"/>
              </w:rPr>
              <w:t>4.45%</w:t>
            </w:r>
          </w:p>
        </w:tc>
        <w:tc>
          <w:tcPr>
            <w:tcW w:w="900" w:type="dxa"/>
            <w:tcBorders>
              <w:top w:val="nil"/>
              <w:left w:val="nil"/>
              <w:bottom w:val="nil"/>
              <w:right w:val="nil"/>
            </w:tcBorders>
            <w:shd w:val="clear" w:color="auto" w:fill="auto"/>
            <w:vAlign w:val="bottom"/>
          </w:tcPr>
          <w:p w:rsidRPr="004557E9" w:rsidR="004557E9" w:rsidP="004557E9" w:rsidRDefault="004557E9" w14:paraId="61C840B5" w14:textId="01EB28CC">
            <w:pPr>
              <w:jc w:val="right"/>
              <w:rPr>
                <w:sz w:val="14"/>
                <w:szCs w:val="14"/>
              </w:rPr>
            </w:pPr>
            <w:r w:rsidRPr="004557E9">
              <w:rPr>
                <w:sz w:val="14"/>
                <w:szCs w:val="14"/>
              </w:rPr>
              <w:t>3.95%</w:t>
            </w:r>
          </w:p>
        </w:tc>
      </w:tr>
      <w:tr w:rsidRPr="007132E1" w:rsidR="004557E9" w:rsidTr="00E6200E" w14:paraId="223134C0" w14:textId="77777777">
        <w:trPr>
          <w:trHeight w:val="20"/>
        </w:trPr>
        <w:tc>
          <w:tcPr>
            <w:tcW w:w="1255" w:type="dxa"/>
            <w:noWrap/>
            <w:vAlign w:val="bottom"/>
            <w:hideMark/>
          </w:tcPr>
          <w:p w:rsidRPr="00030447" w:rsidR="004557E9" w:rsidP="004557E9" w:rsidRDefault="004557E9" w14:paraId="493DFE2B" w14:textId="77777777">
            <w:pPr>
              <w:jc w:val="right"/>
              <w:rPr>
                <w:sz w:val="14"/>
                <w:szCs w:val="14"/>
              </w:rPr>
            </w:pPr>
            <w:r w:rsidRPr="00030447">
              <w:rPr>
                <w:sz w:val="14"/>
                <w:szCs w:val="14"/>
              </w:rPr>
              <w:t>2017 Series C</w:t>
            </w:r>
          </w:p>
        </w:tc>
        <w:tc>
          <w:tcPr>
            <w:tcW w:w="256" w:type="dxa"/>
            <w:noWrap/>
            <w:vAlign w:val="bottom"/>
            <w:hideMark/>
          </w:tcPr>
          <w:p w:rsidRPr="007132E1" w:rsidR="004557E9" w:rsidP="004557E9" w:rsidRDefault="004557E9" w14:paraId="6A4C9EDF"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1877B664" w14:textId="3EA159A0">
            <w:pPr>
              <w:jc w:val="right"/>
              <w:rPr>
                <w:sz w:val="14"/>
                <w:szCs w:val="14"/>
              </w:rPr>
            </w:pPr>
            <w:r w:rsidRPr="00E6200E">
              <w:rPr>
                <w:sz w:val="14"/>
                <w:szCs w:val="14"/>
              </w:rPr>
              <w:t xml:space="preserve">16,682,034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439CEAF3" w14:textId="4B93205C">
            <w:pPr>
              <w:jc w:val="right"/>
              <w:rPr>
                <w:sz w:val="14"/>
                <w:szCs w:val="14"/>
              </w:rPr>
            </w:pPr>
            <w:r w:rsidRPr="0039586C">
              <w:rPr>
                <w:sz w:val="14"/>
                <w:szCs w:val="14"/>
              </w:rPr>
              <w:t xml:space="preserve">727,078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75EE5732" w14:textId="6BFC7FED">
            <w:pPr>
              <w:jc w:val="right"/>
              <w:rPr>
                <w:sz w:val="14"/>
                <w:szCs w:val="14"/>
              </w:rPr>
            </w:pPr>
            <w:r w:rsidRPr="0039586C">
              <w:rPr>
                <w:sz w:val="14"/>
                <w:szCs w:val="14"/>
              </w:rPr>
              <w:t xml:space="preserve">15,837,013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53942115" w14:textId="0B87F889">
            <w:pPr>
              <w:jc w:val="right"/>
              <w:rPr>
                <w:sz w:val="14"/>
                <w:szCs w:val="14"/>
              </w:rPr>
            </w:pPr>
            <w:r w:rsidRPr="0039586C">
              <w:rPr>
                <w:sz w:val="14"/>
                <w:szCs w:val="14"/>
              </w:rPr>
              <w:t xml:space="preserve">479,843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74C60FA6" w14:textId="370223C7">
            <w:pPr>
              <w:jc w:val="right"/>
              <w:rPr>
                <w:sz w:val="14"/>
                <w:szCs w:val="14"/>
              </w:rPr>
            </w:pPr>
            <w:r w:rsidRPr="004557E9">
              <w:rPr>
                <w:sz w:val="14"/>
                <w:szCs w:val="14"/>
              </w:rPr>
              <w:t xml:space="preserve">15,243,220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6D533828" w14:textId="31C0E679">
            <w:pPr>
              <w:jc w:val="right"/>
              <w:rPr>
                <w:sz w:val="14"/>
                <w:szCs w:val="14"/>
              </w:rPr>
            </w:pPr>
            <w:r w:rsidRPr="004557E9">
              <w:rPr>
                <w:sz w:val="14"/>
                <w:szCs w:val="14"/>
              </w:rPr>
              <w:t xml:space="preserve">116,690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2C9E4341" w14:textId="4CF50978">
            <w:pPr>
              <w:jc w:val="right"/>
              <w:rPr>
                <w:sz w:val="14"/>
                <w:szCs w:val="14"/>
              </w:rPr>
            </w:pPr>
            <w:r w:rsidRPr="004557E9">
              <w:rPr>
                <w:sz w:val="14"/>
                <w:szCs w:val="14"/>
              </w:rPr>
              <w:t xml:space="preserve">15,014,156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4E86DDAB" w14:textId="4F209DD4">
            <w:pPr>
              <w:jc w:val="right"/>
              <w:rPr>
                <w:sz w:val="14"/>
                <w:szCs w:val="14"/>
              </w:rPr>
            </w:pPr>
            <w:r w:rsidRPr="004557E9">
              <w:rPr>
                <w:sz w:val="14"/>
                <w:szCs w:val="14"/>
              </w:rPr>
              <w:t xml:space="preserve">291,340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26F2C6C9" w14:textId="35A5BED1">
            <w:pPr>
              <w:jc w:val="right"/>
              <w:rPr>
                <w:sz w:val="14"/>
                <w:szCs w:val="14"/>
              </w:rPr>
            </w:pPr>
            <w:r w:rsidRPr="004557E9">
              <w:rPr>
                <w:sz w:val="14"/>
                <w:szCs w:val="14"/>
              </w:rPr>
              <w:t xml:space="preserve">14,610,422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4AC0C271" w14:textId="1D7EF44D">
            <w:pPr>
              <w:jc w:val="right"/>
              <w:rPr>
                <w:sz w:val="14"/>
                <w:szCs w:val="14"/>
              </w:rPr>
            </w:pPr>
            <w:r w:rsidRPr="004557E9">
              <w:rPr>
                <w:sz w:val="14"/>
                <w:szCs w:val="14"/>
              </w:rPr>
              <w:t>4.57%</w:t>
            </w:r>
          </w:p>
        </w:tc>
        <w:tc>
          <w:tcPr>
            <w:tcW w:w="900" w:type="dxa"/>
            <w:tcBorders>
              <w:top w:val="nil"/>
              <w:left w:val="nil"/>
              <w:bottom w:val="nil"/>
              <w:right w:val="nil"/>
            </w:tcBorders>
            <w:shd w:val="clear" w:color="auto" w:fill="auto"/>
            <w:vAlign w:val="bottom"/>
          </w:tcPr>
          <w:p w:rsidRPr="004557E9" w:rsidR="004557E9" w:rsidP="004557E9" w:rsidRDefault="004557E9" w14:paraId="5FF05672" w14:textId="5DAB2BFF">
            <w:pPr>
              <w:jc w:val="right"/>
              <w:rPr>
                <w:sz w:val="14"/>
                <w:szCs w:val="14"/>
              </w:rPr>
            </w:pPr>
            <w:r w:rsidRPr="004557E9">
              <w:rPr>
                <w:sz w:val="14"/>
                <w:szCs w:val="14"/>
              </w:rPr>
              <w:t>4.06%</w:t>
            </w:r>
          </w:p>
        </w:tc>
      </w:tr>
      <w:tr w:rsidRPr="007132E1" w:rsidR="004557E9" w:rsidTr="00E6200E" w14:paraId="2CFD88FF" w14:textId="77777777">
        <w:trPr>
          <w:trHeight w:val="20"/>
        </w:trPr>
        <w:tc>
          <w:tcPr>
            <w:tcW w:w="1255" w:type="dxa"/>
            <w:noWrap/>
            <w:vAlign w:val="bottom"/>
            <w:hideMark/>
          </w:tcPr>
          <w:p w:rsidRPr="00030447" w:rsidR="004557E9" w:rsidP="004557E9" w:rsidRDefault="004557E9" w14:paraId="54C15B5A" w14:textId="77777777">
            <w:pPr>
              <w:jc w:val="right"/>
              <w:rPr>
                <w:sz w:val="14"/>
                <w:szCs w:val="14"/>
              </w:rPr>
            </w:pPr>
            <w:r w:rsidRPr="00030447">
              <w:rPr>
                <w:sz w:val="14"/>
                <w:szCs w:val="14"/>
              </w:rPr>
              <w:t>2018 Series A</w:t>
            </w:r>
          </w:p>
        </w:tc>
        <w:tc>
          <w:tcPr>
            <w:tcW w:w="256" w:type="dxa"/>
            <w:noWrap/>
            <w:vAlign w:val="bottom"/>
            <w:hideMark/>
          </w:tcPr>
          <w:p w:rsidRPr="007132E1" w:rsidR="004557E9" w:rsidP="004557E9" w:rsidRDefault="004557E9" w14:paraId="18DA6EFA"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0EE03A26" w14:textId="6745D215">
            <w:pPr>
              <w:jc w:val="right"/>
              <w:rPr>
                <w:sz w:val="14"/>
                <w:szCs w:val="14"/>
              </w:rPr>
            </w:pPr>
            <w:r w:rsidRPr="00E6200E">
              <w:rPr>
                <w:sz w:val="14"/>
                <w:szCs w:val="14"/>
              </w:rPr>
              <w:t xml:space="preserve">17,310,705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4B2388AA" w14:textId="3DD22ABC">
            <w:pPr>
              <w:jc w:val="right"/>
              <w:rPr>
                <w:sz w:val="14"/>
                <w:szCs w:val="14"/>
              </w:rPr>
            </w:pPr>
            <w:r w:rsidRPr="0039586C">
              <w:rPr>
                <w:sz w:val="14"/>
                <w:szCs w:val="14"/>
              </w:rPr>
              <w:t xml:space="preserve">478,443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2D3EB8D3" w14:textId="1F4DF505">
            <w:pPr>
              <w:jc w:val="right"/>
              <w:rPr>
                <w:sz w:val="14"/>
                <w:szCs w:val="14"/>
              </w:rPr>
            </w:pPr>
            <w:r w:rsidRPr="0039586C">
              <w:rPr>
                <w:sz w:val="14"/>
                <w:szCs w:val="14"/>
              </w:rPr>
              <w:t xml:space="preserve">16,740,608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5A45530A" w14:textId="5FEC2537">
            <w:pPr>
              <w:jc w:val="right"/>
              <w:rPr>
                <w:sz w:val="14"/>
                <w:szCs w:val="14"/>
              </w:rPr>
            </w:pPr>
            <w:r w:rsidRPr="0039586C">
              <w:rPr>
                <w:sz w:val="14"/>
                <w:szCs w:val="14"/>
              </w:rPr>
              <w:t xml:space="preserve">377,116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308F7F0D" w14:textId="32200FB2">
            <w:pPr>
              <w:jc w:val="right"/>
              <w:rPr>
                <w:sz w:val="14"/>
                <w:szCs w:val="14"/>
              </w:rPr>
            </w:pPr>
            <w:r w:rsidRPr="004557E9">
              <w:rPr>
                <w:sz w:val="14"/>
                <w:szCs w:val="14"/>
              </w:rPr>
              <w:t xml:space="preserve">16,273,329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0C09D617" w14:textId="217B7999">
            <w:pPr>
              <w:jc w:val="right"/>
              <w:rPr>
                <w:sz w:val="14"/>
                <w:szCs w:val="14"/>
              </w:rPr>
            </w:pPr>
            <w:r w:rsidRPr="004557E9">
              <w:rPr>
                <w:sz w:val="14"/>
                <w:szCs w:val="14"/>
              </w:rPr>
              <w:t xml:space="preserve">430,063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7066E4F4" w14:textId="13A7699F">
            <w:pPr>
              <w:jc w:val="right"/>
              <w:rPr>
                <w:sz w:val="14"/>
                <w:szCs w:val="14"/>
              </w:rPr>
            </w:pPr>
            <w:r w:rsidRPr="004557E9">
              <w:rPr>
                <w:sz w:val="14"/>
                <w:szCs w:val="14"/>
              </w:rPr>
              <w:t xml:space="preserve">15,755,172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366A521D" w14:textId="73DC5163">
            <w:pPr>
              <w:jc w:val="right"/>
              <w:rPr>
                <w:sz w:val="14"/>
                <w:szCs w:val="14"/>
              </w:rPr>
            </w:pPr>
            <w:r w:rsidRPr="004557E9">
              <w:rPr>
                <w:sz w:val="14"/>
                <w:szCs w:val="14"/>
              </w:rPr>
              <w:t xml:space="preserve">348,678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27DCE48C" w14:textId="45EC0A4A">
            <w:pPr>
              <w:jc w:val="right"/>
              <w:rPr>
                <w:sz w:val="14"/>
                <w:szCs w:val="14"/>
              </w:rPr>
            </w:pPr>
            <w:r w:rsidRPr="004557E9">
              <w:rPr>
                <w:sz w:val="14"/>
                <w:szCs w:val="14"/>
              </w:rPr>
              <w:t xml:space="preserve">15,319,196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6038A9AC" w14:textId="7CBD1413">
            <w:pPr>
              <w:jc w:val="right"/>
              <w:rPr>
                <w:sz w:val="14"/>
                <w:szCs w:val="14"/>
              </w:rPr>
            </w:pPr>
            <w:r w:rsidRPr="004557E9">
              <w:rPr>
                <w:sz w:val="14"/>
                <w:szCs w:val="14"/>
              </w:rPr>
              <w:t>4.52%</w:t>
            </w:r>
          </w:p>
        </w:tc>
        <w:tc>
          <w:tcPr>
            <w:tcW w:w="900" w:type="dxa"/>
            <w:tcBorders>
              <w:top w:val="nil"/>
              <w:left w:val="nil"/>
              <w:bottom w:val="nil"/>
              <w:right w:val="nil"/>
            </w:tcBorders>
            <w:shd w:val="clear" w:color="auto" w:fill="auto"/>
            <w:vAlign w:val="bottom"/>
          </w:tcPr>
          <w:p w:rsidRPr="004557E9" w:rsidR="004557E9" w:rsidP="004557E9" w:rsidRDefault="004557E9" w14:paraId="78D20B04" w14:textId="10E7A4B8">
            <w:pPr>
              <w:jc w:val="right"/>
              <w:rPr>
                <w:sz w:val="14"/>
                <w:szCs w:val="14"/>
              </w:rPr>
            </w:pPr>
            <w:r w:rsidRPr="004557E9">
              <w:rPr>
                <w:sz w:val="14"/>
                <w:szCs w:val="14"/>
              </w:rPr>
              <w:t>4.02%</w:t>
            </w:r>
          </w:p>
        </w:tc>
      </w:tr>
      <w:tr w:rsidRPr="007132E1" w:rsidR="004557E9" w:rsidTr="00E6200E" w14:paraId="3EE9D310" w14:textId="77777777">
        <w:trPr>
          <w:trHeight w:val="20"/>
        </w:trPr>
        <w:tc>
          <w:tcPr>
            <w:tcW w:w="1255" w:type="dxa"/>
            <w:noWrap/>
            <w:vAlign w:val="bottom"/>
            <w:hideMark/>
          </w:tcPr>
          <w:p w:rsidRPr="00030447" w:rsidR="004557E9" w:rsidP="004557E9" w:rsidRDefault="004557E9" w14:paraId="157D71E3" w14:textId="77777777">
            <w:pPr>
              <w:jc w:val="right"/>
              <w:rPr>
                <w:sz w:val="14"/>
                <w:szCs w:val="14"/>
              </w:rPr>
            </w:pPr>
            <w:r w:rsidRPr="00030447">
              <w:rPr>
                <w:sz w:val="14"/>
                <w:szCs w:val="14"/>
              </w:rPr>
              <w:t>2019 Series A</w:t>
            </w:r>
          </w:p>
        </w:tc>
        <w:tc>
          <w:tcPr>
            <w:tcW w:w="256" w:type="dxa"/>
            <w:noWrap/>
            <w:vAlign w:val="bottom"/>
            <w:hideMark/>
          </w:tcPr>
          <w:p w:rsidRPr="007132E1" w:rsidR="004557E9" w:rsidP="004557E9" w:rsidRDefault="004557E9" w14:paraId="0886BD60"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341BD049" w14:textId="6AD34169">
            <w:pPr>
              <w:jc w:val="right"/>
              <w:rPr>
                <w:sz w:val="14"/>
                <w:szCs w:val="14"/>
              </w:rPr>
            </w:pPr>
            <w:r w:rsidRPr="00E6200E">
              <w:rPr>
                <w:sz w:val="14"/>
                <w:szCs w:val="14"/>
              </w:rPr>
              <w:t xml:space="preserve">13,957,974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2A125424" w14:textId="1988F0E3">
            <w:pPr>
              <w:jc w:val="right"/>
              <w:rPr>
                <w:sz w:val="14"/>
                <w:szCs w:val="14"/>
              </w:rPr>
            </w:pPr>
            <w:r w:rsidRPr="0039586C">
              <w:rPr>
                <w:sz w:val="14"/>
                <w:szCs w:val="14"/>
              </w:rPr>
              <w:t xml:space="preserve">175,538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1C32B7D5" w14:textId="5EBDE967">
            <w:pPr>
              <w:jc w:val="right"/>
              <w:rPr>
                <w:sz w:val="14"/>
                <w:szCs w:val="14"/>
              </w:rPr>
            </w:pPr>
            <w:r w:rsidRPr="0039586C">
              <w:rPr>
                <w:sz w:val="14"/>
                <w:szCs w:val="14"/>
              </w:rPr>
              <w:t xml:space="preserve">13,712,653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60C3162E" w14:textId="5A99FCAD">
            <w:pPr>
              <w:jc w:val="right"/>
              <w:rPr>
                <w:sz w:val="14"/>
                <w:szCs w:val="14"/>
              </w:rPr>
            </w:pPr>
            <w:r w:rsidRPr="0039586C">
              <w:rPr>
                <w:sz w:val="14"/>
                <w:szCs w:val="14"/>
              </w:rPr>
              <w:t xml:space="preserve">239,935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3736DE91" w14:textId="0B48B670">
            <w:pPr>
              <w:jc w:val="right"/>
              <w:rPr>
                <w:sz w:val="14"/>
                <w:szCs w:val="14"/>
              </w:rPr>
            </w:pPr>
            <w:r w:rsidRPr="004557E9">
              <w:rPr>
                <w:sz w:val="14"/>
                <w:szCs w:val="14"/>
              </w:rPr>
              <w:t xml:space="preserve">13,402,452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4F05442E" w14:textId="79E89239">
            <w:pPr>
              <w:jc w:val="right"/>
              <w:rPr>
                <w:sz w:val="14"/>
                <w:szCs w:val="14"/>
              </w:rPr>
            </w:pPr>
            <w:r w:rsidRPr="004557E9">
              <w:rPr>
                <w:sz w:val="14"/>
                <w:szCs w:val="14"/>
              </w:rPr>
              <w:t xml:space="preserve">560,131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18157AF2" w14:textId="415B71D5">
            <w:pPr>
              <w:jc w:val="right"/>
              <w:rPr>
                <w:sz w:val="14"/>
                <w:szCs w:val="14"/>
              </w:rPr>
            </w:pPr>
            <w:r w:rsidRPr="004557E9">
              <w:rPr>
                <w:sz w:val="14"/>
                <w:szCs w:val="14"/>
              </w:rPr>
              <w:t xml:space="preserve">12,773,758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0B1A4E6A" w14:textId="24ED7819">
            <w:pPr>
              <w:jc w:val="right"/>
              <w:rPr>
                <w:sz w:val="14"/>
                <w:szCs w:val="14"/>
              </w:rPr>
            </w:pPr>
            <w:r w:rsidRPr="004557E9">
              <w:rPr>
                <w:sz w:val="14"/>
                <w:szCs w:val="14"/>
              </w:rPr>
              <w:t xml:space="preserve">163,726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0B3EEA57" w14:textId="21EB40F7">
            <w:pPr>
              <w:jc w:val="right"/>
              <w:rPr>
                <w:sz w:val="14"/>
                <w:szCs w:val="14"/>
              </w:rPr>
            </w:pPr>
            <w:r w:rsidRPr="004557E9">
              <w:rPr>
                <w:sz w:val="14"/>
                <w:szCs w:val="14"/>
              </w:rPr>
              <w:t xml:space="preserve">12,542,286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07B0B711" w14:textId="3AD4AE13">
            <w:pPr>
              <w:jc w:val="right"/>
              <w:rPr>
                <w:sz w:val="14"/>
                <w:szCs w:val="14"/>
              </w:rPr>
            </w:pPr>
            <w:r w:rsidRPr="004557E9">
              <w:rPr>
                <w:sz w:val="14"/>
                <w:szCs w:val="14"/>
              </w:rPr>
              <w:t>4.61%</w:t>
            </w:r>
          </w:p>
        </w:tc>
        <w:tc>
          <w:tcPr>
            <w:tcW w:w="900" w:type="dxa"/>
            <w:tcBorders>
              <w:top w:val="nil"/>
              <w:left w:val="nil"/>
              <w:bottom w:val="nil"/>
              <w:right w:val="nil"/>
            </w:tcBorders>
            <w:shd w:val="clear" w:color="auto" w:fill="auto"/>
            <w:vAlign w:val="bottom"/>
          </w:tcPr>
          <w:p w:rsidRPr="004557E9" w:rsidR="004557E9" w:rsidP="004557E9" w:rsidRDefault="004557E9" w14:paraId="216BC824" w14:textId="19B905F6">
            <w:pPr>
              <w:jc w:val="right"/>
              <w:rPr>
                <w:sz w:val="14"/>
                <w:szCs w:val="14"/>
              </w:rPr>
            </w:pPr>
            <w:r w:rsidRPr="004557E9">
              <w:rPr>
                <w:sz w:val="14"/>
                <w:szCs w:val="14"/>
              </w:rPr>
              <w:t>4.11%</w:t>
            </w:r>
          </w:p>
        </w:tc>
      </w:tr>
      <w:tr w:rsidRPr="007132E1" w:rsidR="004557E9" w:rsidTr="00E6200E" w14:paraId="12B06BCE" w14:textId="77777777">
        <w:trPr>
          <w:trHeight w:val="20"/>
        </w:trPr>
        <w:tc>
          <w:tcPr>
            <w:tcW w:w="1255" w:type="dxa"/>
            <w:noWrap/>
            <w:vAlign w:val="bottom"/>
            <w:hideMark/>
          </w:tcPr>
          <w:p w:rsidRPr="00030447" w:rsidR="004557E9" w:rsidP="004557E9" w:rsidRDefault="004557E9" w14:paraId="2B52D951" w14:textId="77777777">
            <w:pPr>
              <w:jc w:val="right"/>
              <w:rPr>
                <w:sz w:val="14"/>
                <w:szCs w:val="14"/>
              </w:rPr>
            </w:pPr>
            <w:r w:rsidRPr="00030447">
              <w:rPr>
                <w:sz w:val="14"/>
                <w:szCs w:val="14"/>
              </w:rPr>
              <w:t>2019 Series B</w:t>
            </w:r>
          </w:p>
        </w:tc>
        <w:tc>
          <w:tcPr>
            <w:tcW w:w="256" w:type="dxa"/>
            <w:noWrap/>
            <w:vAlign w:val="bottom"/>
            <w:hideMark/>
          </w:tcPr>
          <w:p w:rsidRPr="007132E1" w:rsidR="004557E9" w:rsidP="004557E9" w:rsidRDefault="004557E9" w14:paraId="2467BD5D"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3AD85075" w14:textId="486C4E5E">
            <w:pPr>
              <w:jc w:val="right"/>
              <w:rPr>
                <w:sz w:val="14"/>
                <w:szCs w:val="14"/>
              </w:rPr>
            </w:pPr>
            <w:r w:rsidRPr="00E6200E">
              <w:rPr>
                <w:sz w:val="14"/>
                <w:szCs w:val="14"/>
              </w:rPr>
              <w:t xml:space="preserve">26,005,693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179370C6" w14:textId="2463280C">
            <w:pPr>
              <w:jc w:val="right"/>
              <w:rPr>
                <w:sz w:val="14"/>
                <w:szCs w:val="14"/>
              </w:rPr>
            </w:pPr>
            <w:r w:rsidRPr="0039586C">
              <w:rPr>
                <w:sz w:val="14"/>
                <w:szCs w:val="14"/>
              </w:rPr>
              <w:t xml:space="preserve">593,982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0E5A0E5C" w14:textId="193CAA28">
            <w:pPr>
              <w:jc w:val="right"/>
              <w:rPr>
                <w:sz w:val="14"/>
                <w:szCs w:val="14"/>
              </w:rPr>
            </w:pPr>
            <w:r w:rsidRPr="0039586C">
              <w:rPr>
                <w:sz w:val="14"/>
                <w:szCs w:val="14"/>
              </w:rPr>
              <w:t xml:space="preserve">25,269,022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2FE59C44" w14:textId="13C716B5">
            <w:pPr>
              <w:jc w:val="right"/>
              <w:rPr>
                <w:sz w:val="14"/>
                <w:szCs w:val="14"/>
              </w:rPr>
            </w:pPr>
            <w:r w:rsidRPr="0039586C">
              <w:rPr>
                <w:sz w:val="14"/>
                <w:szCs w:val="14"/>
              </w:rPr>
              <w:t xml:space="preserve">358,672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16A8A310" w14:textId="2B8EB8F2">
            <w:pPr>
              <w:jc w:val="right"/>
              <w:rPr>
                <w:sz w:val="14"/>
                <w:szCs w:val="14"/>
              </w:rPr>
            </w:pPr>
            <w:r w:rsidRPr="004557E9">
              <w:rPr>
                <w:sz w:val="14"/>
                <w:szCs w:val="14"/>
              </w:rPr>
              <w:t xml:space="preserve">24,769,592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5E8465CB" w14:textId="7B655D19">
            <w:pPr>
              <w:jc w:val="right"/>
              <w:rPr>
                <w:sz w:val="14"/>
                <w:szCs w:val="14"/>
              </w:rPr>
            </w:pPr>
            <w:r w:rsidRPr="004557E9">
              <w:rPr>
                <w:sz w:val="14"/>
                <w:szCs w:val="14"/>
              </w:rPr>
              <w:t xml:space="preserve">16,433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1841F371" w14:textId="41BE40CB">
            <w:pPr>
              <w:jc w:val="right"/>
              <w:rPr>
                <w:sz w:val="14"/>
                <w:szCs w:val="14"/>
              </w:rPr>
            </w:pPr>
            <w:r w:rsidRPr="004557E9">
              <w:rPr>
                <w:sz w:val="14"/>
                <w:szCs w:val="14"/>
              </w:rPr>
              <w:t xml:space="preserve">24,612,272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3524EF99" w14:textId="3A0176E3">
            <w:pPr>
              <w:jc w:val="right"/>
              <w:rPr>
                <w:sz w:val="14"/>
                <w:szCs w:val="14"/>
              </w:rPr>
            </w:pPr>
            <w:r w:rsidRPr="004557E9">
              <w:rPr>
                <w:sz w:val="14"/>
                <w:szCs w:val="14"/>
              </w:rPr>
              <w:t xml:space="preserve">423,751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6508873D" w14:textId="6FD2E070">
            <w:pPr>
              <w:jc w:val="right"/>
              <w:rPr>
                <w:sz w:val="14"/>
                <w:szCs w:val="14"/>
              </w:rPr>
            </w:pPr>
            <w:r w:rsidRPr="004557E9">
              <w:rPr>
                <w:sz w:val="14"/>
                <w:szCs w:val="14"/>
              </w:rPr>
              <w:t xml:space="preserve">24,047,004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13391404" w14:textId="4C680AEF">
            <w:pPr>
              <w:jc w:val="right"/>
              <w:rPr>
                <w:sz w:val="14"/>
                <w:szCs w:val="14"/>
              </w:rPr>
            </w:pPr>
            <w:r w:rsidRPr="004557E9">
              <w:rPr>
                <w:sz w:val="14"/>
                <w:szCs w:val="14"/>
              </w:rPr>
              <w:t>3.82%</w:t>
            </w:r>
          </w:p>
        </w:tc>
        <w:tc>
          <w:tcPr>
            <w:tcW w:w="900" w:type="dxa"/>
            <w:tcBorders>
              <w:top w:val="nil"/>
              <w:left w:val="nil"/>
              <w:bottom w:val="nil"/>
              <w:right w:val="nil"/>
            </w:tcBorders>
            <w:shd w:val="clear" w:color="auto" w:fill="auto"/>
            <w:vAlign w:val="bottom"/>
          </w:tcPr>
          <w:p w:rsidRPr="004557E9" w:rsidR="004557E9" w:rsidP="004557E9" w:rsidRDefault="004557E9" w14:paraId="0FC1A3AA" w14:textId="61DFBAF6">
            <w:pPr>
              <w:jc w:val="right"/>
              <w:rPr>
                <w:sz w:val="14"/>
                <w:szCs w:val="14"/>
              </w:rPr>
            </w:pPr>
            <w:r w:rsidRPr="004557E9">
              <w:rPr>
                <w:sz w:val="14"/>
                <w:szCs w:val="14"/>
              </w:rPr>
              <w:t>3.32%</w:t>
            </w:r>
          </w:p>
        </w:tc>
      </w:tr>
      <w:tr w:rsidRPr="007132E1" w:rsidR="004557E9" w:rsidTr="00E6200E" w14:paraId="423E08DF" w14:textId="77777777">
        <w:trPr>
          <w:trHeight w:val="20"/>
        </w:trPr>
        <w:tc>
          <w:tcPr>
            <w:tcW w:w="1255" w:type="dxa"/>
            <w:noWrap/>
            <w:vAlign w:val="bottom"/>
            <w:hideMark/>
          </w:tcPr>
          <w:p w:rsidRPr="00030447" w:rsidR="004557E9" w:rsidP="004557E9" w:rsidRDefault="004557E9" w14:paraId="15247669" w14:textId="77777777">
            <w:pPr>
              <w:jc w:val="right"/>
              <w:rPr>
                <w:sz w:val="14"/>
                <w:szCs w:val="14"/>
              </w:rPr>
            </w:pPr>
            <w:r w:rsidRPr="00030447">
              <w:rPr>
                <w:sz w:val="14"/>
                <w:szCs w:val="14"/>
              </w:rPr>
              <w:t>2020 Series A</w:t>
            </w:r>
          </w:p>
        </w:tc>
        <w:tc>
          <w:tcPr>
            <w:tcW w:w="256" w:type="dxa"/>
            <w:noWrap/>
            <w:vAlign w:val="bottom"/>
            <w:hideMark/>
          </w:tcPr>
          <w:p w:rsidRPr="007132E1" w:rsidR="004557E9" w:rsidP="004557E9" w:rsidRDefault="004557E9" w14:paraId="32DF52F1"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3C7DB541" w14:textId="0B5CE2C7">
            <w:pPr>
              <w:jc w:val="right"/>
              <w:rPr>
                <w:sz w:val="14"/>
                <w:szCs w:val="14"/>
              </w:rPr>
            </w:pPr>
            <w:r w:rsidRPr="00E6200E">
              <w:rPr>
                <w:sz w:val="14"/>
                <w:szCs w:val="14"/>
              </w:rPr>
              <w:t xml:space="preserve">37,358,945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3D9F3FF4" w14:textId="367399FB">
            <w:pPr>
              <w:jc w:val="right"/>
              <w:rPr>
                <w:sz w:val="14"/>
                <w:szCs w:val="14"/>
              </w:rPr>
            </w:pPr>
            <w:r w:rsidRPr="0039586C">
              <w:rPr>
                <w:sz w:val="14"/>
                <w:szCs w:val="14"/>
              </w:rPr>
              <w:t xml:space="preserve">1,272,930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2165361B" w14:textId="285B9768">
            <w:pPr>
              <w:jc w:val="right"/>
              <w:rPr>
                <w:sz w:val="14"/>
                <w:szCs w:val="14"/>
              </w:rPr>
            </w:pPr>
            <w:r w:rsidRPr="0039586C">
              <w:rPr>
                <w:sz w:val="14"/>
                <w:szCs w:val="14"/>
              </w:rPr>
              <w:t xml:space="preserve">35,888,588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42D961B5" w14:textId="51E5CE25">
            <w:pPr>
              <w:jc w:val="right"/>
              <w:rPr>
                <w:sz w:val="14"/>
                <w:szCs w:val="14"/>
              </w:rPr>
            </w:pPr>
            <w:r w:rsidRPr="0039586C">
              <w:rPr>
                <w:sz w:val="14"/>
                <w:szCs w:val="14"/>
              </w:rPr>
              <w:t xml:space="preserve">588,722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28862390" w14:textId="1DA350E5">
            <w:pPr>
              <w:jc w:val="right"/>
              <w:rPr>
                <w:sz w:val="14"/>
                <w:szCs w:val="14"/>
              </w:rPr>
            </w:pPr>
            <w:r w:rsidRPr="004557E9">
              <w:rPr>
                <w:sz w:val="14"/>
                <w:szCs w:val="14"/>
              </w:rPr>
              <w:t xml:space="preserve">35,106,517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3D0F17BD" w14:textId="07E00908">
            <w:pPr>
              <w:jc w:val="right"/>
              <w:rPr>
                <w:sz w:val="14"/>
                <w:szCs w:val="14"/>
              </w:rPr>
            </w:pPr>
            <w:r w:rsidRPr="004557E9">
              <w:rPr>
                <w:sz w:val="14"/>
                <w:szCs w:val="14"/>
              </w:rPr>
              <w:t xml:space="preserve">609,965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070E91FE" w14:textId="379D357A">
            <w:pPr>
              <w:jc w:val="right"/>
              <w:rPr>
                <w:sz w:val="14"/>
                <w:szCs w:val="14"/>
              </w:rPr>
            </w:pPr>
            <w:r w:rsidRPr="004557E9">
              <w:rPr>
                <w:sz w:val="14"/>
                <w:szCs w:val="14"/>
              </w:rPr>
              <w:t xml:space="preserve">34,304,191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55037911" w14:textId="19C1293A">
            <w:pPr>
              <w:jc w:val="right"/>
              <w:rPr>
                <w:sz w:val="14"/>
                <w:szCs w:val="14"/>
              </w:rPr>
            </w:pPr>
            <w:r w:rsidRPr="004557E9">
              <w:rPr>
                <w:sz w:val="14"/>
                <w:szCs w:val="14"/>
              </w:rPr>
              <w:t xml:space="preserve">145,954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01485912" w14:textId="79BCE5F0">
            <w:pPr>
              <w:jc w:val="right"/>
              <w:rPr>
                <w:sz w:val="14"/>
                <w:szCs w:val="14"/>
              </w:rPr>
            </w:pPr>
            <w:r w:rsidRPr="004557E9">
              <w:rPr>
                <w:sz w:val="14"/>
                <w:szCs w:val="14"/>
              </w:rPr>
              <w:t xml:space="preserve">33,966,565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4F8DBD7D" w14:textId="7B410379">
            <w:pPr>
              <w:jc w:val="right"/>
              <w:rPr>
                <w:sz w:val="14"/>
                <w:szCs w:val="14"/>
              </w:rPr>
            </w:pPr>
            <w:r w:rsidRPr="004557E9">
              <w:rPr>
                <w:sz w:val="14"/>
                <w:szCs w:val="14"/>
              </w:rPr>
              <w:t>3.87%</w:t>
            </w:r>
          </w:p>
        </w:tc>
        <w:tc>
          <w:tcPr>
            <w:tcW w:w="900" w:type="dxa"/>
            <w:tcBorders>
              <w:top w:val="nil"/>
              <w:left w:val="nil"/>
              <w:bottom w:val="nil"/>
              <w:right w:val="nil"/>
            </w:tcBorders>
            <w:shd w:val="clear" w:color="auto" w:fill="auto"/>
            <w:vAlign w:val="bottom"/>
          </w:tcPr>
          <w:p w:rsidRPr="004557E9" w:rsidR="004557E9" w:rsidP="004557E9" w:rsidRDefault="004557E9" w14:paraId="0BAB35DD" w14:textId="2A0F737E">
            <w:pPr>
              <w:jc w:val="right"/>
              <w:rPr>
                <w:sz w:val="14"/>
                <w:szCs w:val="14"/>
              </w:rPr>
            </w:pPr>
            <w:r w:rsidRPr="004557E9">
              <w:rPr>
                <w:sz w:val="14"/>
                <w:szCs w:val="14"/>
              </w:rPr>
              <w:t>3.37%</w:t>
            </w:r>
          </w:p>
        </w:tc>
      </w:tr>
      <w:tr w:rsidRPr="007132E1" w:rsidR="004557E9" w:rsidTr="00E6200E" w14:paraId="68B5ED14" w14:textId="77777777">
        <w:trPr>
          <w:trHeight w:val="20"/>
        </w:trPr>
        <w:tc>
          <w:tcPr>
            <w:tcW w:w="1255" w:type="dxa"/>
            <w:noWrap/>
            <w:vAlign w:val="bottom"/>
            <w:hideMark/>
          </w:tcPr>
          <w:p w:rsidRPr="00030447" w:rsidR="004557E9" w:rsidP="004557E9" w:rsidRDefault="004557E9" w14:paraId="60E72595" w14:textId="77777777">
            <w:pPr>
              <w:jc w:val="right"/>
              <w:rPr>
                <w:sz w:val="14"/>
                <w:szCs w:val="14"/>
              </w:rPr>
            </w:pPr>
            <w:r w:rsidRPr="00030447">
              <w:rPr>
                <w:sz w:val="14"/>
                <w:szCs w:val="14"/>
              </w:rPr>
              <w:t>2020 Series B</w:t>
            </w:r>
          </w:p>
        </w:tc>
        <w:tc>
          <w:tcPr>
            <w:tcW w:w="256" w:type="dxa"/>
            <w:noWrap/>
            <w:vAlign w:val="bottom"/>
            <w:hideMark/>
          </w:tcPr>
          <w:p w:rsidRPr="007132E1" w:rsidR="004557E9" w:rsidP="004557E9" w:rsidRDefault="004557E9" w14:paraId="1E99A56A"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076B96A6" w14:textId="6C7CD032">
            <w:pPr>
              <w:jc w:val="right"/>
              <w:rPr>
                <w:sz w:val="14"/>
                <w:szCs w:val="14"/>
              </w:rPr>
            </w:pPr>
            <w:r w:rsidRPr="00E6200E">
              <w:rPr>
                <w:sz w:val="14"/>
                <w:szCs w:val="14"/>
              </w:rPr>
              <w:t xml:space="preserve">68,182,250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457F0831" w14:textId="39DC12D1">
            <w:pPr>
              <w:jc w:val="right"/>
              <w:rPr>
                <w:sz w:val="14"/>
                <w:szCs w:val="14"/>
              </w:rPr>
            </w:pPr>
            <w:r w:rsidRPr="0039586C">
              <w:rPr>
                <w:sz w:val="14"/>
                <w:szCs w:val="14"/>
              </w:rPr>
              <w:t xml:space="preserve">1,292,002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356A07E2" w14:textId="2385B0E0">
            <w:pPr>
              <w:jc w:val="right"/>
              <w:rPr>
                <w:sz w:val="14"/>
                <w:szCs w:val="14"/>
              </w:rPr>
            </w:pPr>
            <w:r w:rsidRPr="0039586C">
              <w:rPr>
                <w:sz w:val="14"/>
                <w:szCs w:val="14"/>
              </w:rPr>
              <w:t xml:space="preserve">66,391,989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3FBD38E7" w14:textId="531B3868">
            <w:pPr>
              <w:jc w:val="right"/>
              <w:rPr>
                <w:sz w:val="14"/>
                <w:szCs w:val="14"/>
              </w:rPr>
            </w:pPr>
            <w:r w:rsidRPr="0039586C">
              <w:rPr>
                <w:sz w:val="14"/>
                <w:szCs w:val="14"/>
              </w:rPr>
              <w:t xml:space="preserve">461,727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593CBA8D" w14:textId="7D44F3FB">
            <w:pPr>
              <w:jc w:val="right"/>
              <w:rPr>
                <w:sz w:val="14"/>
                <w:szCs w:val="14"/>
              </w:rPr>
            </w:pPr>
            <w:r w:rsidRPr="004557E9">
              <w:rPr>
                <w:sz w:val="14"/>
                <w:szCs w:val="14"/>
              </w:rPr>
              <w:t xml:space="preserve">65,434,861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09CD9BC0" w14:textId="4BFA9EB9">
            <w:pPr>
              <w:jc w:val="right"/>
              <w:rPr>
                <w:sz w:val="14"/>
                <w:szCs w:val="14"/>
              </w:rPr>
            </w:pPr>
            <w:r w:rsidRPr="004557E9">
              <w:rPr>
                <w:sz w:val="14"/>
                <w:szCs w:val="14"/>
              </w:rPr>
              <w:t xml:space="preserve">374,293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2FDCD723" w14:textId="5B0C2169">
            <w:pPr>
              <w:jc w:val="right"/>
              <w:rPr>
                <w:sz w:val="14"/>
                <w:szCs w:val="14"/>
              </w:rPr>
            </w:pPr>
            <w:r w:rsidRPr="004557E9">
              <w:rPr>
                <w:sz w:val="14"/>
                <w:szCs w:val="14"/>
              </w:rPr>
              <w:t xml:space="preserve">64,565,055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46363102" w14:textId="09C170A1">
            <w:pPr>
              <w:jc w:val="right"/>
              <w:rPr>
                <w:sz w:val="14"/>
                <w:szCs w:val="14"/>
              </w:rPr>
            </w:pPr>
            <w:r w:rsidRPr="004557E9">
              <w:rPr>
                <w:sz w:val="14"/>
                <w:szCs w:val="14"/>
              </w:rPr>
              <w:t xml:space="preserve">727,791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2802E4A8" w14:textId="2546BDA2">
            <w:pPr>
              <w:jc w:val="right"/>
              <w:rPr>
                <w:sz w:val="14"/>
                <w:szCs w:val="14"/>
              </w:rPr>
            </w:pPr>
            <w:r w:rsidRPr="004557E9">
              <w:rPr>
                <w:sz w:val="14"/>
                <w:szCs w:val="14"/>
              </w:rPr>
              <w:t xml:space="preserve">63,341,844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120ACD16" w14:textId="1768A35E">
            <w:pPr>
              <w:jc w:val="right"/>
              <w:rPr>
                <w:sz w:val="14"/>
                <w:szCs w:val="14"/>
              </w:rPr>
            </w:pPr>
            <w:r w:rsidRPr="004557E9">
              <w:rPr>
                <w:sz w:val="14"/>
                <w:szCs w:val="14"/>
              </w:rPr>
              <w:t>3.61%</w:t>
            </w:r>
          </w:p>
        </w:tc>
        <w:tc>
          <w:tcPr>
            <w:tcW w:w="900" w:type="dxa"/>
            <w:tcBorders>
              <w:top w:val="nil"/>
              <w:left w:val="nil"/>
              <w:bottom w:val="nil"/>
              <w:right w:val="nil"/>
            </w:tcBorders>
            <w:shd w:val="clear" w:color="auto" w:fill="auto"/>
            <w:vAlign w:val="bottom"/>
          </w:tcPr>
          <w:p w:rsidRPr="004557E9" w:rsidR="004557E9" w:rsidP="004557E9" w:rsidRDefault="004557E9" w14:paraId="436A867B" w14:textId="668C91AC">
            <w:pPr>
              <w:jc w:val="right"/>
              <w:rPr>
                <w:sz w:val="14"/>
                <w:szCs w:val="14"/>
              </w:rPr>
            </w:pPr>
            <w:r w:rsidRPr="004557E9">
              <w:rPr>
                <w:sz w:val="14"/>
                <w:szCs w:val="14"/>
              </w:rPr>
              <w:t>3.11%</w:t>
            </w:r>
          </w:p>
        </w:tc>
      </w:tr>
      <w:tr w:rsidRPr="007132E1" w:rsidR="004557E9" w:rsidTr="00E6200E" w14:paraId="4552D35D" w14:textId="77777777">
        <w:trPr>
          <w:trHeight w:val="20"/>
        </w:trPr>
        <w:tc>
          <w:tcPr>
            <w:tcW w:w="1255" w:type="dxa"/>
            <w:noWrap/>
            <w:vAlign w:val="bottom"/>
          </w:tcPr>
          <w:p w:rsidRPr="00030447" w:rsidR="004557E9" w:rsidP="004557E9" w:rsidRDefault="004557E9" w14:paraId="265514A6" w14:textId="77777777">
            <w:pPr>
              <w:jc w:val="right"/>
              <w:rPr>
                <w:sz w:val="14"/>
                <w:szCs w:val="14"/>
              </w:rPr>
            </w:pPr>
            <w:r w:rsidRPr="00030447">
              <w:rPr>
                <w:sz w:val="14"/>
                <w:szCs w:val="14"/>
              </w:rPr>
              <w:t>2021 Series A</w:t>
            </w:r>
          </w:p>
        </w:tc>
        <w:tc>
          <w:tcPr>
            <w:tcW w:w="256" w:type="dxa"/>
            <w:noWrap/>
            <w:vAlign w:val="bottom"/>
          </w:tcPr>
          <w:p w:rsidRPr="007132E1" w:rsidR="004557E9" w:rsidP="004557E9" w:rsidRDefault="004557E9" w14:paraId="2905EBDD" w14:textId="77777777">
            <w:pPr>
              <w:jc w:val="right"/>
              <w:rPr>
                <w:sz w:val="14"/>
                <w:szCs w:val="14"/>
              </w:rPr>
            </w:pPr>
          </w:p>
        </w:tc>
        <w:tc>
          <w:tcPr>
            <w:tcW w:w="1099" w:type="dxa"/>
            <w:tcBorders>
              <w:top w:val="nil"/>
              <w:left w:val="nil"/>
              <w:bottom w:val="nil"/>
              <w:right w:val="nil"/>
            </w:tcBorders>
            <w:shd w:val="clear" w:color="auto" w:fill="auto"/>
            <w:noWrap/>
            <w:vAlign w:val="bottom"/>
          </w:tcPr>
          <w:p w:rsidRPr="00E6200E" w:rsidR="004557E9" w:rsidP="004557E9" w:rsidRDefault="004557E9" w14:paraId="633642AB" w14:textId="543C812C">
            <w:pPr>
              <w:jc w:val="right"/>
              <w:rPr>
                <w:sz w:val="14"/>
                <w:szCs w:val="14"/>
              </w:rPr>
            </w:pPr>
            <w:r w:rsidRPr="00E6200E">
              <w:rPr>
                <w:sz w:val="14"/>
                <w:szCs w:val="14"/>
              </w:rPr>
              <w:t xml:space="preserve">47,517,198 </w:t>
            </w:r>
          </w:p>
        </w:tc>
        <w:tc>
          <w:tcPr>
            <w:tcW w:w="1170" w:type="dxa"/>
            <w:tcBorders>
              <w:top w:val="nil"/>
              <w:left w:val="nil"/>
              <w:bottom w:val="nil"/>
              <w:right w:val="nil"/>
            </w:tcBorders>
            <w:shd w:val="clear" w:color="auto" w:fill="auto"/>
            <w:noWrap/>
            <w:vAlign w:val="bottom"/>
          </w:tcPr>
          <w:p w:rsidRPr="0039586C" w:rsidR="004557E9" w:rsidP="004557E9" w:rsidRDefault="004557E9" w14:paraId="33A87B9B" w14:textId="5E69A957">
            <w:pPr>
              <w:jc w:val="right"/>
              <w:rPr>
                <w:sz w:val="14"/>
                <w:szCs w:val="14"/>
              </w:rPr>
            </w:pPr>
            <w:r w:rsidRPr="0039586C">
              <w:rPr>
                <w:sz w:val="14"/>
                <w:szCs w:val="14"/>
              </w:rPr>
              <w:t xml:space="preserve">1,022,465 </w:t>
            </w:r>
          </w:p>
        </w:tc>
        <w:tc>
          <w:tcPr>
            <w:tcW w:w="1080" w:type="dxa"/>
            <w:tcBorders>
              <w:top w:val="nil"/>
              <w:left w:val="nil"/>
              <w:bottom w:val="nil"/>
              <w:right w:val="nil"/>
            </w:tcBorders>
            <w:shd w:val="clear" w:color="auto" w:fill="auto"/>
            <w:noWrap/>
            <w:vAlign w:val="bottom"/>
          </w:tcPr>
          <w:p w:rsidRPr="0039586C" w:rsidR="004557E9" w:rsidP="004557E9" w:rsidRDefault="004557E9" w14:paraId="619AA8D9" w14:textId="44C109E7">
            <w:pPr>
              <w:jc w:val="right"/>
              <w:rPr>
                <w:sz w:val="14"/>
                <w:szCs w:val="14"/>
              </w:rPr>
            </w:pPr>
            <w:r w:rsidRPr="0039586C">
              <w:rPr>
                <w:sz w:val="14"/>
                <w:szCs w:val="14"/>
              </w:rPr>
              <w:t xml:space="preserve">46,228,603 </w:t>
            </w:r>
          </w:p>
        </w:tc>
        <w:tc>
          <w:tcPr>
            <w:tcW w:w="1350" w:type="dxa"/>
            <w:tcBorders>
              <w:top w:val="nil"/>
              <w:left w:val="nil"/>
              <w:bottom w:val="nil"/>
              <w:right w:val="nil"/>
            </w:tcBorders>
            <w:shd w:val="clear" w:color="auto" w:fill="auto"/>
            <w:noWrap/>
            <w:vAlign w:val="bottom"/>
          </w:tcPr>
          <w:p w:rsidRPr="0039586C" w:rsidR="004557E9" w:rsidP="004557E9" w:rsidRDefault="004557E9" w14:paraId="054C67E0" w14:textId="4F369E96">
            <w:pPr>
              <w:jc w:val="right"/>
              <w:rPr>
                <w:sz w:val="14"/>
                <w:szCs w:val="14"/>
              </w:rPr>
            </w:pPr>
            <w:r w:rsidRPr="0039586C">
              <w:rPr>
                <w:sz w:val="14"/>
                <w:szCs w:val="14"/>
              </w:rPr>
              <w:t xml:space="preserve">627,953 </w:t>
            </w:r>
          </w:p>
        </w:tc>
        <w:tc>
          <w:tcPr>
            <w:tcW w:w="1260" w:type="dxa"/>
            <w:tcBorders>
              <w:top w:val="nil"/>
              <w:left w:val="nil"/>
              <w:bottom w:val="nil"/>
              <w:right w:val="nil"/>
            </w:tcBorders>
            <w:shd w:val="clear" w:color="auto" w:fill="auto"/>
            <w:noWrap/>
            <w:vAlign w:val="bottom"/>
          </w:tcPr>
          <w:p w:rsidRPr="004557E9" w:rsidR="004557E9" w:rsidP="004557E9" w:rsidRDefault="004557E9" w14:paraId="5F39A416" w14:textId="0C5F9DDB">
            <w:pPr>
              <w:jc w:val="right"/>
              <w:rPr>
                <w:sz w:val="14"/>
                <w:szCs w:val="14"/>
              </w:rPr>
            </w:pPr>
            <w:r w:rsidRPr="004557E9">
              <w:rPr>
                <w:sz w:val="14"/>
                <w:szCs w:val="14"/>
              </w:rPr>
              <w:t xml:space="preserve">45,338,355 </w:t>
            </w:r>
          </w:p>
        </w:tc>
        <w:tc>
          <w:tcPr>
            <w:tcW w:w="1350" w:type="dxa"/>
            <w:tcBorders>
              <w:top w:val="nil"/>
              <w:left w:val="nil"/>
              <w:bottom w:val="nil"/>
              <w:right w:val="nil"/>
            </w:tcBorders>
            <w:shd w:val="clear" w:color="auto" w:fill="auto"/>
            <w:noWrap/>
            <w:vAlign w:val="bottom"/>
          </w:tcPr>
          <w:p w:rsidRPr="004557E9" w:rsidR="004557E9" w:rsidP="004557E9" w:rsidRDefault="004557E9" w14:paraId="4158C42C" w14:textId="0D4F66F3">
            <w:pPr>
              <w:jc w:val="right"/>
              <w:rPr>
                <w:sz w:val="14"/>
                <w:szCs w:val="14"/>
              </w:rPr>
            </w:pPr>
            <w:r w:rsidRPr="004557E9">
              <w:rPr>
                <w:sz w:val="14"/>
                <w:szCs w:val="14"/>
              </w:rPr>
              <w:t xml:space="preserve">109,985 </w:t>
            </w:r>
          </w:p>
        </w:tc>
        <w:tc>
          <w:tcPr>
            <w:tcW w:w="1170" w:type="dxa"/>
            <w:tcBorders>
              <w:top w:val="nil"/>
              <w:left w:val="nil"/>
              <w:bottom w:val="nil"/>
              <w:right w:val="nil"/>
            </w:tcBorders>
            <w:shd w:val="clear" w:color="auto" w:fill="auto"/>
            <w:noWrap/>
            <w:vAlign w:val="bottom"/>
          </w:tcPr>
          <w:p w:rsidRPr="004557E9" w:rsidR="004557E9" w:rsidP="004557E9" w:rsidRDefault="004557E9" w14:paraId="056AA035" w14:textId="41F4A676">
            <w:pPr>
              <w:jc w:val="right"/>
              <w:rPr>
                <w:sz w:val="14"/>
                <w:szCs w:val="14"/>
              </w:rPr>
            </w:pPr>
            <w:r w:rsidRPr="004557E9">
              <w:rPr>
                <w:sz w:val="14"/>
                <w:szCs w:val="14"/>
              </w:rPr>
              <w:t xml:space="preserve">44,966,595 </w:t>
            </w:r>
          </w:p>
        </w:tc>
        <w:tc>
          <w:tcPr>
            <w:tcW w:w="1260" w:type="dxa"/>
            <w:tcBorders>
              <w:top w:val="nil"/>
              <w:left w:val="nil"/>
              <w:bottom w:val="nil"/>
              <w:right w:val="nil"/>
            </w:tcBorders>
            <w:shd w:val="clear" w:color="auto" w:fill="auto"/>
            <w:noWrap/>
            <w:vAlign w:val="bottom"/>
          </w:tcPr>
          <w:p w:rsidRPr="004557E9" w:rsidR="004557E9" w:rsidP="004557E9" w:rsidRDefault="004557E9" w14:paraId="6690CB06" w14:textId="78D13CC0">
            <w:pPr>
              <w:jc w:val="right"/>
              <w:rPr>
                <w:sz w:val="14"/>
                <w:szCs w:val="14"/>
              </w:rPr>
            </w:pPr>
            <w:r w:rsidRPr="004557E9">
              <w:rPr>
                <w:sz w:val="14"/>
                <w:szCs w:val="14"/>
              </w:rPr>
              <w:t xml:space="preserve">718,573 </w:t>
            </w:r>
          </w:p>
        </w:tc>
        <w:tc>
          <w:tcPr>
            <w:tcW w:w="1080" w:type="dxa"/>
            <w:tcBorders>
              <w:top w:val="nil"/>
              <w:left w:val="nil"/>
              <w:bottom w:val="nil"/>
              <w:right w:val="nil"/>
            </w:tcBorders>
            <w:shd w:val="clear" w:color="auto" w:fill="auto"/>
            <w:noWrap/>
            <w:vAlign w:val="bottom"/>
          </w:tcPr>
          <w:p w:rsidRPr="004557E9" w:rsidR="004557E9" w:rsidP="004557E9" w:rsidRDefault="004557E9" w14:paraId="5BC980BE" w14:textId="7797A996">
            <w:pPr>
              <w:jc w:val="right"/>
              <w:rPr>
                <w:sz w:val="14"/>
                <w:szCs w:val="14"/>
              </w:rPr>
            </w:pPr>
            <w:r w:rsidRPr="004557E9">
              <w:rPr>
                <w:sz w:val="14"/>
                <w:szCs w:val="14"/>
              </w:rPr>
              <w:t xml:space="preserve">43,986,778 </w:t>
            </w:r>
          </w:p>
        </w:tc>
        <w:tc>
          <w:tcPr>
            <w:tcW w:w="900" w:type="dxa"/>
            <w:tcBorders>
              <w:top w:val="nil"/>
              <w:left w:val="nil"/>
              <w:bottom w:val="nil"/>
              <w:right w:val="nil"/>
            </w:tcBorders>
            <w:shd w:val="clear" w:color="auto" w:fill="auto"/>
            <w:noWrap/>
            <w:vAlign w:val="bottom"/>
          </w:tcPr>
          <w:p w:rsidRPr="004557E9" w:rsidR="004557E9" w:rsidP="004557E9" w:rsidRDefault="004557E9" w14:paraId="5C5CD183" w14:textId="2DE6D845">
            <w:pPr>
              <w:jc w:val="right"/>
              <w:rPr>
                <w:sz w:val="14"/>
                <w:szCs w:val="14"/>
              </w:rPr>
            </w:pPr>
            <w:r w:rsidRPr="004557E9">
              <w:rPr>
                <w:sz w:val="14"/>
                <w:szCs w:val="14"/>
              </w:rPr>
              <w:t>3.19%</w:t>
            </w:r>
          </w:p>
        </w:tc>
        <w:tc>
          <w:tcPr>
            <w:tcW w:w="900" w:type="dxa"/>
            <w:tcBorders>
              <w:top w:val="nil"/>
              <w:left w:val="nil"/>
              <w:bottom w:val="nil"/>
              <w:right w:val="nil"/>
            </w:tcBorders>
            <w:shd w:val="clear" w:color="auto" w:fill="auto"/>
            <w:vAlign w:val="bottom"/>
          </w:tcPr>
          <w:p w:rsidRPr="004557E9" w:rsidR="004557E9" w:rsidP="004557E9" w:rsidRDefault="004557E9" w14:paraId="6FDE7C48" w14:textId="2F09F24A">
            <w:pPr>
              <w:jc w:val="right"/>
              <w:rPr>
                <w:sz w:val="14"/>
                <w:szCs w:val="14"/>
              </w:rPr>
            </w:pPr>
            <w:r w:rsidRPr="004557E9">
              <w:rPr>
                <w:sz w:val="14"/>
                <w:szCs w:val="14"/>
              </w:rPr>
              <w:t>2.69%</w:t>
            </w:r>
          </w:p>
        </w:tc>
      </w:tr>
      <w:tr w:rsidRPr="007132E1" w:rsidR="004557E9" w:rsidTr="00E6200E" w14:paraId="3B95D49D" w14:textId="77777777">
        <w:trPr>
          <w:trHeight w:val="20"/>
        </w:trPr>
        <w:tc>
          <w:tcPr>
            <w:tcW w:w="1255" w:type="dxa"/>
            <w:noWrap/>
            <w:vAlign w:val="bottom"/>
            <w:hideMark/>
          </w:tcPr>
          <w:p w:rsidRPr="00030447" w:rsidR="004557E9" w:rsidP="004557E9" w:rsidRDefault="004557E9" w14:paraId="15835E58" w14:textId="77777777">
            <w:pPr>
              <w:jc w:val="right"/>
              <w:rPr>
                <w:sz w:val="14"/>
                <w:szCs w:val="14"/>
              </w:rPr>
            </w:pPr>
            <w:r w:rsidRPr="00030447">
              <w:rPr>
                <w:sz w:val="14"/>
                <w:szCs w:val="14"/>
              </w:rPr>
              <w:t>2021 Series B</w:t>
            </w:r>
          </w:p>
        </w:tc>
        <w:tc>
          <w:tcPr>
            <w:tcW w:w="256" w:type="dxa"/>
            <w:noWrap/>
            <w:vAlign w:val="bottom"/>
            <w:hideMark/>
          </w:tcPr>
          <w:p w:rsidRPr="007132E1" w:rsidR="004557E9" w:rsidP="004557E9" w:rsidRDefault="004557E9" w14:paraId="6BC71B5A" w14:textId="77777777">
            <w:pPr>
              <w:jc w:val="right"/>
              <w:rPr>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50712D2D" w14:textId="34AEBD3A">
            <w:pPr>
              <w:jc w:val="right"/>
              <w:rPr>
                <w:sz w:val="14"/>
                <w:szCs w:val="14"/>
              </w:rPr>
            </w:pPr>
            <w:r w:rsidRPr="00E6200E">
              <w:rPr>
                <w:sz w:val="14"/>
                <w:szCs w:val="14"/>
              </w:rPr>
              <w:t xml:space="preserve">89,971,725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20DEFD54" w14:textId="045C95D1">
            <w:pPr>
              <w:jc w:val="right"/>
              <w:rPr>
                <w:sz w:val="14"/>
                <w:szCs w:val="14"/>
              </w:rPr>
            </w:pPr>
            <w:r w:rsidRPr="0039586C">
              <w:rPr>
                <w:sz w:val="14"/>
                <w:szCs w:val="14"/>
              </w:rPr>
              <w:t xml:space="preserve">837,961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25A93B29" w14:textId="3F32BA09">
            <w:pPr>
              <w:jc w:val="right"/>
              <w:rPr>
                <w:sz w:val="14"/>
                <w:szCs w:val="14"/>
              </w:rPr>
            </w:pPr>
            <w:r w:rsidRPr="0039586C">
              <w:rPr>
                <w:sz w:val="14"/>
                <w:szCs w:val="14"/>
              </w:rPr>
              <w:t xml:space="preserve">88,613,166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684F5DD9" w14:textId="1CE095B1">
            <w:pPr>
              <w:jc w:val="right"/>
              <w:rPr>
                <w:sz w:val="14"/>
                <w:szCs w:val="14"/>
              </w:rPr>
            </w:pPr>
            <w:r w:rsidRPr="0039586C">
              <w:rPr>
                <w:sz w:val="14"/>
                <w:szCs w:val="14"/>
              </w:rPr>
              <w:t xml:space="preserve">533,411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47D03263" w14:textId="305BBDE5">
            <w:pPr>
              <w:jc w:val="right"/>
              <w:rPr>
                <w:sz w:val="14"/>
                <w:szCs w:val="14"/>
              </w:rPr>
            </w:pPr>
            <w:r w:rsidRPr="004557E9">
              <w:rPr>
                <w:sz w:val="14"/>
                <w:szCs w:val="14"/>
              </w:rPr>
              <w:t xml:space="preserve">87,559,435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1929D0AA" w14:textId="7502399B">
            <w:pPr>
              <w:jc w:val="right"/>
              <w:rPr>
                <w:sz w:val="14"/>
                <w:szCs w:val="14"/>
              </w:rPr>
            </w:pPr>
            <w:r w:rsidRPr="004557E9">
              <w:rPr>
                <w:sz w:val="14"/>
                <w:szCs w:val="14"/>
              </w:rPr>
              <w:t xml:space="preserve">730,327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7436D548" w14:textId="3F1F2EE9">
            <w:pPr>
              <w:jc w:val="right"/>
              <w:rPr>
                <w:sz w:val="14"/>
                <w:szCs w:val="14"/>
              </w:rPr>
            </w:pPr>
            <w:r w:rsidRPr="004557E9">
              <w:rPr>
                <w:sz w:val="14"/>
                <w:szCs w:val="14"/>
              </w:rPr>
              <w:t xml:space="preserve">86,308,148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76A12EF4" w14:textId="4621B01C">
            <w:pPr>
              <w:jc w:val="right"/>
              <w:rPr>
                <w:sz w:val="14"/>
                <w:szCs w:val="14"/>
              </w:rPr>
            </w:pPr>
            <w:r w:rsidRPr="004557E9">
              <w:rPr>
                <w:sz w:val="14"/>
                <w:szCs w:val="14"/>
              </w:rPr>
              <w:t xml:space="preserve">1,524,541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209333F7" w14:textId="30475E1B">
            <w:pPr>
              <w:jc w:val="right"/>
              <w:rPr>
                <w:sz w:val="14"/>
                <w:szCs w:val="14"/>
              </w:rPr>
            </w:pPr>
            <w:r w:rsidRPr="004557E9">
              <w:rPr>
                <w:sz w:val="14"/>
                <w:szCs w:val="14"/>
              </w:rPr>
              <w:t xml:space="preserve">84,263,349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4A3D3ECE" w14:textId="021D8D59">
            <w:pPr>
              <w:jc w:val="right"/>
              <w:rPr>
                <w:sz w:val="14"/>
                <w:szCs w:val="14"/>
              </w:rPr>
            </w:pPr>
            <w:r w:rsidRPr="004557E9">
              <w:rPr>
                <w:sz w:val="14"/>
                <w:szCs w:val="14"/>
              </w:rPr>
              <w:t>3.45%</w:t>
            </w:r>
          </w:p>
        </w:tc>
        <w:tc>
          <w:tcPr>
            <w:tcW w:w="900" w:type="dxa"/>
            <w:tcBorders>
              <w:top w:val="nil"/>
              <w:left w:val="nil"/>
              <w:bottom w:val="nil"/>
              <w:right w:val="nil"/>
            </w:tcBorders>
            <w:shd w:val="clear" w:color="auto" w:fill="auto"/>
            <w:vAlign w:val="bottom"/>
          </w:tcPr>
          <w:p w:rsidRPr="004557E9" w:rsidR="004557E9" w:rsidP="004557E9" w:rsidRDefault="004557E9" w14:paraId="2A9F47E5" w14:textId="545E439A">
            <w:pPr>
              <w:jc w:val="right"/>
              <w:rPr>
                <w:sz w:val="14"/>
                <w:szCs w:val="14"/>
              </w:rPr>
            </w:pPr>
            <w:r w:rsidRPr="004557E9">
              <w:rPr>
                <w:sz w:val="14"/>
                <w:szCs w:val="14"/>
              </w:rPr>
              <w:t>2.95%</w:t>
            </w:r>
          </w:p>
        </w:tc>
      </w:tr>
      <w:tr w:rsidRPr="007132E1" w:rsidR="004557E9" w:rsidTr="00E6200E" w14:paraId="77234217" w14:textId="77777777">
        <w:trPr>
          <w:trHeight w:val="20"/>
        </w:trPr>
        <w:tc>
          <w:tcPr>
            <w:tcW w:w="1255" w:type="dxa"/>
            <w:noWrap/>
            <w:vAlign w:val="bottom"/>
          </w:tcPr>
          <w:p w:rsidRPr="00030447" w:rsidR="004557E9" w:rsidP="004557E9" w:rsidRDefault="004557E9" w14:paraId="7E0A5C41" w14:textId="77777777">
            <w:pPr>
              <w:jc w:val="right"/>
              <w:rPr>
                <w:sz w:val="14"/>
                <w:szCs w:val="14"/>
              </w:rPr>
            </w:pPr>
            <w:r w:rsidRPr="00030447">
              <w:rPr>
                <w:sz w:val="14"/>
                <w:szCs w:val="14"/>
              </w:rPr>
              <w:t>2021 Series C</w:t>
            </w:r>
          </w:p>
        </w:tc>
        <w:tc>
          <w:tcPr>
            <w:tcW w:w="256" w:type="dxa"/>
            <w:noWrap/>
            <w:vAlign w:val="bottom"/>
          </w:tcPr>
          <w:p w:rsidRPr="007132E1" w:rsidR="004557E9" w:rsidP="004557E9" w:rsidRDefault="004557E9" w14:paraId="6E8225EB" w14:textId="77777777">
            <w:pPr>
              <w:jc w:val="right"/>
              <w:rPr>
                <w:sz w:val="14"/>
                <w:szCs w:val="14"/>
              </w:rPr>
            </w:pPr>
          </w:p>
        </w:tc>
        <w:tc>
          <w:tcPr>
            <w:tcW w:w="1099" w:type="dxa"/>
            <w:tcBorders>
              <w:top w:val="nil"/>
              <w:left w:val="nil"/>
              <w:bottom w:val="nil"/>
              <w:right w:val="nil"/>
            </w:tcBorders>
            <w:shd w:val="clear" w:color="auto" w:fill="auto"/>
            <w:noWrap/>
            <w:vAlign w:val="bottom"/>
          </w:tcPr>
          <w:p w:rsidRPr="00E6200E" w:rsidR="004557E9" w:rsidP="004557E9" w:rsidRDefault="004557E9" w14:paraId="11F58F67" w14:textId="0898F01B">
            <w:pPr>
              <w:jc w:val="right"/>
              <w:rPr>
                <w:sz w:val="14"/>
                <w:szCs w:val="14"/>
              </w:rPr>
            </w:pPr>
            <w:r w:rsidRPr="00E6200E">
              <w:rPr>
                <w:sz w:val="14"/>
                <w:szCs w:val="14"/>
              </w:rPr>
              <w:t xml:space="preserve">72,156,633 </w:t>
            </w:r>
          </w:p>
        </w:tc>
        <w:tc>
          <w:tcPr>
            <w:tcW w:w="1170" w:type="dxa"/>
            <w:tcBorders>
              <w:top w:val="nil"/>
              <w:left w:val="nil"/>
              <w:bottom w:val="nil"/>
              <w:right w:val="nil"/>
            </w:tcBorders>
            <w:shd w:val="clear" w:color="auto" w:fill="auto"/>
            <w:noWrap/>
            <w:vAlign w:val="bottom"/>
          </w:tcPr>
          <w:p w:rsidRPr="0039586C" w:rsidR="004557E9" w:rsidP="004557E9" w:rsidRDefault="004557E9" w14:paraId="148B0C9B" w14:textId="72176B48">
            <w:pPr>
              <w:jc w:val="right"/>
              <w:rPr>
                <w:sz w:val="14"/>
                <w:szCs w:val="14"/>
              </w:rPr>
            </w:pPr>
            <w:r w:rsidRPr="0039586C">
              <w:rPr>
                <w:sz w:val="14"/>
                <w:szCs w:val="14"/>
              </w:rPr>
              <w:t xml:space="preserve">644,037 </w:t>
            </w:r>
          </w:p>
        </w:tc>
        <w:tc>
          <w:tcPr>
            <w:tcW w:w="1080" w:type="dxa"/>
            <w:tcBorders>
              <w:top w:val="nil"/>
              <w:left w:val="nil"/>
              <w:bottom w:val="nil"/>
              <w:right w:val="nil"/>
            </w:tcBorders>
            <w:shd w:val="clear" w:color="auto" w:fill="auto"/>
            <w:noWrap/>
            <w:vAlign w:val="bottom"/>
          </w:tcPr>
          <w:p w:rsidRPr="0039586C" w:rsidR="004557E9" w:rsidP="004557E9" w:rsidRDefault="004557E9" w14:paraId="356F53E7" w14:textId="60C10E10">
            <w:pPr>
              <w:jc w:val="right"/>
              <w:rPr>
                <w:sz w:val="14"/>
                <w:szCs w:val="14"/>
              </w:rPr>
            </w:pPr>
            <w:r w:rsidRPr="0039586C">
              <w:rPr>
                <w:sz w:val="14"/>
                <w:szCs w:val="14"/>
              </w:rPr>
              <w:t xml:space="preserve">71,145,408 </w:t>
            </w:r>
          </w:p>
        </w:tc>
        <w:tc>
          <w:tcPr>
            <w:tcW w:w="1350" w:type="dxa"/>
            <w:tcBorders>
              <w:top w:val="nil"/>
              <w:left w:val="nil"/>
              <w:bottom w:val="nil"/>
              <w:right w:val="nil"/>
            </w:tcBorders>
            <w:shd w:val="clear" w:color="auto" w:fill="auto"/>
            <w:noWrap/>
            <w:vAlign w:val="bottom"/>
          </w:tcPr>
          <w:p w:rsidRPr="0039586C" w:rsidR="004557E9" w:rsidP="004557E9" w:rsidRDefault="004557E9" w14:paraId="0AF2843C" w14:textId="70085808">
            <w:pPr>
              <w:jc w:val="right"/>
              <w:rPr>
                <w:sz w:val="14"/>
                <w:szCs w:val="14"/>
              </w:rPr>
            </w:pPr>
            <w:r w:rsidRPr="0039586C">
              <w:rPr>
                <w:sz w:val="14"/>
                <w:szCs w:val="14"/>
              </w:rPr>
              <w:t xml:space="preserve">10,290 </w:t>
            </w:r>
          </w:p>
        </w:tc>
        <w:tc>
          <w:tcPr>
            <w:tcW w:w="1260" w:type="dxa"/>
            <w:tcBorders>
              <w:top w:val="nil"/>
              <w:left w:val="nil"/>
              <w:bottom w:val="nil"/>
              <w:right w:val="nil"/>
            </w:tcBorders>
            <w:shd w:val="clear" w:color="auto" w:fill="auto"/>
            <w:noWrap/>
            <w:vAlign w:val="bottom"/>
          </w:tcPr>
          <w:p w:rsidRPr="004557E9" w:rsidR="004557E9" w:rsidP="004557E9" w:rsidRDefault="004557E9" w14:paraId="14C7B7EF" w14:textId="306DF0BA">
            <w:pPr>
              <w:jc w:val="right"/>
              <w:rPr>
                <w:sz w:val="14"/>
                <w:szCs w:val="14"/>
              </w:rPr>
            </w:pPr>
            <w:r w:rsidRPr="004557E9">
              <w:rPr>
                <w:sz w:val="14"/>
                <w:szCs w:val="14"/>
              </w:rPr>
              <w:t xml:space="preserve">70,766,858 </w:t>
            </w:r>
          </w:p>
        </w:tc>
        <w:tc>
          <w:tcPr>
            <w:tcW w:w="1350" w:type="dxa"/>
            <w:tcBorders>
              <w:top w:val="nil"/>
              <w:left w:val="nil"/>
              <w:bottom w:val="nil"/>
              <w:right w:val="nil"/>
            </w:tcBorders>
            <w:shd w:val="clear" w:color="auto" w:fill="auto"/>
            <w:noWrap/>
            <w:vAlign w:val="bottom"/>
          </w:tcPr>
          <w:p w:rsidRPr="004557E9" w:rsidR="004557E9" w:rsidP="004557E9" w:rsidRDefault="004557E9" w14:paraId="4CE7FFE6" w14:textId="60661598">
            <w:pPr>
              <w:jc w:val="right"/>
              <w:rPr>
                <w:sz w:val="14"/>
                <w:szCs w:val="14"/>
              </w:rPr>
            </w:pPr>
            <w:r w:rsidRPr="004557E9">
              <w:rPr>
                <w:sz w:val="14"/>
                <w:szCs w:val="14"/>
              </w:rPr>
              <w:t xml:space="preserve">635,126 </w:t>
            </w:r>
          </w:p>
        </w:tc>
        <w:tc>
          <w:tcPr>
            <w:tcW w:w="1170" w:type="dxa"/>
            <w:tcBorders>
              <w:top w:val="nil"/>
              <w:left w:val="nil"/>
              <w:bottom w:val="nil"/>
              <w:right w:val="nil"/>
            </w:tcBorders>
            <w:shd w:val="clear" w:color="auto" w:fill="auto"/>
            <w:noWrap/>
            <w:vAlign w:val="bottom"/>
          </w:tcPr>
          <w:p w:rsidRPr="004557E9" w:rsidR="004557E9" w:rsidP="004557E9" w:rsidRDefault="004557E9" w14:paraId="7B50FD9B" w14:textId="767915F2">
            <w:pPr>
              <w:jc w:val="right"/>
              <w:rPr>
                <w:sz w:val="14"/>
                <w:szCs w:val="14"/>
              </w:rPr>
            </w:pPr>
            <w:r w:rsidRPr="004557E9">
              <w:rPr>
                <w:sz w:val="14"/>
                <w:szCs w:val="14"/>
              </w:rPr>
              <w:t xml:space="preserve">69,760,668 </w:t>
            </w:r>
          </w:p>
        </w:tc>
        <w:tc>
          <w:tcPr>
            <w:tcW w:w="1260" w:type="dxa"/>
            <w:tcBorders>
              <w:top w:val="nil"/>
              <w:left w:val="nil"/>
              <w:bottom w:val="nil"/>
              <w:right w:val="nil"/>
            </w:tcBorders>
            <w:shd w:val="clear" w:color="auto" w:fill="auto"/>
            <w:noWrap/>
            <w:vAlign w:val="bottom"/>
          </w:tcPr>
          <w:p w:rsidRPr="004557E9" w:rsidR="004557E9" w:rsidP="004557E9" w:rsidRDefault="004557E9" w14:paraId="6D1E2874" w14:textId="36C5F822">
            <w:pPr>
              <w:jc w:val="right"/>
              <w:rPr>
                <w:sz w:val="14"/>
                <w:szCs w:val="14"/>
              </w:rPr>
            </w:pPr>
            <w:r w:rsidRPr="004557E9">
              <w:rPr>
                <w:sz w:val="14"/>
                <w:szCs w:val="14"/>
              </w:rPr>
              <w:t xml:space="preserve">815,347 </w:t>
            </w:r>
          </w:p>
        </w:tc>
        <w:tc>
          <w:tcPr>
            <w:tcW w:w="1080" w:type="dxa"/>
            <w:tcBorders>
              <w:top w:val="nil"/>
              <w:left w:val="nil"/>
              <w:bottom w:val="nil"/>
              <w:right w:val="nil"/>
            </w:tcBorders>
            <w:shd w:val="clear" w:color="auto" w:fill="auto"/>
            <w:noWrap/>
            <w:vAlign w:val="bottom"/>
          </w:tcPr>
          <w:p w:rsidRPr="004557E9" w:rsidR="004557E9" w:rsidP="004557E9" w:rsidRDefault="004557E9" w14:paraId="3902E1CD" w14:textId="28B37F26">
            <w:pPr>
              <w:jc w:val="right"/>
              <w:rPr>
                <w:sz w:val="14"/>
                <w:szCs w:val="14"/>
              </w:rPr>
            </w:pPr>
            <w:r w:rsidRPr="004557E9">
              <w:rPr>
                <w:sz w:val="14"/>
                <w:szCs w:val="14"/>
              </w:rPr>
              <w:t xml:space="preserve">68,575,748 </w:t>
            </w:r>
          </w:p>
        </w:tc>
        <w:tc>
          <w:tcPr>
            <w:tcW w:w="900" w:type="dxa"/>
            <w:tcBorders>
              <w:top w:val="nil"/>
              <w:left w:val="nil"/>
              <w:bottom w:val="nil"/>
              <w:right w:val="nil"/>
            </w:tcBorders>
            <w:shd w:val="clear" w:color="auto" w:fill="auto"/>
            <w:noWrap/>
            <w:vAlign w:val="bottom"/>
          </w:tcPr>
          <w:p w:rsidRPr="004557E9" w:rsidR="004557E9" w:rsidP="004557E9" w:rsidRDefault="004557E9" w14:paraId="3E9D5276" w14:textId="7CF38000">
            <w:pPr>
              <w:jc w:val="right"/>
              <w:rPr>
                <w:sz w:val="14"/>
                <w:szCs w:val="14"/>
              </w:rPr>
            </w:pPr>
            <w:r w:rsidRPr="004557E9">
              <w:rPr>
                <w:sz w:val="14"/>
                <w:szCs w:val="14"/>
              </w:rPr>
              <w:t>3.54%</w:t>
            </w:r>
          </w:p>
        </w:tc>
        <w:tc>
          <w:tcPr>
            <w:tcW w:w="900" w:type="dxa"/>
            <w:tcBorders>
              <w:top w:val="nil"/>
              <w:left w:val="nil"/>
              <w:bottom w:val="nil"/>
              <w:right w:val="nil"/>
            </w:tcBorders>
            <w:shd w:val="clear" w:color="auto" w:fill="auto"/>
            <w:vAlign w:val="bottom"/>
          </w:tcPr>
          <w:p w:rsidRPr="004557E9" w:rsidR="004557E9" w:rsidP="004557E9" w:rsidRDefault="004557E9" w14:paraId="34713C4E" w14:textId="222CBEAC">
            <w:pPr>
              <w:jc w:val="right"/>
              <w:rPr>
                <w:sz w:val="14"/>
                <w:szCs w:val="14"/>
              </w:rPr>
            </w:pPr>
            <w:r w:rsidRPr="004557E9">
              <w:rPr>
                <w:sz w:val="14"/>
                <w:szCs w:val="14"/>
              </w:rPr>
              <w:t>3.01%</w:t>
            </w:r>
          </w:p>
        </w:tc>
      </w:tr>
      <w:tr w:rsidRPr="007132E1" w:rsidR="004557E9" w:rsidTr="00E6200E" w14:paraId="75876A26" w14:textId="77777777">
        <w:trPr>
          <w:trHeight w:val="20"/>
        </w:trPr>
        <w:tc>
          <w:tcPr>
            <w:tcW w:w="1255" w:type="dxa"/>
            <w:noWrap/>
            <w:vAlign w:val="bottom"/>
          </w:tcPr>
          <w:p w:rsidRPr="00030447" w:rsidR="004557E9" w:rsidP="004557E9" w:rsidRDefault="004557E9" w14:paraId="1EAB70AE" w14:textId="77777777">
            <w:pPr>
              <w:jc w:val="right"/>
              <w:rPr>
                <w:sz w:val="14"/>
                <w:szCs w:val="14"/>
              </w:rPr>
            </w:pPr>
            <w:r w:rsidRPr="00030447">
              <w:rPr>
                <w:sz w:val="14"/>
                <w:szCs w:val="14"/>
              </w:rPr>
              <w:t>2022 Series A</w:t>
            </w:r>
          </w:p>
        </w:tc>
        <w:tc>
          <w:tcPr>
            <w:tcW w:w="256" w:type="dxa"/>
            <w:noWrap/>
            <w:vAlign w:val="bottom"/>
          </w:tcPr>
          <w:p w:rsidRPr="007132E1" w:rsidR="004557E9" w:rsidP="004557E9" w:rsidRDefault="004557E9" w14:paraId="320E94A9" w14:textId="77777777">
            <w:pPr>
              <w:jc w:val="right"/>
              <w:rPr>
                <w:sz w:val="14"/>
                <w:szCs w:val="14"/>
              </w:rPr>
            </w:pPr>
          </w:p>
        </w:tc>
        <w:tc>
          <w:tcPr>
            <w:tcW w:w="1099" w:type="dxa"/>
            <w:tcBorders>
              <w:top w:val="nil"/>
              <w:left w:val="nil"/>
              <w:bottom w:val="nil"/>
              <w:right w:val="nil"/>
            </w:tcBorders>
            <w:shd w:val="clear" w:color="auto" w:fill="auto"/>
            <w:noWrap/>
            <w:vAlign w:val="bottom"/>
          </w:tcPr>
          <w:p w:rsidRPr="00E6200E" w:rsidR="004557E9" w:rsidP="004557E9" w:rsidRDefault="004557E9" w14:paraId="7469DBE0" w14:textId="5012462A">
            <w:pPr>
              <w:jc w:val="right"/>
              <w:rPr>
                <w:sz w:val="14"/>
                <w:szCs w:val="14"/>
              </w:rPr>
            </w:pPr>
            <w:r w:rsidRPr="00E6200E">
              <w:rPr>
                <w:sz w:val="14"/>
                <w:szCs w:val="14"/>
              </w:rPr>
              <w:t xml:space="preserve">85,253,546 </w:t>
            </w:r>
          </w:p>
        </w:tc>
        <w:tc>
          <w:tcPr>
            <w:tcW w:w="1170" w:type="dxa"/>
            <w:tcBorders>
              <w:top w:val="nil"/>
              <w:left w:val="nil"/>
              <w:bottom w:val="nil"/>
              <w:right w:val="nil"/>
            </w:tcBorders>
            <w:shd w:val="clear" w:color="auto" w:fill="auto"/>
            <w:noWrap/>
            <w:vAlign w:val="bottom"/>
          </w:tcPr>
          <w:p w:rsidRPr="0039586C" w:rsidR="004557E9" w:rsidP="004557E9" w:rsidRDefault="004557E9" w14:paraId="1C252154" w14:textId="2AB3277C">
            <w:pPr>
              <w:jc w:val="right"/>
              <w:rPr>
                <w:sz w:val="14"/>
                <w:szCs w:val="14"/>
              </w:rPr>
            </w:pPr>
            <w:r w:rsidRPr="0039586C">
              <w:rPr>
                <w:sz w:val="14"/>
                <w:szCs w:val="14"/>
              </w:rPr>
              <w:t xml:space="preserve">598,625 </w:t>
            </w:r>
          </w:p>
        </w:tc>
        <w:tc>
          <w:tcPr>
            <w:tcW w:w="1080" w:type="dxa"/>
            <w:tcBorders>
              <w:top w:val="nil"/>
              <w:left w:val="nil"/>
              <w:bottom w:val="nil"/>
              <w:right w:val="nil"/>
            </w:tcBorders>
            <w:shd w:val="clear" w:color="auto" w:fill="auto"/>
            <w:noWrap/>
            <w:vAlign w:val="bottom"/>
          </w:tcPr>
          <w:p w:rsidRPr="0039586C" w:rsidR="004557E9" w:rsidP="004557E9" w:rsidRDefault="004557E9" w14:paraId="577C5E38" w14:textId="2394DD9C">
            <w:pPr>
              <w:jc w:val="right"/>
              <w:rPr>
                <w:sz w:val="14"/>
                <w:szCs w:val="14"/>
              </w:rPr>
            </w:pPr>
            <w:r w:rsidRPr="0039586C">
              <w:rPr>
                <w:sz w:val="14"/>
                <w:szCs w:val="14"/>
              </w:rPr>
              <w:t xml:space="preserve">84,262,719 </w:t>
            </w:r>
          </w:p>
        </w:tc>
        <w:tc>
          <w:tcPr>
            <w:tcW w:w="1350" w:type="dxa"/>
            <w:tcBorders>
              <w:top w:val="nil"/>
              <w:left w:val="nil"/>
              <w:bottom w:val="nil"/>
              <w:right w:val="nil"/>
            </w:tcBorders>
            <w:shd w:val="clear" w:color="auto" w:fill="auto"/>
            <w:noWrap/>
            <w:vAlign w:val="bottom"/>
          </w:tcPr>
          <w:p w:rsidRPr="0039586C" w:rsidR="004557E9" w:rsidP="004557E9" w:rsidRDefault="004557E9" w14:paraId="593767DA" w14:textId="50A7360F">
            <w:pPr>
              <w:jc w:val="right"/>
              <w:rPr>
                <w:sz w:val="14"/>
                <w:szCs w:val="14"/>
              </w:rPr>
            </w:pPr>
            <w:r w:rsidRPr="0039586C">
              <w:rPr>
                <w:sz w:val="14"/>
                <w:szCs w:val="14"/>
              </w:rPr>
              <w:t xml:space="preserve">108,294 </w:t>
            </w:r>
          </w:p>
        </w:tc>
        <w:tc>
          <w:tcPr>
            <w:tcW w:w="1260" w:type="dxa"/>
            <w:tcBorders>
              <w:top w:val="nil"/>
              <w:left w:val="nil"/>
              <w:bottom w:val="nil"/>
              <w:right w:val="nil"/>
            </w:tcBorders>
            <w:shd w:val="clear" w:color="auto" w:fill="auto"/>
            <w:noWrap/>
            <w:vAlign w:val="bottom"/>
          </w:tcPr>
          <w:p w:rsidRPr="004557E9" w:rsidR="004557E9" w:rsidP="004557E9" w:rsidRDefault="004557E9" w14:paraId="3D980A69" w14:textId="4377E2FB">
            <w:pPr>
              <w:jc w:val="right"/>
              <w:rPr>
                <w:sz w:val="14"/>
                <w:szCs w:val="14"/>
              </w:rPr>
            </w:pPr>
            <w:r w:rsidRPr="004557E9">
              <w:rPr>
                <w:sz w:val="14"/>
                <w:szCs w:val="14"/>
              </w:rPr>
              <w:t xml:space="preserve">83,760,387 </w:t>
            </w:r>
          </w:p>
        </w:tc>
        <w:tc>
          <w:tcPr>
            <w:tcW w:w="1350" w:type="dxa"/>
            <w:tcBorders>
              <w:top w:val="nil"/>
              <w:left w:val="nil"/>
              <w:bottom w:val="nil"/>
              <w:right w:val="nil"/>
            </w:tcBorders>
            <w:shd w:val="clear" w:color="auto" w:fill="auto"/>
            <w:noWrap/>
            <w:vAlign w:val="bottom"/>
          </w:tcPr>
          <w:p w:rsidRPr="004557E9" w:rsidR="004557E9" w:rsidP="004557E9" w:rsidRDefault="004557E9" w14:paraId="0CD42D6C" w14:textId="7E6D92FD">
            <w:pPr>
              <w:jc w:val="right"/>
              <w:rPr>
                <w:sz w:val="14"/>
                <w:szCs w:val="14"/>
              </w:rPr>
            </w:pPr>
            <w:r w:rsidRPr="004557E9">
              <w:rPr>
                <w:sz w:val="14"/>
                <w:szCs w:val="14"/>
              </w:rPr>
              <w:t xml:space="preserve">448,332 </w:t>
            </w:r>
          </w:p>
        </w:tc>
        <w:tc>
          <w:tcPr>
            <w:tcW w:w="1170" w:type="dxa"/>
            <w:tcBorders>
              <w:top w:val="nil"/>
              <w:left w:val="nil"/>
              <w:bottom w:val="nil"/>
              <w:right w:val="nil"/>
            </w:tcBorders>
            <w:shd w:val="clear" w:color="auto" w:fill="auto"/>
            <w:noWrap/>
            <w:vAlign w:val="bottom"/>
          </w:tcPr>
          <w:p w:rsidRPr="004557E9" w:rsidR="004557E9" w:rsidP="004557E9" w:rsidRDefault="004557E9" w14:paraId="42DF4274" w14:textId="5C68B245">
            <w:pPr>
              <w:jc w:val="right"/>
              <w:rPr>
                <w:sz w:val="14"/>
                <w:szCs w:val="14"/>
              </w:rPr>
            </w:pPr>
            <w:r w:rsidRPr="004557E9">
              <w:rPr>
                <w:sz w:val="14"/>
                <w:szCs w:val="14"/>
              </w:rPr>
              <w:t xml:space="preserve">82,914,817 </w:t>
            </w:r>
          </w:p>
        </w:tc>
        <w:tc>
          <w:tcPr>
            <w:tcW w:w="1260" w:type="dxa"/>
            <w:tcBorders>
              <w:top w:val="nil"/>
              <w:left w:val="nil"/>
              <w:bottom w:val="nil"/>
              <w:right w:val="nil"/>
            </w:tcBorders>
            <w:shd w:val="clear" w:color="auto" w:fill="auto"/>
            <w:noWrap/>
            <w:vAlign w:val="bottom"/>
          </w:tcPr>
          <w:p w:rsidRPr="004557E9" w:rsidR="004557E9" w:rsidP="004557E9" w:rsidRDefault="004557E9" w14:paraId="0A053B27" w14:textId="4CB0A41A">
            <w:pPr>
              <w:jc w:val="right"/>
              <w:rPr>
                <w:sz w:val="14"/>
                <w:szCs w:val="14"/>
              </w:rPr>
            </w:pPr>
            <w:r w:rsidRPr="004557E9">
              <w:rPr>
                <w:sz w:val="14"/>
                <w:szCs w:val="14"/>
              </w:rPr>
              <w:t xml:space="preserve">1,250,257 </w:t>
            </w:r>
          </w:p>
        </w:tc>
        <w:tc>
          <w:tcPr>
            <w:tcW w:w="1080" w:type="dxa"/>
            <w:tcBorders>
              <w:top w:val="nil"/>
              <w:left w:val="nil"/>
              <w:bottom w:val="nil"/>
              <w:right w:val="nil"/>
            </w:tcBorders>
            <w:shd w:val="clear" w:color="auto" w:fill="auto"/>
            <w:noWrap/>
            <w:vAlign w:val="bottom"/>
          </w:tcPr>
          <w:p w:rsidRPr="004557E9" w:rsidR="004557E9" w:rsidP="004557E9" w:rsidRDefault="004557E9" w14:paraId="05BB06F0" w14:textId="68674D74">
            <w:pPr>
              <w:jc w:val="right"/>
              <w:rPr>
                <w:sz w:val="14"/>
                <w:szCs w:val="14"/>
              </w:rPr>
            </w:pPr>
            <w:r w:rsidRPr="004557E9">
              <w:rPr>
                <w:sz w:val="14"/>
                <w:szCs w:val="14"/>
              </w:rPr>
              <w:t xml:space="preserve">81,267,048 </w:t>
            </w:r>
          </w:p>
        </w:tc>
        <w:tc>
          <w:tcPr>
            <w:tcW w:w="900" w:type="dxa"/>
            <w:tcBorders>
              <w:top w:val="nil"/>
              <w:left w:val="nil"/>
              <w:bottom w:val="nil"/>
              <w:right w:val="nil"/>
            </w:tcBorders>
            <w:shd w:val="clear" w:color="auto" w:fill="auto"/>
            <w:noWrap/>
            <w:vAlign w:val="bottom"/>
          </w:tcPr>
          <w:p w:rsidRPr="004557E9" w:rsidR="004557E9" w:rsidP="004557E9" w:rsidRDefault="004557E9" w14:paraId="7305C867" w14:textId="3E63124B">
            <w:pPr>
              <w:jc w:val="right"/>
              <w:rPr>
                <w:sz w:val="14"/>
                <w:szCs w:val="14"/>
              </w:rPr>
            </w:pPr>
            <w:r w:rsidRPr="004557E9">
              <w:rPr>
                <w:sz w:val="14"/>
                <w:szCs w:val="14"/>
              </w:rPr>
              <w:t>4.05%</w:t>
            </w:r>
          </w:p>
        </w:tc>
        <w:tc>
          <w:tcPr>
            <w:tcW w:w="900" w:type="dxa"/>
            <w:tcBorders>
              <w:top w:val="nil"/>
              <w:left w:val="nil"/>
              <w:bottom w:val="nil"/>
              <w:right w:val="nil"/>
            </w:tcBorders>
            <w:shd w:val="clear" w:color="auto" w:fill="auto"/>
            <w:vAlign w:val="bottom"/>
          </w:tcPr>
          <w:p w:rsidRPr="004557E9" w:rsidR="004557E9" w:rsidP="004557E9" w:rsidRDefault="004557E9" w14:paraId="3FE5FF7E" w14:textId="4FDEB723">
            <w:pPr>
              <w:jc w:val="right"/>
              <w:rPr>
                <w:sz w:val="14"/>
                <w:szCs w:val="14"/>
              </w:rPr>
            </w:pPr>
            <w:r w:rsidRPr="004557E9">
              <w:rPr>
                <w:sz w:val="14"/>
                <w:szCs w:val="14"/>
              </w:rPr>
              <w:t>3.51%</w:t>
            </w:r>
          </w:p>
        </w:tc>
      </w:tr>
      <w:tr w:rsidRPr="007132E1" w:rsidR="004557E9" w:rsidTr="00E6200E" w14:paraId="23F6ED0C" w14:textId="77777777">
        <w:trPr>
          <w:trHeight w:val="20"/>
        </w:trPr>
        <w:tc>
          <w:tcPr>
            <w:tcW w:w="1255" w:type="dxa"/>
            <w:noWrap/>
            <w:vAlign w:val="bottom"/>
          </w:tcPr>
          <w:p w:rsidRPr="00030447" w:rsidR="004557E9" w:rsidP="004557E9" w:rsidRDefault="004557E9" w14:paraId="67002ACA" w14:textId="77777777">
            <w:pPr>
              <w:jc w:val="right"/>
              <w:rPr>
                <w:sz w:val="14"/>
                <w:szCs w:val="14"/>
              </w:rPr>
            </w:pPr>
            <w:r w:rsidRPr="00030447">
              <w:rPr>
                <w:sz w:val="14"/>
                <w:szCs w:val="14"/>
              </w:rPr>
              <w:t>2022 Series B</w:t>
            </w:r>
          </w:p>
        </w:tc>
        <w:tc>
          <w:tcPr>
            <w:tcW w:w="256" w:type="dxa"/>
            <w:noWrap/>
            <w:vAlign w:val="bottom"/>
          </w:tcPr>
          <w:p w:rsidRPr="007132E1" w:rsidR="004557E9" w:rsidP="004557E9" w:rsidRDefault="004557E9" w14:paraId="0C76724F" w14:textId="77777777">
            <w:pPr>
              <w:jc w:val="right"/>
              <w:rPr>
                <w:sz w:val="14"/>
                <w:szCs w:val="14"/>
              </w:rPr>
            </w:pPr>
          </w:p>
        </w:tc>
        <w:tc>
          <w:tcPr>
            <w:tcW w:w="1099" w:type="dxa"/>
            <w:tcBorders>
              <w:top w:val="nil"/>
              <w:left w:val="nil"/>
              <w:bottom w:val="nil"/>
              <w:right w:val="nil"/>
            </w:tcBorders>
            <w:shd w:val="clear" w:color="auto" w:fill="auto"/>
            <w:noWrap/>
            <w:vAlign w:val="bottom"/>
          </w:tcPr>
          <w:p w:rsidRPr="00E6200E" w:rsidR="004557E9" w:rsidP="004557E9" w:rsidRDefault="004557E9" w14:paraId="370BFBE5" w14:textId="0AD07B92">
            <w:pPr>
              <w:jc w:val="right"/>
              <w:rPr>
                <w:sz w:val="14"/>
                <w:szCs w:val="14"/>
              </w:rPr>
            </w:pPr>
            <w:r w:rsidRPr="00E6200E">
              <w:rPr>
                <w:sz w:val="14"/>
                <w:szCs w:val="14"/>
              </w:rPr>
              <w:t xml:space="preserve">105,018,391 </w:t>
            </w:r>
          </w:p>
        </w:tc>
        <w:tc>
          <w:tcPr>
            <w:tcW w:w="1170" w:type="dxa"/>
            <w:tcBorders>
              <w:top w:val="nil"/>
              <w:left w:val="nil"/>
              <w:bottom w:val="nil"/>
              <w:right w:val="nil"/>
            </w:tcBorders>
            <w:shd w:val="clear" w:color="auto" w:fill="auto"/>
            <w:noWrap/>
            <w:vAlign w:val="bottom"/>
          </w:tcPr>
          <w:p w:rsidRPr="0039586C" w:rsidR="004557E9" w:rsidP="004557E9" w:rsidRDefault="004557E9" w14:paraId="61CB46B2" w14:textId="026296A7">
            <w:pPr>
              <w:jc w:val="right"/>
              <w:rPr>
                <w:sz w:val="14"/>
                <w:szCs w:val="14"/>
              </w:rPr>
            </w:pPr>
            <w:r w:rsidRPr="0039586C">
              <w:rPr>
                <w:sz w:val="14"/>
                <w:szCs w:val="14"/>
              </w:rPr>
              <w:t xml:space="preserve">756,649 </w:t>
            </w:r>
          </w:p>
        </w:tc>
        <w:tc>
          <w:tcPr>
            <w:tcW w:w="1080" w:type="dxa"/>
            <w:tcBorders>
              <w:top w:val="nil"/>
              <w:left w:val="nil"/>
              <w:bottom w:val="nil"/>
              <w:right w:val="nil"/>
            </w:tcBorders>
            <w:shd w:val="clear" w:color="auto" w:fill="auto"/>
            <w:noWrap/>
            <w:vAlign w:val="bottom"/>
          </w:tcPr>
          <w:p w:rsidRPr="0039586C" w:rsidR="004557E9" w:rsidP="004557E9" w:rsidRDefault="004557E9" w14:paraId="4E6417F2" w14:textId="0F41092D">
            <w:pPr>
              <w:jc w:val="right"/>
              <w:rPr>
                <w:sz w:val="14"/>
                <w:szCs w:val="14"/>
              </w:rPr>
            </w:pPr>
            <w:r w:rsidRPr="0039586C">
              <w:rPr>
                <w:sz w:val="14"/>
                <w:szCs w:val="14"/>
              </w:rPr>
              <w:t xml:space="preserve">103,902,979 </w:t>
            </w:r>
          </w:p>
        </w:tc>
        <w:tc>
          <w:tcPr>
            <w:tcW w:w="1350" w:type="dxa"/>
            <w:tcBorders>
              <w:top w:val="nil"/>
              <w:left w:val="nil"/>
              <w:bottom w:val="nil"/>
              <w:right w:val="nil"/>
            </w:tcBorders>
            <w:shd w:val="clear" w:color="auto" w:fill="auto"/>
            <w:noWrap/>
            <w:vAlign w:val="bottom"/>
          </w:tcPr>
          <w:p w:rsidRPr="0039586C" w:rsidR="004557E9" w:rsidP="004557E9" w:rsidRDefault="004557E9" w14:paraId="70F76D5C" w14:textId="3DD5FF07">
            <w:pPr>
              <w:jc w:val="right"/>
              <w:rPr>
                <w:sz w:val="14"/>
                <w:szCs w:val="14"/>
              </w:rPr>
            </w:pPr>
            <w:r w:rsidRPr="0039586C">
              <w:rPr>
                <w:sz w:val="14"/>
                <w:szCs w:val="14"/>
              </w:rPr>
              <w:t xml:space="preserve">696,202 </w:t>
            </w:r>
          </w:p>
        </w:tc>
        <w:tc>
          <w:tcPr>
            <w:tcW w:w="1260" w:type="dxa"/>
            <w:tcBorders>
              <w:top w:val="nil"/>
              <w:left w:val="nil"/>
              <w:bottom w:val="nil"/>
              <w:right w:val="nil"/>
            </w:tcBorders>
            <w:shd w:val="clear" w:color="auto" w:fill="auto"/>
            <w:noWrap/>
            <w:vAlign w:val="bottom"/>
          </w:tcPr>
          <w:p w:rsidRPr="004557E9" w:rsidR="004557E9" w:rsidP="004557E9" w:rsidRDefault="004557E9" w14:paraId="5F2B6971" w14:textId="156BA94F">
            <w:pPr>
              <w:jc w:val="right"/>
              <w:rPr>
                <w:sz w:val="14"/>
                <w:szCs w:val="14"/>
              </w:rPr>
            </w:pPr>
            <w:r w:rsidRPr="004557E9">
              <w:rPr>
                <w:sz w:val="14"/>
                <w:szCs w:val="14"/>
              </w:rPr>
              <w:t xml:space="preserve">102,845,399 </w:t>
            </w:r>
          </w:p>
        </w:tc>
        <w:tc>
          <w:tcPr>
            <w:tcW w:w="1350" w:type="dxa"/>
            <w:tcBorders>
              <w:top w:val="nil"/>
              <w:left w:val="nil"/>
              <w:bottom w:val="nil"/>
              <w:right w:val="nil"/>
            </w:tcBorders>
            <w:shd w:val="clear" w:color="auto" w:fill="auto"/>
            <w:noWrap/>
            <w:vAlign w:val="bottom"/>
          </w:tcPr>
          <w:p w:rsidRPr="004557E9" w:rsidR="004557E9" w:rsidP="004557E9" w:rsidRDefault="004557E9" w14:paraId="1F78FA2E" w14:textId="243A35F8">
            <w:pPr>
              <w:jc w:val="right"/>
              <w:rPr>
                <w:sz w:val="14"/>
                <w:szCs w:val="14"/>
              </w:rPr>
            </w:pPr>
            <w:r w:rsidRPr="004557E9">
              <w:rPr>
                <w:sz w:val="14"/>
                <w:szCs w:val="14"/>
              </w:rPr>
              <w:t xml:space="preserve">1,710,790 </w:t>
            </w:r>
          </w:p>
        </w:tc>
        <w:tc>
          <w:tcPr>
            <w:tcW w:w="1170" w:type="dxa"/>
            <w:tcBorders>
              <w:top w:val="nil"/>
              <w:left w:val="nil"/>
              <w:bottom w:val="nil"/>
              <w:right w:val="nil"/>
            </w:tcBorders>
            <w:shd w:val="clear" w:color="auto" w:fill="auto"/>
            <w:noWrap/>
            <w:vAlign w:val="bottom"/>
          </w:tcPr>
          <w:p w:rsidRPr="004557E9" w:rsidR="004557E9" w:rsidP="004557E9" w:rsidRDefault="004557E9" w14:paraId="7F228049" w14:textId="0E92C2D7">
            <w:pPr>
              <w:jc w:val="right"/>
              <w:rPr>
                <w:sz w:val="14"/>
                <w:szCs w:val="14"/>
              </w:rPr>
            </w:pPr>
            <w:r w:rsidRPr="004557E9">
              <w:rPr>
                <w:sz w:val="14"/>
                <w:szCs w:val="14"/>
              </w:rPr>
              <w:t xml:space="preserve">100,773,943 </w:t>
            </w:r>
          </w:p>
        </w:tc>
        <w:tc>
          <w:tcPr>
            <w:tcW w:w="1260" w:type="dxa"/>
            <w:tcBorders>
              <w:top w:val="nil"/>
              <w:left w:val="nil"/>
              <w:bottom w:val="nil"/>
              <w:right w:val="nil"/>
            </w:tcBorders>
            <w:shd w:val="clear" w:color="auto" w:fill="auto"/>
            <w:noWrap/>
            <w:vAlign w:val="bottom"/>
          </w:tcPr>
          <w:p w:rsidRPr="004557E9" w:rsidR="004557E9" w:rsidP="004557E9" w:rsidRDefault="004557E9" w14:paraId="69A07EF5" w14:textId="6785921D">
            <w:pPr>
              <w:jc w:val="right"/>
              <w:rPr>
                <w:sz w:val="14"/>
                <w:szCs w:val="14"/>
              </w:rPr>
            </w:pPr>
            <w:r w:rsidRPr="004557E9">
              <w:rPr>
                <w:sz w:val="14"/>
                <w:szCs w:val="14"/>
              </w:rPr>
              <w:t xml:space="preserve">913,240 </w:t>
            </w:r>
          </w:p>
        </w:tc>
        <w:tc>
          <w:tcPr>
            <w:tcW w:w="1080" w:type="dxa"/>
            <w:tcBorders>
              <w:top w:val="nil"/>
              <w:left w:val="nil"/>
              <w:bottom w:val="nil"/>
              <w:right w:val="nil"/>
            </w:tcBorders>
            <w:shd w:val="clear" w:color="auto" w:fill="auto"/>
            <w:noWrap/>
            <w:vAlign w:val="bottom"/>
          </w:tcPr>
          <w:p w:rsidRPr="004557E9" w:rsidR="004557E9" w:rsidP="004557E9" w:rsidRDefault="004557E9" w14:paraId="4D336262" w14:textId="24375816">
            <w:pPr>
              <w:jc w:val="right"/>
              <w:rPr>
                <w:sz w:val="14"/>
                <w:szCs w:val="14"/>
              </w:rPr>
            </w:pPr>
            <w:r w:rsidRPr="004557E9">
              <w:rPr>
                <w:sz w:val="14"/>
                <w:szCs w:val="14"/>
              </w:rPr>
              <w:t xml:space="preserve">99,498,124 </w:t>
            </w:r>
          </w:p>
        </w:tc>
        <w:tc>
          <w:tcPr>
            <w:tcW w:w="900" w:type="dxa"/>
            <w:tcBorders>
              <w:top w:val="nil"/>
              <w:left w:val="nil"/>
              <w:bottom w:val="nil"/>
              <w:right w:val="nil"/>
            </w:tcBorders>
            <w:shd w:val="clear" w:color="auto" w:fill="auto"/>
            <w:noWrap/>
            <w:vAlign w:val="bottom"/>
          </w:tcPr>
          <w:p w:rsidRPr="004557E9" w:rsidR="004557E9" w:rsidP="004557E9" w:rsidRDefault="004557E9" w14:paraId="47521A39" w14:textId="11DDD6BB">
            <w:pPr>
              <w:jc w:val="right"/>
              <w:rPr>
                <w:sz w:val="14"/>
                <w:szCs w:val="14"/>
              </w:rPr>
            </w:pPr>
            <w:r w:rsidRPr="004557E9">
              <w:rPr>
                <w:sz w:val="14"/>
                <w:szCs w:val="14"/>
              </w:rPr>
              <w:t>5.67%</w:t>
            </w:r>
          </w:p>
        </w:tc>
        <w:tc>
          <w:tcPr>
            <w:tcW w:w="900" w:type="dxa"/>
            <w:tcBorders>
              <w:top w:val="nil"/>
              <w:left w:val="nil"/>
              <w:bottom w:val="nil"/>
              <w:right w:val="nil"/>
            </w:tcBorders>
            <w:shd w:val="clear" w:color="auto" w:fill="auto"/>
            <w:vAlign w:val="bottom"/>
          </w:tcPr>
          <w:p w:rsidRPr="004557E9" w:rsidR="004557E9" w:rsidP="004557E9" w:rsidRDefault="004557E9" w14:paraId="33C4E7A1" w14:textId="4FF21594">
            <w:pPr>
              <w:jc w:val="right"/>
              <w:rPr>
                <w:sz w:val="14"/>
                <w:szCs w:val="14"/>
              </w:rPr>
            </w:pPr>
            <w:r w:rsidRPr="004557E9">
              <w:rPr>
                <w:sz w:val="14"/>
                <w:szCs w:val="14"/>
              </w:rPr>
              <w:t>5.12%</w:t>
            </w:r>
          </w:p>
        </w:tc>
      </w:tr>
      <w:tr w:rsidRPr="007132E1" w:rsidR="004557E9" w:rsidTr="00E6200E" w14:paraId="5C908135" w14:textId="77777777">
        <w:trPr>
          <w:trHeight w:val="20"/>
        </w:trPr>
        <w:tc>
          <w:tcPr>
            <w:tcW w:w="1255" w:type="dxa"/>
            <w:noWrap/>
            <w:vAlign w:val="bottom"/>
          </w:tcPr>
          <w:p w:rsidRPr="00030447" w:rsidR="004557E9" w:rsidP="004557E9" w:rsidRDefault="004557E9" w14:paraId="52F0ABDE" w14:textId="77777777">
            <w:pPr>
              <w:jc w:val="right"/>
              <w:rPr>
                <w:sz w:val="14"/>
                <w:szCs w:val="14"/>
              </w:rPr>
            </w:pPr>
            <w:r w:rsidRPr="00030447">
              <w:rPr>
                <w:sz w:val="14"/>
                <w:szCs w:val="14"/>
              </w:rPr>
              <w:t>2022 Series C</w:t>
            </w:r>
          </w:p>
        </w:tc>
        <w:tc>
          <w:tcPr>
            <w:tcW w:w="256" w:type="dxa"/>
            <w:noWrap/>
            <w:vAlign w:val="bottom"/>
          </w:tcPr>
          <w:p w:rsidRPr="007132E1" w:rsidR="004557E9" w:rsidP="004557E9" w:rsidRDefault="004557E9" w14:paraId="75FE3A90" w14:textId="77777777">
            <w:pPr>
              <w:jc w:val="right"/>
              <w:rPr>
                <w:sz w:val="14"/>
                <w:szCs w:val="14"/>
              </w:rPr>
            </w:pPr>
          </w:p>
        </w:tc>
        <w:tc>
          <w:tcPr>
            <w:tcW w:w="1099" w:type="dxa"/>
            <w:noWrap/>
            <w:vAlign w:val="bottom"/>
          </w:tcPr>
          <w:p w:rsidRPr="00E6200E" w:rsidR="004557E9" w:rsidP="004557E9" w:rsidRDefault="004557E9" w14:paraId="35199B20" w14:textId="48C0CF3C">
            <w:pPr>
              <w:jc w:val="right"/>
              <w:rPr>
                <w:sz w:val="14"/>
                <w:szCs w:val="14"/>
              </w:rPr>
            </w:pPr>
            <w:r w:rsidRPr="00E6200E">
              <w:rPr>
                <w:sz w:val="14"/>
                <w:szCs w:val="14"/>
              </w:rPr>
              <w:t xml:space="preserve">142,413,520 </w:t>
            </w:r>
          </w:p>
        </w:tc>
        <w:tc>
          <w:tcPr>
            <w:tcW w:w="1170" w:type="dxa"/>
            <w:noWrap/>
            <w:vAlign w:val="bottom"/>
          </w:tcPr>
          <w:p w:rsidRPr="0039586C" w:rsidR="004557E9" w:rsidP="004557E9" w:rsidRDefault="004557E9" w14:paraId="3260FB5C" w14:textId="20F0B2FE">
            <w:pPr>
              <w:jc w:val="right"/>
              <w:rPr>
                <w:sz w:val="14"/>
                <w:szCs w:val="14"/>
              </w:rPr>
            </w:pPr>
            <w:r w:rsidRPr="0039586C">
              <w:rPr>
                <w:sz w:val="14"/>
                <w:szCs w:val="14"/>
              </w:rPr>
              <w:t xml:space="preserve">419,147 </w:t>
            </w:r>
          </w:p>
        </w:tc>
        <w:tc>
          <w:tcPr>
            <w:tcW w:w="1080" w:type="dxa"/>
            <w:noWrap/>
            <w:vAlign w:val="bottom"/>
          </w:tcPr>
          <w:p w:rsidRPr="0039586C" w:rsidR="004557E9" w:rsidP="004557E9" w:rsidRDefault="004557E9" w14:paraId="4D97BF01" w14:textId="06C644B4">
            <w:pPr>
              <w:jc w:val="right"/>
              <w:rPr>
                <w:sz w:val="14"/>
                <w:szCs w:val="14"/>
              </w:rPr>
            </w:pPr>
            <w:r w:rsidRPr="0039586C">
              <w:rPr>
                <w:sz w:val="14"/>
                <w:szCs w:val="14"/>
              </w:rPr>
              <w:t xml:space="preserve">141,587,895 </w:t>
            </w:r>
          </w:p>
        </w:tc>
        <w:tc>
          <w:tcPr>
            <w:tcW w:w="1350" w:type="dxa"/>
            <w:noWrap/>
            <w:vAlign w:val="bottom"/>
          </w:tcPr>
          <w:p w:rsidRPr="0039586C" w:rsidR="004557E9" w:rsidP="004557E9" w:rsidRDefault="004557E9" w14:paraId="5187673F" w14:textId="4BE49724">
            <w:pPr>
              <w:jc w:val="right"/>
              <w:rPr>
                <w:sz w:val="14"/>
                <w:szCs w:val="14"/>
              </w:rPr>
            </w:pPr>
            <w:r w:rsidRPr="0039586C">
              <w:rPr>
                <w:sz w:val="14"/>
                <w:szCs w:val="14"/>
              </w:rPr>
              <w:t xml:space="preserve">1,748,591 </w:t>
            </w:r>
          </w:p>
        </w:tc>
        <w:tc>
          <w:tcPr>
            <w:tcW w:w="1260" w:type="dxa"/>
            <w:noWrap/>
            <w:vAlign w:val="bottom"/>
          </w:tcPr>
          <w:p w:rsidRPr="004557E9" w:rsidR="004557E9" w:rsidP="004557E9" w:rsidRDefault="004557E9" w14:paraId="5290CC94" w14:textId="7C647BE7">
            <w:pPr>
              <w:jc w:val="right"/>
              <w:rPr>
                <w:sz w:val="14"/>
                <w:szCs w:val="14"/>
              </w:rPr>
            </w:pPr>
            <w:r w:rsidRPr="004557E9">
              <w:rPr>
                <w:sz w:val="14"/>
                <w:szCs w:val="14"/>
              </w:rPr>
              <w:t xml:space="preserve">139,427,985 </w:t>
            </w:r>
          </w:p>
        </w:tc>
        <w:tc>
          <w:tcPr>
            <w:tcW w:w="1350" w:type="dxa"/>
            <w:noWrap/>
            <w:vAlign w:val="bottom"/>
          </w:tcPr>
          <w:p w:rsidRPr="004557E9" w:rsidR="004557E9" w:rsidP="004557E9" w:rsidRDefault="004557E9" w14:paraId="18052ACD" w14:textId="5E7CF82D">
            <w:pPr>
              <w:jc w:val="right"/>
              <w:rPr>
                <w:sz w:val="14"/>
                <w:szCs w:val="14"/>
              </w:rPr>
            </w:pPr>
            <w:r w:rsidRPr="004557E9">
              <w:rPr>
                <w:sz w:val="14"/>
                <w:szCs w:val="14"/>
              </w:rPr>
              <w:t xml:space="preserve">4,598,183 </w:t>
            </w:r>
          </w:p>
        </w:tc>
        <w:tc>
          <w:tcPr>
            <w:tcW w:w="1170" w:type="dxa"/>
            <w:noWrap/>
            <w:vAlign w:val="bottom"/>
          </w:tcPr>
          <w:p w:rsidRPr="004557E9" w:rsidR="004557E9" w:rsidP="004557E9" w:rsidRDefault="004557E9" w14:paraId="1947B691" w14:textId="2EB3AC54">
            <w:pPr>
              <w:jc w:val="right"/>
              <w:rPr>
                <w:sz w:val="14"/>
                <w:szCs w:val="14"/>
              </w:rPr>
            </w:pPr>
            <w:r w:rsidRPr="004557E9">
              <w:rPr>
                <w:sz w:val="14"/>
                <w:szCs w:val="14"/>
              </w:rPr>
              <w:t xml:space="preserve">134,423,484 </w:t>
            </w:r>
          </w:p>
        </w:tc>
        <w:tc>
          <w:tcPr>
            <w:tcW w:w="1260" w:type="dxa"/>
            <w:noWrap/>
            <w:vAlign w:val="bottom"/>
          </w:tcPr>
          <w:p w:rsidRPr="004557E9" w:rsidR="004557E9" w:rsidP="004557E9" w:rsidRDefault="004557E9" w14:paraId="6F33A613" w14:textId="52BD4609">
            <w:pPr>
              <w:jc w:val="right"/>
              <w:rPr>
                <w:sz w:val="14"/>
                <w:szCs w:val="14"/>
              </w:rPr>
            </w:pPr>
            <w:r w:rsidRPr="004557E9">
              <w:rPr>
                <w:sz w:val="14"/>
                <w:szCs w:val="14"/>
              </w:rPr>
              <w:t xml:space="preserve">2,688,208 </w:t>
            </w:r>
          </w:p>
        </w:tc>
        <w:tc>
          <w:tcPr>
            <w:tcW w:w="1080" w:type="dxa"/>
            <w:noWrap/>
            <w:vAlign w:val="bottom"/>
          </w:tcPr>
          <w:p w:rsidRPr="004557E9" w:rsidR="004557E9" w:rsidP="004557E9" w:rsidRDefault="004557E9" w14:paraId="2B771918" w14:textId="4787367A">
            <w:pPr>
              <w:jc w:val="right"/>
              <w:rPr>
                <w:sz w:val="14"/>
                <w:szCs w:val="14"/>
              </w:rPr>
            </w:pPr>
            <w:r w:rsidRPr="004557E9">
              <w:rPr>
                <w:sz w:val="14"/>
                <w:szCs w:val="14"/>
              </w:rPr>
              <w:t xml:space="preserve">131,331,053 </w:t>
            </w:r>
          </w:p>
        </w:tc>
        <w:tc>
          <w:tcPr>
            <w:tcW w:w="900" w:type="dxa"/>
            <w:noWrap/>
            <w:vAlign w:val="bottom"/>
          </w:tcPr>
          <w:p w:rsidRPr="004557E9" w:rsidR="004557E9" w:rsidP="004557E9" w:rsidRDefault="004557E9" w14:paraId="130A80AB" w14:textId="7E4374E6">
            <w:pPr>
              <w:jc w:val="right"/>
              <w:rPr>
                <w:sz w:val="14"/>
                <w:szCs w:val="14"/>
              </w:rPr>
            </w:pPr>
            <w:r w:rsidRPr="004557E9">
              <w:rPr>
                <w:sz w:val="14"/>
                <w:szCs w:val="14"/>
              </w:rPr>
              <w:t>6.56%</w:t>
            </w:r>
          </w:p>
        </w:tc>
        <w:tc>
          <w:tcPr>
            <w:tcW w:w="900" w:type="dxa"/>
            <w:vAlign w:val="bottom"/>
          </w:tcPr>
          <w:p w:rsidRPr="004557E9" w:rsidR="004557E9" w:rsidP="004557E9" w:rsidRDefault="004557E9" w14:paraId="14F6D686" w14:textId="56947049">
            <w:pPr>
              <w:jc w:val="right"/>
              <w:rPr>
                <w:sz w:val="14"/>
                <w:szCs w:val="14"/>
              </w:rPr>
            </w:pPr>
            <w:r w:rsidRPr="004557E9">
              <w:rPr>
                <w:sz w:val="14"/>
                <w:szCs w:val="14"/>
              </w:rPr>
              <w:t>5.97%</w:t>
            </w:r>
          </w:p>
        </w:tc>
      </w:tr>
      <w:tr w:rsidRPr="007132E1" w:rsidR="004557E9" w:rsidTr="00E6200E" w14:paraId="34E90B5C" w14:textId="77777777">
        <w:trPr>
          <w:trHeight w:val="20"/>
        </w:trPr>
        <w:tc>
          <w:tcPr>
            <w:tcW w:w="1255" w:type="dxa"/>
            <w:noWrap/>
            <w:vAlign w:val="bottom"/>
            <w:hideMark/>
          </w:tcPr>
          <w:p w:rsidRPr="00030447" w:rsidR="004557E9" w:rsidP="004557E9" w:rsidRDefault="004557E9" w14:paraId="2EB9C6BD" w14:textId="77777777">
            <w:pPr>
              <w:jc w:val="right"/>
              <w:rPr>
                <w:b/>
                <w:bCs/>
                <w:sz w:val="14"/>
                <w:szCs w:val="14"/>
              </w:rPr>
            </w:pPr>
            <w:r w:rsidRPr="00030447">
              <w:rPr>
                <w:sz w:val="14"/>
                <w:szCs w:val="14"/>
              </w:rPr>
              <w:t>2022 Series D</w:t>
            </w:r>
          </w:p>
        </w:tc>
        <w:tc>
          <w:tcPr>
            <w:tcW w:w="256" w:type="dxa"/>
            <w:noWrap/>
            <w:vAlign w:val="bottom"/>
            <w:hideMark/>
          </w:tcPr>
          <w:p w:rsidRPr="007132E1" w:rsidR="004557E9" w:rsidP="004557E9" w:rsidRDefault="004557E9" w14:paraId="280A1D80" w14:textId="77777777">
            <w:pPr>
              <w:jc w:val="left"/>
              <w:rPr>
                <w:b/>
                <w:bCs/>
                <w:sz w:val="14"/>
                <w:szCs w:val="14"/>
              </w:rPr>
            </w:pPr>
          </w:p>
        </w:tc>
        <w:tc>
          <w:tcPr>
            <w:tcW w:w="1099" w:type="dxa"/>
            <w:tcBorders>
              <w:top w:val="nil"/>
              <w:left w:val="nil"/>
              <w:bottom w:val="nil"/>
              <w:right w:val="nil"/>
            </w:tcBorders>
            <w:shd w:val="clear" w:color="auto" w:fill="auto"/>
            <w:noWrap/>
            <w:vAlign w:val="bottom"/>
            <w:hideMark/>
          </w:tcPr>
          <w:p w:rsidRPr="00E6200E" w:rsidR="004557E9" w:rsidP="004557E9" w:rsidRDefault="004557E9" w14:paraId="271A6D00" w14:textId="0BD138AC">
            <w:pPr>
              <w:widowControl/>
              <w:autoSpaceDE/>
              <w:autoSpaceDN/>
              <w:adjustRightInd/>
              <w:jc w:val="right"/>
              <w:rPr>
                <w:b/>
                <w:bCs/>
                <w:sz w:val="14"/>
                <w:szCs w:val="14"/>
              </w:rPr>
            </w:pPr>
            <w:r w:rsidRPr="00E6200E">
              <w:rPr>
                <w:sz w:val="14"/>
                <w:szCs w:val="14"/>
              </w:rPr>
              <w:t xml:space="preserve">16,538,833 </w:t>
            </w:r>
          </w:p>
        </w:tc>
        <w:tc>
          <w:tcPr>
            <w:tcW w:w="1170" w:type="dxa"/>
            <w:tcBorders>
              <w:top w:val="nil"/>
              <w:left w:val="nil"/>
              <w:bottom w:val="nil"/>
              <w:right w:val="nil"/>
            </w:tcBorders>
            <w:shd w:val="clear" w:color="auto" w:fill="auto"/>
            <w:noWrap/>
            <w:vAlign w:val="bottom"/>
            <w:hideMark/>
          </w:tcPr>
          <w:p w:rsidRPr="0039586C" w:rsidR="004557E9" w:rsidP="004557E9" w:rsidRDefault="004557E9" w14:paraId="3BD46700" w14:textId="664255C7">
            <w:pPr>
              <w:widowControl/>
              <w:autoSpaceDE/>
              <w:autoSpaceDN/>
              <w:adjustRightInd/>
              <w:jc w:val="right"/>
              <w:rPr>
                <w:b/>
                <w:bCs/>
                <w:sz w:val="14"/>
                <w:szCs w:val="14"/>
              </w:rPr>
            </w:pPr>
            <w:r w:rsidRPr="0039586C">
              <w:rPr>
                <w:sz w:val="14"/>
                <w:szCs w:val="14"/>
              </w:rPr>
              <w:t xml:space="preserve">48,677 </w:t>
            </w:r>
          </w:p>
        </w:tc>
        <w:tc>
          <w:tcPr>
            <w:tcW w:w="1080" w:type="dxa"/>
            <w:tcBorders>
              <w:top w:val="nil"/>
              <w:left w:val="nil"/>
              <w:bottom w:val="nil"/>
              <w:right w:val="nil"/>
            </w:tcBorders>
            <w:shd w:val="clear" w:color="auto" w:fill="auto"/>
            <w:noWrap/>
            <w:vAlign w:val="bottom"/>
            <w:hideMark/>
          </w:tcPr>
          <w:p w:rsidRPr="0039586C" w:rsidR="004557E9" w:rsidP="004557E9" w:rsidRDefault="004557E9" w14:paraId="5E804836" w14:textId="478972A4">
            <w:pPr>
              <w:jc w:val="right"/>
              <w:rPr>
                <w:b/>
                <w:bCs/>
                <w:sz w:val="14"/>
                <w:szCs w:val="14"/>
              </w:rPr>
            </w:pPr>
            <w:r w:rsidRPr="0039586C">
              <w:rPr>
                <w:sz w:val="14"/>
                <w:szCs w:val="14"/>
              </w:rPr>
              <w:t xml:space="preserve">16,442,952 </w:t>
            </w:r>
          </w:p>
        </w:tc>
        <w:tc>
          <w:tcPr>
            <w:tcW w:w="1350" w:type="dxa"/>
            <w:tcBorders>
              <w:top w:val="nil"/>
              <w:left w:val="nil"/>
              <w:bottom w:val="nil"/>
              <w:right w:val="nil"/>
            </w:tcBorders>
            <w:shd w:val="clear" w:color="auto" w:fill="auto"/>
            <w:noWrap/>
            <w:vAlign w:val="bottom"/>
            <w:hideMark/>
          </w:tcPr>
          <w:p w:rsidRPr="0039586C" w:rsidR="004557E9" w:rsidP="004557E9" w:rsidRDefault="004557E9" w14:paraId="7A5F17F4" w14:textId="2B64223D">
            <w:pPr>
              <w:jc w:val="right"/>
              <w:rPr>
                <w:b/>
                <w:bCs/>
                <w:sz w:val="14"/>
                <w:szCs w:val="14"/>
              </w:rPr>
            </w:pPr>
            <w:r w:rsidRPr="0039586C">
              <w:rPr>
                <w:sz w:val="14"/>
                <w:szCs w:val="14"/>
              </w:rPr>
              <w:t xml:space="preserve">203,068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2D26F1C4" w14:textId="2BFB4AA2">
            <w:pPr>
              <w:jc w:val="right"/>
              <w:rPr>
                <w:b/>
                <w:bCs/>
                <w:sz w:val="14"/>
                <w:szCs w:val="14"/>
              </w:rPr>
            </w:pPr>
            <w:r w:rsidRPr="004557E9">
              <w:rPr>
                <w:sz w:val="14"/>
                <w:szCs w:val="14"/>
              </w:rPr>
              <w:t xml:space="preserve">16,192,116 </w:t>
            </w:r>
          </w:p>
        </w:tc>
        <w:tc>
          <w:tcPr>
            <w:tcW w:w="1350" w:type="dxa"/>
            <w:tcBorders>
              <w:top w:val="nil"/>
              <w:left w:val="nil"/>
              <w:bottom w:val="nil"/>
              <w:right w:val="nil"/>
            </w:tcBorders>
            <w:shd w:val="clear" w:color="auto" w:fill="auto"/>
            <w:noWrap/>
            <w:vAlign w:val="bottom"/>
            <w:hideMark/>
          </w:tcPr>
          <w:p w:rsidRPr="004557E9" w:rsidR="004557E9" w:rsidP="004557E9" w:rsidRDefault="004557E9" w14:paraId="4A15A513" w14:textId="572F39A2">
            <w:pPr>
              <w:jc w:val="right"/>
              <w:rPr>
                <w:b/>
                <w:bCs/>
                <w:sz w:val="14"/>
                <w:szCs w:val="14"/>
              </w:rPr>
            </w:pPr>
            <w:r w:rsidRPr="004557E9">
              <w:rPr>
                <w:sz w:val="14"/>
                <w:szCs w:val="14"/>
              </w:rPr>
              <w:t xml:space="preserve">533,998 </w:t>
            </w:r>
          </w:p>
        </w:tc>
        <w:tc>
          <w:tcPr>
            <w:tcW w:w="1170" w:type="dxa"/>
            <w:tcBorders>
              <w:top w:val="nil"/>
              <w:left w:val="nil"/>
              <w:bottom w:val="nil"/>
              <w:right w:val="nil"/>
            </w:tcBorders>
            <w:shd w:val="clear" w:color="auto" w:fill="auto"/>
            <w:noWrap/>
            <w:vAlign w:val="bottom"/>
            <w:hideMark/>
          </w:tcPr>
          <w:p w:rsidRPr="004557E9" w:rsidR="004557E9" w:rsidP="004557E9" w:rsidRDefault="004557E9" w14:paraId="3B6A9E92" w14:textId="5AECFFEF">
            <w:pPr>
              <w:jc w:val="right"/>
              <w:rPr>
                <w:b/>
                <w:bCs/>
                <w:sz w:val="14"/>
                <w:szCs w:val="14"/>
              </w:rPr>
            </w:pPr>
            <w:r w:rsidRPr="004557E9">
              <w:rPr>
                <w:sz w:val="14"/>
                <w:szCs w:val="14"/>
              </w:rPr>
              <w:t xml:space="preserve">15,610,931 </w:t>
            </w:r>
          </w:p>
        </w:tc>
        <w:tc>
          <w:tcPr>
            <w:tcW w:w="1260" w:type="dxa"/>
            <w:tcBorders>
              <w:top w:val="nil"/>
              <w:left w:val="nil"/>
              <w:bottom w:val="nil"/>
              <w:right w:val="nil"/>
            </w:tcBorders>
            <w:shd w:val="clear" w:color="auto" w:fill="auto"/>
            <w:noWrap/>
            <w:vAlign w:val="bottom"/>
            <w:hideMark/>
          </w:tcPr>
          <w:p w:rsidRPr="004557E9" w:rsidR="004557E9" w:rsidP="004557E9" w:rsidRDefault="004557E9" w14:paraId="04522A9F" w14:textId="77E4A30A">
            <w:pPr>
              <w:jc w:val="right"/>
              <w:rPr>
                <w:b/>
                <w:bCs/>
                <w:sz w:val="14"/>
                <w:szCs w:val="14"/>
              </w:rPr>
            </w:pPr>
            <w:r w:rsidRPr="004557E9">
              <w:rPr>
                <w:sz w:val="14"/>
                <w:szCs w:val="14"/>
              </w:rPr>
              <w:t xml:space="preserve">312,188 </w:t>
            </w:r>
          </w:p>
        </w:tc>
        <w:tc>
          <w:tcPr>
            <w:tcW w:w="1080" w:type="dxa"/>
            <w:tcBorders>
              <w:top w:val="nil"/>
              <w:left w:val="nil"/>
              <w:bottom w:val="nil"/>
              <w:right w:val="nil"/>
            </w:tcBorders>
            <w:shd w:val="clear" w:color="auto" w:fill="auto"/>
            <w:noWrap/>
            <w:vAlign w:val="bottom"/>
            <w:hideMark/>
          </w:tcPr>
          <w:p w:rsidRPr="004557E9" w:rsidR="004557E9" w:rsidP="004557E9" w:rsidRDefault="004557E9" w14:paraId="5F39D899" w14:textId="58594EE1">
            <w:pPr>
              <w:jc w:val="right"/>
              <w:rPr>
                <w:b/>
                <w:bCs/>
                <w:sz w:val="14"/>
                <w:szCs w:val="14"/>
              </w:rPr>
            </w:pPr>
            <w:r w:rsidRPr="004557E9">
              <w:rPr>
                <w:sz w:val="14"/>
                <w:szCs w:val="14"/>
              </w:rPr>
              <w:t xml:space="preserve">15,251,799 </w:t>
            </w:r>
          </w:p>
        </w:tc>
        <w:tc>
          <w:tcPr>
            <w:tcW w:w="900" w:type="dxa"/>
            <w:tcBorders>
              <w:top w:val="nil"/>
              <w:left w:val="nil"/>
              <w:bottom w:val="nil"/>
              <w:right w:val="nil"/>
            </w:tcBorders>
            <w:shd w:val="clear" w:color="auto" w:fill="auto"/>
            <w:noWrap/>
            <w:vAlign w:val="bottom"/>
            <w:hideMark/>
          </w:tcPr>
          <w:p w:rsidRPr="004557E9" w:rsidR="004557E9" w:rsidP="004557E9" w:rsidRDefault="004557E9" w14:paraId="49374052" w14:textId="7F7BD7F3">
            <w:pPr>
              <w:jc w:val="right"/>
              <w:rPr>
                <w:b/>
                <w:bCs/>
                <w:sz w:val="14"/>
                <w:szCs w:val="14"/>
              </w:rPr>
            </w:pPr>
            <w:r w:rsidRPr="004557E9">
              <w:rPr>
                <w:sz w:val="14"/>
                <w:szCs w:val="14"/>
              </w:rPr>
              <w:t>6.56%</w:t>
            </w:r>
          </w:p>
        </w:tc>
        <w:tc>
          <w:tcPr>
            <w:tcW w:w="900" w:type="dxa"/>
            <w:tcBorders>
              <w:top w:val="nil"/>
              <w:left w:val="nil"/>
              <w:bottom w:val="nil"/>
              <w:right w:val="nil"/>
            </w:tcBorders>
            <w:shd w:val="clear" w:color="auto" w:fill="auto"/>
            <w:vAlign w:val="bottom"/>
          </w:tcPr>
          <w:p w:rsidRPr="004557E9" w:rsidR="004557E9" w:rsidP="004557E9" w:rsidRDefault="004557E9" w14:paraId="67AB625A" w14:textId="1DEB1698">
            <w:pPr>
              <w:jc w:val="right"/>
              <w:rPr>
                <w:b/>
                <w:sz w:val="14"/>
                <w:szCs w:val="14"/>
              </w:rPr>
            </w:pPr>
            <w:r w:rsidRPr="004557E9">
              <w:rPr>
                <w:sz w:val="14"/>
                <w:szCs w:val="14"/>
              </w:rPr>
              <w:t>5.97%</w:t>
            </w:r>
          </w:p>
        </w:tc>
      </w:tr>
      <w:tr w:rsidRPr="007132E1" w:rsidR="004557E9" w:rsidTr="00E6200E" w14:paraId="150F195F" w14:textId="77777777">
        <w:trPr>
          <w:trHeight w:val="20"/>
        </w:trPr>
        <w:tc>
          <w:tcPr>
            <w:tcW w:w="1255" w:type="dxa"/>
            <w:noWrap/>
            <w:vAlign w:val="bottom"/>
          </w:tcPr>
          <w:p w:rsidRPr="00030447" w:rsidR="004557E9" w:rsidP="004557E9" w:rsidRDefault="004557E9" w14:paraId="6B659B24" w14:textId="77777777">
            <w:pPr>
              <w:jc w:val="right"/>
              <w:rPr>
                <w:sz w:val="14"/>
                <w:szCs w:val="14"/>
              </w:rPr>
            </w:pPr>
            <w:r w:rsidRPr="00030447">
              <w:rPr>
                <w:sz w:val="14"/>
                <w:szCs w:val="14"/>
              </w:rPr>
              <w:t>2023 Series A</w:t>
            </w:r>
          </w:p>
        </w:tc>
        <w:tc>
          <w:tcPr>
            <w:tcW w:w="256" w:type="dxa"/>
            <w:noWrap/>
            <w:vAlign w:val="bottom"/>
          </w:tcPr>
          <w:p w:rsidRPr="007132E1" w:rsidR="004557E9" w:rsidP="004557E9" w:rsidRDefault="004557E9" w14:paraId="33FDA24C" w14:textId="77777777">
            <w:pPr>
              <w:jc w:val="left"/>
              <w:rPr>
                <w:b/>
                <w:bCs/>
                <w:sz w:val="14"/>
                <w:szCs w:val="14"/>
              </w:rPr>
            </w:pPr>
          </w:p>
        </w:tc>
        <w:tc>
          <w:tcPr>
            <w:tcW w:w="1099" w:type="dxa"/>
            <w:tcBorders>
              <w:top w:val="nil"/>
              <w:left w:val="nil"/>
              <w:bottom w:val="nil"/>
              <w:right w:val="nil"/>
            </w:tcBorders>
            <w:shd w:val="clear" w:color="auto" w:fill="auto"/>
            <w:noWrap/>
            <w:vAlign w:val="bottom"/>
          </w:tcPr>
          <w:p w:rsidRPr="00E6200E" w:rsidR="004557E9" w:rsidP="004557E9" w:rsidRDefault="004557E9" w14:paraId="24481EF1" w14:textId="512763B8">
            <w:pPr>
              <w:widowControl/>
              <w:autoSpaceDE/>
              <w:autoSpaceDN/>
              <w:adjustRightInd/>
              <w:jc w:val="right"/>
              <w:rPr>
                <w:sz w:val="14"/>
                <w:szCs w:val="14"/>
              </w:rPr>
            </w:pPr>
            <w:r w:rsidRPr="00E6200E">
              <w:rPr>
                <w:sz w:val="14"/>
                <w:szCs w:val="14"/>
              </w:rPr>
              <w:t xml:space="preserve">95,895,042 </w:t>
            </w:r>
          </w:p>
        </w:tc>
        <w:tc>
          <w:tcPr>
            <w:tcW w:w="1170" w:type="dxa"/>
            <w:tcBorders>
              <w:top w:val="nil"/>
              <w:left w:val="nil"/>
              <w:bottom w:val="nil"/>
              <w:right w:val="nil"/>
            </w:tcBorders>
            <w:shd w:val="clear" w:color="auto" w:fill="auto"/>
            <w:noWrap/>
            <w:vAlign w:val="bottom"/>
          </w:tcPr>
          <w:p w:rsidRPr="0039586C" w:rsidR="004557E9" w:rsidP="004557E9" w:rsidRDefault="004557E9" w14:paraId="7DD7DB83" w14:textId="01E0EA20">
            <w:pPr>
              <w:widowControl/>
              <w:autoSpaceDE/>
              <w:autoSpaceDN/>
              <w:adjustRightInd/>
              <w:jc w:val="right"/>
              <w:rPr>
                <w:sz w:val="14"/>
                <w:szCs w:val="14"/>
              </w:rPr>
            </w:pPr>
            <w:r w:rsidRPr="0039586C">
              <w:rPr>
                <w:sz w:val="14"/>
                <w:szCs w:val="14"/>
              </w:rPr>
              <w:t xml:space="preserve">1,739,200 </w:t>
            </w:r>
          </w:p>
        </w:tc>
        <w:tc>
          <w:tcPr>
            <w:tcW w:w="1080" w:type="dxa"/>
            <w:tcBorders>
              <w:top w:val="nil"/>
              <w:left w:val="nil"/>
              <w:bottom w:val="nil"/>
              <w:right w:val="nil"/>
            </w:tcBorders>
            <w:shd w:val="clear" w:color="auto" w:fill="auto"/>
            <w:noWrap/>
            <w:vAlign w:val="bottom"/>
          </w:tcPr>
          <w:p w:rsidRPr="0039586C" w:rsidR="004557E9" w:rsidP="004557E9" w:rsidRDefault="004557E9" w14:paraId="5D0D3A3B" w14:textId="3AEED367">
            <w:pPr>
              <w:jc w:val="right"/>
              <w:rPr>
                <w:sz w:val="14"/>
                <w:szCs w:val="14"/>
              </w:rPr>
            </w:pPr>
            <w:r w:rsidRPr="0039586C">
              <w:rPr>
                <w:sz w:val="14"/>
                <w:szCs w:val="14"/>
              </w:rPr>
              <w:t xml:space="preserve">93,913,314 </w:t>
            </w:r>
          </w:p>
        </w:tc>
        <w:tc>
          <w:tcPr>
            <w:tcW w:w="1350" w:type="dxa"/>
            <w:tcBorders>
              <w:top w:val="nil"/>
              <w:left w:val="nil"/>
              <w:bottom w:val="nil"/>
              <w:right w:val="nil"/>
            </w:tcBorders>
            <w:shd w:val="clear" w:color="auto" w:fill="auto"/>
            <w:noWrap/>
            <w:vAlign w:val="bottom"/>
          </w:tcPr>
          <w:p w:rsidRPr="0039586C" w:rsidR="004557E9" w:rsidP="004557E9" w:rsidRDefault="004557E9" w14:paraId="5F7FDD32" w14:textId="11D8B0CA">
            <w:pPr>
              <w:jc w:val="right"/>
              <w:rPr>
                <w:sz w:val="14"/>
                <w:szCs w:val="14"/>
              </w:rPr>
            </w:pPr>
            <w:r w:rsidRPr="0039586C">
              <w:rPr>
                <w:sz w:val="14"/>
                <w:szCs w:val="14"/>
              </w:rPr>
              <w:t xml:space="preserve">2,280,521 </w:t>
            </w:r>
          </w:p>
        </w:tc>
        <w:tc>
          <w:tcPr>
            <w:tcW w:w="1260" w:type="dxa"/>
            <w:tcBorders>
              <w:top w:val="nil"/>
              <w:left w:val="nil"/>
              <w:bottom w:val="nil"/>
              <w:right w:val="nil"/>
            </w:tcBorders>
            <w:shd w:val="clear" w:color="auto" w:fill="auto"/>
            <w:noWrap/>
            <w:vAlign w:val="bottom"/>
          </w:tcPr>
          <w:p w:rsidRPr="004557E9" w:rsidR="004557E9" w:rsidP="004557E9" w:rsidRDefault="004557E9" w14:paraId="4755B95B" w14:textId="3BEECD85">
            <w:pPr>
              <w:jc w:val="right"/>
              <w:rPr>
                <w:sz w:val="14"/>
                <w:szCs w:val="14"/>
              </w:rPr>
            </w:pPr>
            <w:r w:rsidRPr="004557E9">
              <w:rPr>
                <w:sz w:val="14"/>
                <w:szCs w:val="14"/>
              </w:rPr>
              <w:t xml:space="preserve">91,389,469 </w:t>
            </w:r>
          </w:p>
        </w:tc>
        <w:tc>
          <w:tcPr>
            <w:tcW w:w="1350" w:type="dxa"/>
            <w:tcBorders>
              <w:top w:val="nil"/>
              <w:left w:val="nil"/>
              <w:bottom w:val="nil"/>
              <w:right w:val="nil"/>
            </w:tcBorders>
            <w:shd w:val="clear" w:color="auto" w:fill="auto"/>
            <w:noWrap/>
            <w:vAlign w:val="bottom"/>
          </w:tcPr>
          <w:p w:rsidRPr="004557E9" w:rsidR="004557E9" w:rsidP="004557E9" w:rsidRDefault="004557E9" w14:paraId="3EB4AB01" w14:textId="518FC45A">
            <w:pPr>
              <w:jc w:val="right"/>
              <w:rPr>
                <w:sz w:val="14"/>
                <w:szCs w:val="14"/>
              </w:rPr>
            </w:pPr>
            <w:r w:rsidRPr="004557E9">
              <w:rPr>
                <w:sz w:val="14"/>
                <w:szCs w:val="14"/>
              </w:rPr>
              <w:t xml:space="preserve">3,464,481 </w:t>
            </w:r>
          </w:p>
        </w:tc>
        <w:tc>
          <w:tcPr>
            <w:tcW w:w="1170" w:type="dxa"/>
            <w:tcBorders>
              <w:top w:val="nil"/>
              <w:left w:val="nil"/>
              <w:bottom w:val="nil"/>
              <w:right w:val="nil"/>
            </w:tcBorders>
            <w:shd w:val="clear" w:color="auto" w:fill="auto"/>
            <w:noWrap/>
            <w:vAlign w:val="bottom"/>
          </w:tcPr>
          <w:p w:rsidRPr="004557E9" w:rsidR="004557E9" w:rsidP="004557E9" w:rsidRDefault="004557E9" w14:paraId="34112220" w14:textId="5389975E">
            <w:pPr>
              <w:jc w:val="right"/>
              <w:rPr>
                <w:sz w:val="14"/>
                <w:szCs w:val="14"/>
              </w:rPr>
            </w:pPr>
            <w:r w:rsidRPr="004557E9">
              <w:rPr>
                <w:sz w:val="14"/>
                <w:szCs w:val="14"/>
              </w:rPr>
              <w:t xml:space="preserve">87,687,180 </w:t>
            </w:r>
          </w:p>
        </w:tc>
        <w:tc>
          <w:tcPr>
            <w:tcW w:w="1260" w:type="dxa"/>
            <w:tcBorders>
              <w:top w:val="nil"/>
              <w:left w:val="nil"/>
              <w:bottom w:val="nil"/>
              <w:right w:val="nil"/>
            </w:tcBorders>
            <w:shd w:val="clear" w:color="auto" w:fill="auto"/>
            <w:noWrap/>
            <w:vAlign w:val="bottom"/>
          </w:tcPr>
          <w:p w:rsidRPr="004557E9" w:rsidR="004557E9" w:rsidP="004557E9" w:rsidRDefault="004557E9" w14:paraId="1056FA86" w14:textId="2114EDB4">
            <w:pPr>
              <w:jc w:val="right"/>
              <w:rPr>
                <w:sz w:val="14"/>
                <w:szCs w:val="14"/>
              </w:rPr>
            </w:pPr>
            <w:r w:rsidRPr="004557E9">
              <w:rPr>
                <w:sz w:val="14"/>
                <w:szCs w:val="14"/>
              </w:rPr>
              <w:t xml:space="preserve">540,907 </w:t>
            </w:r>
          </w:p>
        </w:tc>
        <w:tc>
          <w:tcPr>
            <w:tcW w:w="1080" w:type="dxa"/>
            <w:tcBorders>
              <w:top w:val="nil"/>
              <w:left w:val="nil"/>
              <w:bottom w:val="nil"/>
              <w:right w:val="nil"/>
            </w:tcBorders>
            <w:shd w:val="clear" w:color="auto" w:fill="auto"/>
            <w:noWrap/>
            <w:vAlign w:val="bottom"/>
          </w:tcPr>
          <w:p w:rsidRPr="004557E9" w:rsidR="004557E9" w:rsidP="004557E9" w:rsidRDefault="004557E9" w14:paraId="73D5926F" w14:textId="64561E47">
            <w:pPr>
              <w:jc w:val="right"/>
              <w:rPr>
                <w:sz w:val="14"/>
                <w:szCs w:val="14"/>
              </w:rPr>
            </w:pPr>
            <w:r w:rsidRPr="004557E9">
              <w:rPr>
                <w:sz w:val="14"/>
                <w:szCs w:val="14"/>
              </w:rPr>
              <w:t xml:space="preserve">86,909,920 </w:t>
            </w:r>
          </w:p>
        </w:tc>
        <w:tc>
          <w:tcPr>
            <w:tcW w:w="900" w:type="dxa"/>
            <w:tcBorders>
              <w:top w:val="nil"/>
              <w:left w:val="nil"/>
              <w:bottom w:val="nil"/>
              <w:right w:val="nil"/>
            </w:tcBorders>
            <w:shd w:val="clear" w:color="auto" w:fill="auto"/>
            <w:noWrap/>
            <w:vAlign w:val="bottom"/>
          </w:tcPr>
          <w:p w:rsidRPr="004557E9" w:rsidR="004557E9" w:rsidP="004557E9" w:rsidRDefault="004557E9" w14:paraId="635FAF86" w14:textId="3EEE26A4">
            <w:pPr>
              <w:jc w:val="right"/>
              <w:rPr>
                <w:sz w:val="14"/>
                <w:szCs w:val="14"/>
              </w:rPr>
            </w:pPr>
            <w:r w:rsidRPr="004557E9">
              <w:rPr>
                <w:sz w:val="14"/>
                <w:szCs w:val="14"/>
              </w:rPr>
              <w:t>6.98%</w:t>
            </w:r>
          </w:p>
        </w:tc>
        <w:tc>
          <w:tcPr>
            <w:tcW w:w="900" w:type="dxa"/>
            <w:tcBorders>
              <w:top w:val="nil"/>
              <w:left w:val="nil"/>
              <w:bottom w:val="nil"/>
              <w:right w:val="nil"/>
            </w:tcBorders>
            <w:shd w:val="clear" w:color="auto" w:fill="auto"/>
            <w:vAlign w:val="bottom"/>
          </w:tcPr>
          <w:p w:rsidRPr="004557E9" w:rsidR="004557E9" w:rsidP="004557E9" w:rsidRDefault="004557E9" w14:paraId="68DD839D" w14:textId="33AE02AE">
            <w:pPr>
              <w:jc w:val="right"/>
              <w:rPr>
                <w:sz w:val="14"/>
                <w:szCs w:val="14"/>
              </w:rPr>
            </w:pPr>
            <w:r w:rsidRPr="004557E9">
              <w:rPr>
                <w:sz w:val="14"/>
                <w:szCs w:val="14"/>
              </w:rPr>
              <w:t>6.42%</w:t>
            </w:r>
          </w:p>
        </w:tc>
      </w:tr>
      <w:tr w:rsidRPr="007132E1" w:rsidR="004557E9" w:rsidTr="00E6200E" w14:paraId="2320E886" w14:textId="77777777">
        <w:trPr>
          <w:trHeight w:val="20"/>
        </w:trPr>
        <w:tc>
          <w:tcPr>
            <w:tcW w:w="1255" w:type="dxa"/>
            <w:noWrap/>
            <w:vAlign w:val="bottom"/>
          </w:tcPr>
          <w:p w:rsidRPr="00030447" w:rsidR="004557E9" w:rsidP="004557E9" w:rsidRDefault="004557E9" w14:paraId="7F4D043C" w14:textId="77777777">
            <w:pPr>
              <w:jc w:val="right"/>
              <w:rPr>
                <w:sz w:val="14"/>
                <w:szCs w:val="14"/>
              </w:rPr>
            </w:pPr>
            <w:r w:rsidRPr="00030447">
              <w:rPr>
                <w:sz w:val="14"/>
                <w:szCs w:val="14"/>
              </w:rPr>
              <w:t>2023 Series B</w:t>
            </w:r>
          </w:p>
        </w:tc>
        <w:tc>
          <w:tcPr>
            <w:tcW w:w="256" w:type="dxa"/>
            <w:noWrap/>
            <w:vAlign w:val="bottom"/>
          </w:tcPr>
          <w:p w:rsidRPr="007132E1" w:rsidR="004557E9" w:rsidP="004557E9" w:rsidRDefault="004557E9" w14:paraId="48A870E0" w14:textId="77777777">
            <w:pPr>
              <w:jc w:val="left"/>
              <w:rPr>
                <w:b/>
                <w:bCs/>
                <w:sz w:val="14"/>
                <w:szCs w:val="14"/>
              </w:rPr>
            </w:pPr>
          </w:p>
        </w:tc>
        <w:tc>
          <w:tcPr>
            <w:tcW w:w="1099" w:type="dxa"/>
            <w:tcBorders>
              <w:top w:val="nil"/>
              <w:left w:val="nil"/>
              <w:bottom w:val="nil"/>
              <w:right w:val="nil"/>
            </w:tcBorders>
            <w:shd w:val="clear" w:color="auto" w:fill="auto"/>
            <w:noWrap/>
            <w:vAlign w:val="bottom"/>
          </w:tcPr>
          <w:p w:rsidRPr="00E6200E" w:rsidR="004557E9" w:rsidP="004557E9" w:rsidRDefault="004557E9" w14:paraId="00FF1D9E" w14:textId="572A7BB5">
            <w:pPr>
              <w:widowControl/>
              <w:autoSpaceDE/>
              <w:autoSpaceDN/>
              <w:adjustRightInd/>
              <w:jc w:val="right"/>
              <w:rPr>
                <w:sz w:val="14"/>
                <w:szCs w:val="14"/>
              </w:rPr>
            </w:pPr>
            <w:r w:rsidRPr="00E6200E">
              <w:rPr>
                <w:sz w:val="14"/>
                <w:szCs w:val="14"/>
              </w:rPr>
              <w:t xml:space="preserve">70,880,768 </w:t>
            </w:r>
          </w:p>
        </w:tc>
        <w:tc>
          <w:tcPr>
            <w:tcW w:w="1170" w:type="dxa"/>
            <w:tcBorders>
              <w:top w:val="nil"/>
              <w:left w:val="nil"/>
              <w:bottom w:val="nil"/>
              <w:right w:val="nil"/>
            </w:tcBorders>
            <w:shd w:val="clear" w:color="auto" w:fill="auto"/>
            <w:noWrap/>
            <w:vAlign w:val="bottom"/>
          </w:tcPr>
          <w:p w:rsidRPr="0039586C" w:rsidR="004557E9" w:rsidP="004557E9" w:rsidRDefault="004557E9" w14:paraId="561FDA83" w14:textId="2407667C">
            <w:pPr>
              <w:widowControl/>
              <w:autoSpaceDE/>
              <w:autoSpaceDN/>
              <w:adjustRightInd/>
              <w:jc w:val="right"/>
              <w:rPr>
                <w:sz w:val="14"/>
                <w:szCs w:val="14"/>
              </w:rPr>
            </w:pPr>
            <w:r w:rsidRPr="0039586C">
              <w:rPr>
                <w:sz w:val="14"/>
                <w:szCs w:val="14"/>
              </w:rPr>
              <w:t xml:space="preserve">291,177 </w:t>
            </w:r>
          </w:p>
        </w:tc>
        <w:tc>
          <w:tcPr>
            <w:tcW w:w="1080" w:type="dxa"/>
            <w:tcBorders>
              <w:top w:val="nil"/>
              <w:left w:val="nil"/>
              <w:bottom w:val="nil"/>
              <w:right w:val="nil"/>
            </w:tcBorders>
            <w:shd w:val="clear" w:color="auto" w:fill="auto"/>
            <w:noWrap/>
            <w:vAlign w:val="bottom"/>
          </w:tcPr>
          <w:p w:rsidRPr="0039586C" w:rsidR="004557E9" w:rsidP="004557E9" w:rsidRDefault="004557E9" w14:paraId="1F0EC290" w14:textId="29617DF7">
            <w:pPr>
              <w:jc w:val="right"/>
              <w:rPr>
                <w:sz w:val="14"/>
                <w:szCs w:val="14"/>
              </w:rPr>
            </w:pPr>
            <w:r w:rsidRPr="0039586C">
              <w:rPr>
                <w:sz w:val="14"/>
                <w:szCs w:val="14"/>
              </w:rPr>
              <w:t xml:space="preserve">138,506,125 </w:t>
            </w:r>
          </w:p>
        </w:tc>
        <w:tc>
          <w:tcPr>
            <w:tcW w:w="1350" w:type="dxa"/>
            <w:tcBorders>
              <w:top w:val="nil"/>
              <w:left w:val="nil"/>
              <w:bottom w:val="nil"/>
              <w:right w:val="nil"/>
            </w:tcBorders>
            <w:shd w:val="clear" w:color="auto" w:fill="auto"/>
            <w:noWrap/>
            <w:vAlign w:val="bottom"/>
          </w:tcPr>
          <w:p w:rsidRPr="0039586C" w:rsidR="004557E9" w:rsidP="004557E9" w:rsidRDefault="004557E9" w14:paraId="144ACDA1" w14:textId="2713B873">
            <w:pPr>
              <w:jc w:val="right"/>
              <w:rPr>
                <w:sz w:val="14"/>
                <w:szCs w:val="14"/>
              </w:rPr>
            </w:pPr>
            <w:r w:rsidRPr="0039586C">
              <w:rPr>
                <w:sz w:val="14"/>
                <w:szCs w:val="14"/>
              </w:rPr>
              <w:t xml:space="preserve">2,520,635 </w:t>
            </w:r>
          </w:p>
        </w:tc>
        <w:tc>
          <w:tcPr>
            <w:tcW w:w="1260" w:type="dxa"/>
            <w:tcBorders>
              <w:top w:val="nil"/>
              <w:left w:val="nil"/>
              <w:bottom w:val="nil"/>
              <w:right w:val="nil"/>
            </w:tcBorders>
            <w:shd w:val="clear" w:color="auto" w:fill="auto"/>
            <w:noWrap/>
            <w:vAlign w:val="bottom"/>
          </w:tcPr>
          <w:p w:rsidRPr="004557E9" w:rsidR="004557E9" w:rsidP="004557E9" w:rsidRDefault="004557E9" w14:paraId="14BF5FA0" w14:textId="21C2D5DF">
            <w:pPr>
              <w:jc w:val="right"/>
              <w:rPr>
                <w:sz w:val="14"/>
                <w:szCs w:val="14"/>
              </w:rPr>
            </w:pPr>
            <w:r w:rsidRPr="004557E9">
              <w:rPr>
                <w:sz w:val="14"/>
                <w:szCs w:val="14"/>
              </w:rPr>
              <w:t xml:space="preserve">135,649,397 </w:t>
            </w:r>
          </w:p>
        </w:tc>
        <w:tc>
          <w:tcPr>
            <w:tcW w:w="1350" w:type="dxa"/>
            <w:tcBorders>
              <w:top w:val="nil"/>
              <w:left w:val="nil"/>
              <w:bottom w:val="nil"/>
              <w:right w:val="nil"/>
            </w:tcBorders>
            <w:shd w:val="clear" w:color="auto" w:fill="auto"/>
            <w:noWrap/>
            <w:vAlign w:val="bottom"/>
          </w:tcPr>
          <w:p w:rsidRPr="004557E9" w:rsidR="004557E9" w:rsidP="004557E9" w:rsidRDefault="004557E9" w14:paraId="0CC43134" w14:textId="48951E37">
            <w:pPr>
              <w:jc w:val="right"/>
              <w:rPr>
                <w:sz w:val="14"/>
                <w:szCs w:val="14"/>
              </w:rPr>
            </w:pPr>
            <w:r w:rsidRPr="004557E9">
              <w:rPr>
                <w:sz w:val="14"/>
                <w:szCs w:val="14"/>
              </w:rPr>
              <w:t xml:space="preserve">2,456,126 </w:t>
            </w:r>
          </w:p>
        </w:tc>
        <w:tc>
          <w:tcPr>
            <w:tcW w:w="1170" w:type="dxa"/>
            <w:tcBorders>
              <w:top w:val="nil"/>
              <w:left w:val="nil"/>
              <w:bottom w:val="nil"/>
              <w:right w:val="nil"/>
            </w:tcBorders>
            <w:shd w:val="clear" w:color="auto" w:fill="auto"/>
            <w:noWrap/>
            <w:vAlign w:val="bottom"/>
          </w:tcPr>
          <w:p w:rsidRPr="004557E9" w:rsidR="004557E9" w:rsidP="004557E9" w:rsidRDefault="004557E9" w14:paraId="5DA05495" w14:textId="48C43466">
            <w:pPr>
              <w:jc w:val="right"/>
              <w:rPr>
                <w:sz w:val="14"/>
                <w:szCs w:val="14"/>
              </w:rPr>
            </w:pPr>
            <w:r w:rsidRPr="004557E9">
              <w:rPr>
                <w:sz w:val="14"/>
                <w:szCs w:val="14"/>
              </w:rPr>
              <w:t xml:space="preserve">132,858,486 </w:t>
            </w:r>
          </w:p>
        </w:tc>
        <w:tc>
          <w:tcPr>
            <w:tcW w:w="1260" w:type="dxa"/>
            <w:tcBorders>
              <w:top w:val="nil"/>
              <w:left w:val="nil"/>
              <w:bottom w:val="nil"/>
              <w:right w:val="nil"/>
            </w:tcBorders>
            <w:shd w:val="clear" w:color="auto" w:fill="auto"/>
            <w:noWrap/>
            <w:vAlign w:val="bottom"/>
          </w:tcPr>
          <w:p w:rsidRPr="004557E9" w:rsidR="004557E9" w:rsidP="004557E9" w:rsidRDefault="004557E9" w14:paraId="6AD9B6E9" w14:textId="1CA33A85">
            <w:pPr>
              <w:jc w:val="right"/>
              <w:rPr>
                <w:sz w:val="14"/>
                <w:szCs w:val="14"/>
              </w:rPr>
            </w:pPr>
            <w:r w:rsidRPr="004557E9">
              <w:rPr>
                <w:sz w:val="14"/>
                <w:szCs w:val="14"/>
              </w:rPr>
              <w:t xml:space="preserve">1,719,736 </w:t>
            </w:r>
          </w:p>
        </w:tc>
        <w:tc>
          <w:tcPr>
            <w:tcW w:w="1080" w:type="dxa"/>
            <w:tcBorders>
              <w:top w:val="nil"/>
              <w:left w:val="nil"/>
              <w:bottom w:val="nil"/>
              <w:right w:val="nil"/>
            </w:tcBorders>
            <w:shd w:val="clear" w:color="auto" w:fill="auto"/>
            <w:noWrap/>
            <w:vAlign w:val="bottom"/>
          </w:tcPr>
          <w:p w:rsidRPr="004557E9" w:rsidR="004557E9" w:rsidP="004557E9" w:rsidRDefault="004557E9" w14:paraId="3D4B003B" w14:textId="321DD48D">
            <w:pPr>
              <w:jc w:val="right"/>
              <w:rPr>
                <w:sz w:val="14"/>
                <w:szCs w:val="14"/>
              </w:rPr>
            </w:pPr>
            <w:r w:rsidRPr="004557E9">
              <w:rPr>
                <w:sz w:val="14"/>
                <w:szCs w:val="14"/>
              </w:rPr>
              <w:t xml:space="preserve">130,804,810 </w:t>
            </w:r>
          </w:p>
        </w:tc>
        <w:tc>
          <w:tcPr>
            <w:tcW w:w="900" w:type="dxa"/>
            <w:tcBorders>
              <w:top w:val="nil"/>
              <w:left w:val="nil"/>
              <w:bottom w:val="nil"/>
              <w:right w:val="nil"/>
            </w:tcBorders>
            <w:shd w:val="clear" w:color="auto" w:fill="auto"/>
            <w:noWrap/>
            <w:vAlign w:val="bottom"/>
          </w:tcPr>
          <w:p w:rsidRPr="004557E9" w:rsidR="004557E9" w:rsidP="004557E9" w:rsidRDefault="004557E9" w14:paraId="0154AD61" w14:textId="19B3F7A4">
            <w:pPr>
              <w:jc w:val="right"/>
              <w:rPr>
                <w:sz w:val="14"/>
                <w:szCs w:val="14"/>
              </w:rPr>
            </w:pPr>
            <w:r w:rsidRPr="004557E9">
              <w:rPr>
                <w:sz w:val="14"/>
                <w:szCs w:val="14"/>
              </w:rPr>
              <w:t>7.19%</w:t>
            </w:r>
          </w:p>
        </w:tc>
        <w:tc>
          <w:tcPr>
            <w:tcW w:w="900" w:type="dxa"/>
            <w:tcBorders>
              <w:top w:val="nil"/>
              <w:left w:val="nil"/>
              <w:bottom w:val="nil"/>
              <w:right w:val="nil"/>
            </w:tcBorders>
            <w:shd w:val="clear" w:color="auto" w:fill="auto"/>
            <w:vAlign w:val="bottom"/>
          </w:tcPr>
          <w:p w:rsidRPr="004557E9" w:rsidR="004557E9" w:rsidP="004557E9" w:rsidRDefault="004557E9" w14:paraId="288C22D4" w14:textId="468645E6">
            <w:pPr>
              <w:jc w:val="right"/>
              <w:rPr>
                <w:sz w:val="14"/>
                <w:szCs w:val="14"/>
              </w:rPr>
            </w:pPr>
            <w:r w:rsidRPr="004557E9">
              <w:rPr>
                <w:sz w:val="14"/>
                <w:szCs w:val="14"/>
              </w:rPr>
              <w:t>6.61%</w:t>
            </w:r>
          </w:p>
        </w:tc>
      </w:tr>
      <w:tr w:rsidRPr="007132E1" w:rsidR="004557E9" w:rsidTr="00E6200E" w14:paraId="460497F3" w14:textId="77777777">
        <w:trPr>
          <w:trHeight w:val="20"/>
        </w:trPr>
        <w:tc>
          <w:tcPr>
            <w:tcW w:w="1255" w:type="dxa"/>
            <w:noWrap/>
            <w:vAlign w:val="bottom"/>
          </w:tcPr>
          <w:p w:rsidRPr="00030447" w:rsidR="004557E9" w:rsidP="004557E9" w:rsidRDefault="004557E9" w14:paraId="408522ED" w14:textId="77777777">
            <w:pPr>
              <w:jc w:val="right"/>
              <w:rPr>
                <w:sz w:val="14"/>
                <w:szCs w:val="14"/>
              </w:rPr>
            </w:pPr>
            <w:r w:rsidRPr="00030447">
              <w:rPr>
                <w:sz w:val="14"/>
                <w:szCs w:val="14"/>
              </w:rPr>
              <w:t>2023 Series C</w:t>
            </w:r>
          </w:p>
        </w:tc>
        <w:tc>
          <w:tcPr>
            <w:tcW w:w="256" w:type="dxa"/>
            <w:noWrap/>
            <w:vAlign w:val="bottom"/>
          </w:tcPr>
          <w:p w:rsidRPr="007132E1" w:rsidR="004557E9" w:rsidP="004557E9" w:rsidRDefault="004557E9" w14:paraId="4E99AFCE" w14:textId="77777777">
            <w:pPr>
              <w:jc w:val="left"/>
              <w:rPr>
                <w:b/>
                <w:bCs/>
                <w:sz w:val="14"/>
                <w:szCs w:val="14"/>
              </w:rPr>
            </w:pPr>
          </w:p>
        </w:tc>
        <w:tc>
          <w:tcPr>
            <w:tcW w:w="1099" w:type="dxa"/>
            <w:tcBorders>
              <w:top w:val="nil"/>
              <w:left w:val="nil"/>
              <w:bottom w:val="nil"/>
              <w:right w:val="nil"/>
            </w:tcBorders>
            <w:shd w:val="clear" w:color="auto" w:fill="auto"/>
            <w:noWrap/>
            <w:vAlign w:val="bottom"/>
          </w:tcPr>
          <w:p w:rsidRPr="00030447" w:rsidR="004557E9" w:rsidP="004557E9" w:rsidRDefault="004557E9" w14:paraId="78FA61ED" w14:textId="2E7772C8">
            <w:pPr>
              <w:widowControl/>
              <w:autoSpaceDE/>
              <w:autoSpaceDN/>
              <w:adjustRightInd/>
              <w:jc w:val="right"/>
              <w:rPr>
                <w:sz w:val="14"/>
                <w:szCs w:val="14"/>
              </w:rPr>
            </w:pPr>
            <w:r w:rsidRPr="00030447">
              <w:rPr>
                <w:sz w:val="14"/>
                <w:szCs w:val="14"/>
              </w:rPr>
              <w:t xml:space="preserve">- </w:t>
            </w:r>
          </w:p>
        </w:tc>
        <w:tc>
          <w:tcPr>
            <w:tcW w:w="1170" w:type="dxa"/>
            <w:tcBorders>
              <w:top w:val="nil"/>
              <w:left w:val="nil"/>
              <w:bottom w:val="nil"/>
              <w:right w:val="nil"/>
            </w:tcBorders>
            <w:shd w:val="clear" w:color="auto" w:fill="auto"/>
            <w:noWrap/>
            <w:vAlign w:val="bottom"/>
          </w:tcPr>
          <w:p w:rsidRPr="0039586C" w:rsidR="004557E9" w:rsidP="004557E9" w:rsidRDefault="004557E9" w14:paraId="388BB71C" w14:textId="79220C9C">
            <w:pPr>
              <w:widowControl/>
              <w:autoSpaceDE/>
              <w:autoSpaceDN/>
              <w:adjustRightInd/>
              <w:jc w:val="right"/>
              <w:rPr>
                <w:sz w:val="14"/>
                <w:szCs w:val="14"/>
              </w:rPr>
            </w:pPr>
            <w:r w:rsidRPr="0039586C">
              <w:rPr>
                <w:sz w:val="14"/>
                <w:szCs w:val="14"/>
              </w:rPr>
              <w:t xml:space="preserve">1,093 </w:t>
            </w:r>
          </w:p>
        </w:tc>
        <w:tc>
          <w:tcPr>
            <w:tcW w:w="1080" w:type="dxa"/>
            <w:tcBorders>
              <w:top w:val="nil"/>
              <w:left w:val="nil"/>
              <w:bottom w:val="nil"/>
              <w:right w:val="nil"/>
            </w:tcBorders>
            <w:shd w:val="clear" w:color="auto" w:fill="auto"/>
            <w:noWrap/>
            <w:vAlign w:val="bottom"/>
          </w:tcPr>
          <w:p w:rsidRPr="0039586C" w:rsidR="004557E9" w:rsidP="004557E9" w:rsidRDefault="004557E9" w14:paraId="62FC8A4E" w14:textId="18365683">
            <w:pPr>
              <w:jc w:val="right"/>
              <w:rPr>
                <w:sz w:val="14"/>
                <w:szCs w:val="14"/>
              </w:rPr>
            </w:pPr>
            <w:r w:rsidRPr="0039586C">
              <w:rPr>
                <w:sz w:val="14"/>
                <w:szCs w:val="14"/>
              </w:rPr>
              <w:t xml:space="preserve">55,980,093 </w:t>
            </w:r>
          </w:p>
        </w:tc>
        <w:tc>
          <w:tcPr>
            <w:tcW w:w="1350" w:type="dxa"/>
            <w:tcBorders>
              <w:top w:val="nil"/>
              <w:left w:val="nil"/>
              <w:bottom w:val="nil"/>
              <w:right w:val="nil"/>
            </w:tcBorders>
            <w:shd w:val="clear" w:color="auto" w:fill="auto"/>
            <w:noWrap/>
            <w:vAlign w:val="bottom"/>
          </w:tcPr>
          <w:p w:rsidRPr="0039586C" w:rsidR="004557E9" w:rsidP="004557E9" w:rsidRDefault="004557E9" w14:paraId="0D52CA13" w14:textId="6FAF0D26">
            <w:pPr>
              <w:jc w:val="right"/>
              <w:rPr>
                <w:sz w:val="14"/>
                <w:szCs w:val="14"/>
              </w:rPr>
            </w:pPr>
            <w:r w:rsidRPr="0039586C">
              <w:rPr>
                <w:sz w:val="14"/>
                <w:szCs w:val="14"/>
              </w:rPr>
              <w:t xml:space="preserve">34,827 </w:t>
            </w:r>
          </w:p>
        </w:tc>
        <w:tc>
          <w:tcPr>
            <w:tcW w:w="1260" w:type="dxa"/>
            <w:tcBorders>
              <w:top w:val="nil"/>
              <w:left w:val="nil"/>
              <w:bottom w:val="nil"/>
              <w:right w:val="nil"/>
            </w:tcBorders>
            <w:shd w:val="clear" w:color="auto" w:fill="auto"/>
            <w:noWrap/>
            <w:vAlign w:val="bottom"/>
          </w:tcPr>
          <w:p w:rsidRPr="004557E9" w:rsidR="004557E9" w:rsidP="004557E9" w:rsidRDefault="004557E9" w14:paraId="3C1EF86B" w14:textId="189FC3CC">
            <w:pPr>
              <w:jc w:val="right"/>
              <w:rPr>
                <w:sz w:val="14"/>
                <w:szCs w:val="14"/>
              </w:rPr>
            </w:pPr>
            <w:r w:rsidRPr="004557E9">
              <w:rPr>
                <w:sz w:val="14"/>
                <w:szCs w:val="14"/>
              </w:rPr>
              <w:t xml:space="preserve">121,623,002 </w:t>
            </w:r>
          </w:p>
        </w:tc>
        <w:tc>
          <w:tcPr>
            <w:tcW w:w="1350" w:type="dxa"/>
            <w:tcBorders>
              <w:top w:val="nil"/>
              <w:left w:val="nil"/>
              <w:bottom w:val="nil"/>
              <w:right w:val="nil"/>
            </w:tcBorders>
            <w:shd w:val="clear" w:color="auto" w:fill="auto"/>
            <w:noWrap/>
            <w:vAlign w:val="bottom"/>
          </w:tcPr>
          <w:p w:rsidRPr="004557E9" w:rsidR="004557E9" w:rsidP="004557E9" w:rsidRDefault="004557E9" w14:paraId="0B2CFF96" w14:textId="07D0C61B">
            <w:pPr>
              <w:jc w:val="right"/>
              <w:rPr>
                <w:sz w:val="14"/>
                <w:szCs w:val="14"/>
              </w:rPr>
            </w:pPr>
            <w:r w:rsidRPr="004557E9">
              <w:rPr>
                <w:sz w:val="14"/>
                <w:szCs w:val="14"/>
              </w:rPr>
              <w:t xml:space="preserve">2,504,138 </w:t>
            </w:r>
          </w:p>
        </w:tc>
        <w:tc>
          <w:tcPr>
            <w:tcW w:w="1170" w:type="dxa"/>
            <w:tcBorders>
              <w:top w:val="nil"/>
              <w:left w:val="nil"/>
              <w:bottom w:val="nil"/>
              <w:right w:val="nil"/>
            </w:tcBorders>
            <w:shd w:val="clear" w:color="auto" w:fill="auto"/>
            <w:noWrap/>
            <w:vAlign w:val="bottom"/>
          </w:tcPr>
          <w:p w:rsidRPr="004557E9" w:rsidR="004557E9" w:rsidP="004557E9" w:rsidRDefault="004557E9" w14:paraId="5855C162" w14:textId="6BF818F0">
            <w:pPr>
              <w:jc w:val="right"/>
              <w:rPr>
                <w:sz w:val="14"/>
                <w:szCs w:val="14"/>
              </w:rPr>
            </w:pPr>
            <w:r w:rsidRPr="004557E9">
              <w:rPr>
                <w:sz w:val="14"/>
                <w:szCs w:val="14"/>
              </w:rPr>
              <w:t xml:space="preserve">118,832,710 </w:t>
            </w:r>
          </w:p>
        </w:tc>
        <w:tc>
          <w:tcPr>
            <w:tcW w:w="1260" w:type="dxa"/>
            <w:tcBorders>
              <w:top w:val="nil"/>
              <w:left w:val="nil"/>
              <w:bottom w:val="nil"/>
              <w:right w:val="nil"/>
            </w:tcBorders>
            <w:shd w:val="clear" w:color="auto" w:fill="auto"/>
            <w:noWrap/>
            <w:vAlign w:val="bottom"/>
          </w:tcPr>
          <w:p w:rsidRPr="004557E9" w:rsidR="004557E9" w:rsidP="004557E9" w:rsidRDefault="004557E9" w14:paraId="6CE8A6AA" w14:textId="13EE8D03">
            <w:pPr>
              <w:jc w:val="right"/>
              <w:rPr>
                <w:sz w:val="14"/>
                <w:szCs w:val="14"/>
              </w:rPr>
            </w:pPr>
            <w:r w:rsidRPr="004557E9">
              <w:rPr>
                <w:sz w:val="14"/>
                <w:szCs w:val="14"/>
              </w:rPr>
              <w:t xml:space="preserve">1,037,460 </w:t>
            </w:r>
          </w:p>
        </w:tc>
        <w:tc>
          <w:tcPr>
            <w:tcW w:w="1080" w:type="dxa"/>
            <w:tcBorders>
              <w:top w:val="nil"/>
              <w:left w:val="nil"/>
              <w:bottom w:val="nil"/>
              <w:right w:val="nil"/>
            </w:tcBorders>
            <w:shd w:val="clear" w:color="auto" w:fill="auto"/>
            <w:noWrap/>
            <w:vAlign w:val="bottom"/>
          </w:tcPr>
          <w:p w:rsidRPr="004557E9" w:rsidR="004557E9" w:rsidP="004557E9" w:rsidRDefault="004557E9" w14:paraId="344EAE56" w14:textId="0C9E9A3B">
            <w:pPr>
              <w:jc w:val="right"/>
              <w:rPr>
                <w:sz w:val="14"/>
                <w:szCs w:val="14"/>
              </w:rPr>
            </w:pPr>
            <w:r w:rsidRPr="004557E9">
              <w:rPr>
                <w:sz w:val="14"/>
                <w:szCs w:val="14"/>
              </w:rPr>
              <w:t xml:space="preserve">117,509,885 </w:t>
            </w:r>
          </w:p>
        </w:tc>
        <w:tc>
          <w:tcPr>
            <w:tcW w:w="900" w:type="dxa"/>
            <w:tcBorders>
              <w:top w:val="nil"/>
              <w:left w:val="nil"/>
              <w:bottom w:val="nil"/>
              <w:right w:val="nil"/>
            </w:tcBorders>
            <w:shd w:val="clear" w:color="auto" w:fill="auto"/>
            <w:noWrap/>
            <w:vAlign w:val="bottom"/>
          </w:tcPr>
          <w:p w:rsidRPr="004557E9" w:rsidR="004557E9" w:rsidP="004557E9" w:rsidRDefault="004557E9" w14:paraId="4982E658" w14:textId="58CDD696">
            <w:pPr>
              <w:jc w:val="right"/>
              <w:rPr>
                <w:sz w:val="14"/>
                <w:szCs w:val="14"/>
              </w:rPr>
            </w:pPr>
            <w:r w:rsidRPr="004557E9">
              <w:rPr>
                <w:sz w:val="14"/>
                <w:szCs w:val="14"/>
              </w:rPr>
              <w:t>7.32%</w:t>
            </w:r>
          </w:p>
        </w:tc>
        <w:tc>
          <w:tcPr>
            <w:tcW w:w="900" w:type="dxa"/>
            <w:tcBorders>
              <w:top w:val="nil"/>
              <w:left w:val="nil"/>
              <w:bottom w:val="nil"/>
              <w:right w:val="nil"/>
            </w:tcBorders>
            <w:shd w:val="clear" w:color="auto" w:fill="auto"/>
            <w:vAlign w:val="bottom"/>
          </w:tcPr>
          <w:p w:rsidRPr="004557E9" w:rsidR="004557E9" w:rsidP="004557E9" w:rsidRDefault="004557E9" w14:paraId="3DCB9449" w14:textId="7AD82392">
            <w:pPr>
              <w:jc w:val="right"/>
              <w:rPr>
                <w:sz w:val="14"/>
                <w:szCs w:val="14"/>
              </w:rPr>
            </w:pPr>
            <w:r w:rsidRPr="004557E9">
              <w:rPr>
                <w:sz w:val="14"/>
                <w:szCs w:val="14"/>
              </w:rPr>
              <w:t>6.72%</w:t>
            </w:r>
          </w:p>
        </w:tc>
      </w:tr>
      <w:tr w:rsidRPr="007132E1" w:rsidR="004557E9" w:rsidTr="00E6200E" w14:paraId="7198CB90" w14:textId="77777777">
        <w:trPr>
          <w:trHeight w:val="20"/>
        </w:trPr>
        <w:tc>
          <w:tcPr>
            <w:tcW w:w="1255" w:type="dxa"/>
            <w:noWrap/>
            <w:vAlign w:val="bottom"/>
          </w:tcPr>
          <w:p w:rsidRPr="00030447" w:rsidR="004557E9" w:rsidP="004557E9" w:rsidRDefault="004557E9" w14:paraId="3946208A" w14:textId="77777777">
            <w:pPr>
              <w:jc w:val="right"/>
              <w:rPr>
                <w:sz w:val="14"/>
                <w:szCs w:val="14"/>
              </w:rPr>
            </w:pPr>
            <w:r w:rsidRPr="00030447">
              <w:rPr>
                <w:sz w:val="14"/>
                <w:szCs w:val="14"/>
              </w:rPr>
              <w:t>2023 Series D</w:t>
            </w:r>
          </w:p>
        </w:tc>
        <w:tc>
          <w:tcPr>
            <w:tcW w:w="256" w:type="dxa"/>
            <w:noWrap/>
            <w:vAlign w:val="bottom"/>
          </w:tcPr>
          <w:p w:rsidRPr="007132E1" w:rsidR="004557E9" w:rsidP="004557E9" w:rsidRDefault="004557E9" w14:paraId="525B311D" w14:textId="77777777">
            <w:pPr>
              <w:jc w:val="left"/>
              <w:rPr>
                <w:b/>
                <w:bCs/>
                <w:sz w:val="14"/>
                <w:szCs w:val="14"/>
              </w:rPr>
            </w:pPr>
          </w:p>
        </w:tc>
        <w:tc>
          <w:tcPr>
            <w:tcW w:w="1099" w:type="dxa"/>
            <w:tcBorders>
              <w:top w:val="nil"/>
              <w:left w:val="nil"/>
              <w:bottom w:val="nil"/>
              <w:right w:val="nil"/>
            </w:tcBorders>
            <w:shd w:val="clear" w:color="auto" w:fill="auto"/>
            <w:noWrap/>
            <w:vAlign w:val="bottom"/>
          </w:tcPr>
          <w:p w:rsidRPr="00030447" w:rsidR="004557E9" w:rsidP="004557E9" w:rsidRDefault="004557E9" w14:paraId="0F77FD5B" w14:textId="6669CBD4">
            <w:pPr>
              <w:widowControl/>
              <w:autoSpaceDE/>
              <w:autoSpaceDN/>
              <w:adjustRightInd/>
              <w:jc w:val="right"/>
              <w:rPr>
                <w:sz w:val="14"/>
                <w:szCs w:val="14"/>
              </w:rPr>
            </w:pPr>
            <w:r w:rsidRPr="00030447">
              <w:rPr>
                <w:sz w:val="14"/>
                <w:szCs w:val="14"/>
              </w:rPr>
              <w:t xml:space="preserve">- </w:t>
            </w:r>
          </w:p>
        </w:tc>
        <w:tc>
          <w:tcPr>
            <w:tcW w:w="1170" w:type="dxa"/>
            <w:tcBorders>
              <w:top w:val="nil"/>
              <w:left w:val="nil"/>
              <w:bottom w:val="nil"/>
              <w:right w:val="nil"/>
            </w:tcBorders>
            <w:shd w:val="clear" w:color="auto" w:fill="auto"/>
            <w:noWrap/>
            <w:vAlign w:val="bottom"/>
          </w:tcPr>
          <w:p w:rsidRPr="0039586C" w:rsidR="004557E9" w:rsidP="004557E9" w:rsidRDefault="004557E9" w14:paraId="093F3B0B" w14:textId="49DABAB5">
            <w:pPr>
              <w:widowControl/>
              <w:autoSpaceDE/>
              <w:autoSpaceDN/>
              <w:adjustRightInd/>
              <w:jc w:val="right"/>
              <w:rPr>
                <w:sz w:val="14"/>
                <w:szCs w:val="14"/>
              </w:rPr>
            </w:pPr>
            <w:r>
              <w:rPr>
                <w:sz w:val="14"/>
                <w:szCs w:val="14"/>
              </w:rPr>
              <w:t>-</w:t>
            </w:r>
            <w:r w:rsidRPr="0039586C">
              <w:rPr>
                <w:sz w:val="14"/>
                <w:szCs w:val="14"/>
              </w:rPr>
              <w:t xml:space="preserve"> </w:t>
            </w:r>
          </w:p>
        </w:tc>
        <w:tc>
          <w:tcPr>
            <w:tcW w:w="1080" w:type="dxa"/>
            <w:tcBorders>
              <w:top w:val="nil"/>
              <w:left w:val="nil"/>
              <w:bottom w:val="nil"/>
              <w:right w:val="nil"/>
            </w:tcBorders>
            <w:shd w:val="clear" w:color="auto" w:fill="auto"/>
            <w:noWrap/>
            <w:vAlign w:val="bottom"/>
          </w:tcPr>
          <w:p w:rsidRPr="0039586C" w:rsidR="004557E9" w:rsidP="004557E9" w:rsidRDefault="004557E9" w14:paraId="59C8C433" w14:textId="330D0F19">
            <w:pPr>
              <w:jc w:val="right"/>
              <w:rPr>
                <w:sz w:val="14"/>
                <w:szCs w:val="14"/>
              </w:rPr>
            </w:pPr>
            <w:r>
              <w:rPr>
                <w:sz w:val="14"/>
                <w:szCs w:val="14"/>
              </w:rPr>
              <w:t>-</w:t>
            </w:r>
            <w:r w:rsidRPr="0039586C">
              <w:rPr>
                <w:sz w:val="14"/>
                <w:szCs w:val="14"/>
              </w:rPr>
              <w:t xml:space="preserve"> </w:t>
            </w:r>
          </w:p>
        </w:tc>
        <w:tc>
          <w:tcPr>
            <w:tcW w:w="1350" w:type="dxa"/>
            <w:tcBorders>
              <w:top w:val="nil"/>
              <w:left w:val="nil"/>
              <w:bottom w:val="nil"/>
              <w:right w:val="nil"/>
            </w:tcBorders>
            <w:shd w:val="clear" w:color="auto" w:fill="auto"/>
            <w:noWrap/>
            <w:vAlign w:val="bottom"/>
          </w:tcPr>
          <w:p w:rsidRPr="0039586C" w:rsidR="004557E9" w:rsidP="004557E9" w:rsidRDefault="004557E9" w14:paraId="061BC301" w14:textId="546B3EC9">
            <w:pPr>
              <w:jc w:val="right"/>
              <w:rPr>
                <w:sz w:val="14"/>
                <w:szCs w:val="14"/>
              </w:rPr>
            </w:pPr>
            <w:r w:rsidRPr="0039586C">
              <w:rPr>
                <w:sz w:val="14"/>
                <w:szCs w:val="14"/>
              </w:rPr>
              <w:t xml:space="preserve">1,743 </w:t>
            </w:r>
          </w:p>
        </w:tc>
        <w:tc>
          <w:tcPr>
            <w:tcW w:w="1260" w:type="dxa"/>
            <w:tcBorders>
              <w:top w:val="nil"/>
              <w:left w:val="nil"/>
              <w:bottom w:val="nil"/>
              <w:right w:val="nil"/>
            </w:tcBorders>
            <w:shd w:val="clear" w:color="auto" w:fill="auto"/>
            <w:noWrap/>
            <w:vAlign w:val="bottom"/>
          </w:tcPr>
          <w:p w:rsidRPr="004557E9" w:rsidR="004557E9" w:rsidP="004557E9" w:rsidRDefault="004557E9" w14:paraId="7214B51B" w14:textId="3001244E">
            <w:pPr>
              <w:jc w:val="right"/>
              <w:rPr>
                <w:sz w:val="14"/>
                <w:szCs w:val="14"/>
              </w:rPr>
            </w:pPr>
            <w:r w:rsidRPr="004557E9">
              <w:rPr>
                <w:sz w:val="14"/>
                <w:szCs w:val="14"/>
              </w:rPr>
              <w:t xml:space="preserve">63,931,255 </w:t>
            </w:r>
          </w:p>
        </w:tc>
        <w:tc>
          <w:tcPr>
            <w:tcW w:w="1350" w:type="dxa"/>
            <w:tcBorders>
              <w:top w:val="nil"/>
              <w:left w:val="nil"/>
              <w:bottom w:val="nil"/>
              <w:right w:val="nil"/>
            </w:tcBorders>
            <w:shd w:val="clear" w:color="auto" w:fill="auto"/>
            <w:noWrap/>
            <w:vAlign w:val="bottom"/>
          </w:tcPr>
          <w:p w:rsidRPr="004557E9" w:rsidR="004557E9" w:rsidP="004557E9" w:rsidRDefault="004557E9" w14:paraId="1F74D268" w14:textId="6AF9E2B1">
            <w:pPr>
              <w:jc w:val="right"/>
              <w:rPr>
                <w:sz w:val="14"/>
                <w:szCs w:val="14"/>
              </w:rPr>
            </w:pPr>
            <w:r w:rsidRPr="004557E9">
              <w:rPr>
                <w:sz w:val="14"/>
                <w:szCs w:val="14"/>
              </w:rPr>
              <w:t xml:space="preserve">247,533 </w:t>
            </w:r>
          </w:p>
        </w:tc>
        <w:tc>
          <w:tcPr>
            <w:tcW w:w="1170" w:type="dxa"/>
            <w:tcBorders>
              <w:top w:val="nil"/>
              <w:left w:val="nil"/>
              <w:bottom w:val="nil"/>
              <w:right w:val="nil"/>
            </w:tcBorders>
            <w:shd w:val="clear" w:color="auto" w:fill="auto"/>
            <w:noWrap/>
            <w:vAlign w:val="bottom"/>
          </w:tcPr>
          <w:p w:rsidRPr="004557E9" w:rsidR="004557E9" w:rsidP="004557E9" w:rsidRDefault="004557E9" w14:paraId="5FB8B486" w14:textId="12FC3BBD">
            <w:pPr>
              <w:jc w:val="right"/>
              <w:rPr>
                <w:sz w:val="14"/>
                <w:szCs w:val="14"/>
              </w:rPr>
            </w:pPr>
            <w:r w:rsidRPr="004557E9">
              <w:rPr>
                <w:sz w:val="14"/>
                <w:szCs w:val="14"/>
              </w:rPr>
              <w:t xml:space="preserve">129,777,221 </w:t>
            </w:r>
          </w:p>
        </w:tc>
        <w:tc>
          <w:tcPr>
            <w:tcW w:w="1260" w:type="dxa"/>
            <w:tcBorders>
              <w:top w:val="nil"/>
              <w:left w:val="nil"/>
              <w:bottom w:val="nil"/>
              <w:right w:val="nil"/>
            </w:tcBorders>
            <w:shd w:val="clear" w:color="auto" w:fill="auto"/>
            <w:noWrap/>
            <w:vAlign w:val="bottom"/>
          </w:tcPr>
          <w:p w:rsidRPr="004557E9" w:rsidR="004557E9" w:rsidP="004557E9" w:rsidRDefault="004557E9" w14:paraId="4BF2633A" w14:textId="5D150B44">
            <w:pPr>
              <w:jc w:val="right"/>
              <w:rPr>
                <w:sz w:val="14"/>
                <w:szCs w:val="14"/>
              </w:rPr>
            </w:pPr>
            <w:r w:rsidRPr="004557E9">
              <w:rPr>
                <w:sz w:val="14"/>
                <w:szCs w:val="14"/>
              </w:rPr>
              <w:t xml:space="preserve">776,555 </w:t>
            </w:r>
          </w:p>
        </w:tc>
        <w:tc>
          <w:tcPr>
            <w:tcW w:w="1080" w:type="dxa"/>
            <w:tcBorders>
              <w:top w:val="nil"/>
              <w:left w:val="nil"/>
              <w:bottom w:val="nil"/>
              <w:right w:val="nil"/>
            </w:tcBorders>
            <w:shd w:val="clear" w:color="auto" w:fill="auto"/>
            <w:noWrap/>
            <w:vAlign w:val="bottom"/>
          </w:tcPr>
          <w:p w:rsidRPr="004557E9" w:rsidR="004557E9" w:rsidP="004557E9" w:rsidRDefault="004557E9" w14:paraId="2CD58D26" w14:textId="096A5752">
            <w:pPr>
              <w:jc w:val="right"/>
              <w:rPr>
                <w:sz w:val="14"/>
                <w:szCs w:val="14"/>
              </w:rPr>
            </w:pPr>
            <w:r w:rsidRPr="004557E9">
              <w:rPr>
                <w:sz w:val="14"/>
                <w:szCs w:val="14"/>
              </w:rPr>
              <w:t xml:space="preserve">128,713,690 </w:t>
            </w:r>
          </w:p>
        </w:tc>
        <w:tc>
          <w:tcPr>
            <w:tcW w:w="900" w:type="dxa"/>
            <w:tcBorders>
              <w:top w:val="nil"/>
              <w:left w:val="nil"/>
              <w:bottom w:val="nil"/>
              <w:right w:val="nil"/>
            </w:tcBorders>
            <w:shd w:val="clear" w:color="auto" w:fill="auto"/>
            <w:noWrap/>
            <w:vAlign w:val="bottom"/>
          </w:tcPr>
          <w:p w:rsidRPr="004557E9" w:rsidR="004557E9" w:rsidP="004557E9" w:rsidRDefault="004557E9" w14:paraId="1794C5EC" w14:textId="13AE0E44">
            <w:pPr>
              <w:jc w:val="right"/>
              <w:rPr>
                <w:sz w:val="14"/>
                <w:szCs w:val="14"/>
              </w:rPr>
            </w:pPr>
            <w:r w:rsidRPr="004557E9">
              <w:rPr>
                <w:sz w:val="14"/>
                <w:szCs w:val="14"/>
              </w:rPr>
              <w:t>7.66%</w:t>
            </w:r>
          </w:p>
        </w:tc>
        <w:tc>
          <w:tcPr>
            <w:tcW w:w="900" w:type="dxa"/>
            <w:tcBorders>
              <w:top w:val="nil"/>
              <w:left w:val="nil"/>
              <w:bottom w:val="nil"/>
              <w:right w:val="nil"/>
            </w:tcBorders>
            <w:shd w:val="clear" w:color="auto" w:fill="auto"/>
            <w:vAlign w:val="bottom"/>
          </w:tcPr>
          <w:p w:rsidRPr="004557E9" w:rsidR="004557E9" w:rsidP="004557E9" w:rsidRDefault="004557E9" w14:paraId="41799D6A" w14:textId="446DAE65">
            <w:pPr>
              <w:jc w:val="right"/>
              <w:rPr>
                <w:sz w:val="14"/>
                <w:szCs w:val="14"/>
              </w:rPr>
            </w:pPr>
            <w:r w:rsidRPr="004557E9">
              <w:rPr>
                <w:sz w:val="14"/>
                <w:szCs w:val="14"/>
              </w:rPr>
              <w:t>7.07%</w:t>
            </w:r>
          </w:p>
        </w:tc>
      </w:tr>
      <w:tr w:rsidRPr="007132E1" w:rsidR="004557E9" w:rsidTr="00E6200E" w14:paraId="5F352C87" w14:textId="77777777">
        <w:trPr>
          <w:trHeight w:val="20"/>
        </w:trPr>
        <w:tc>
          <w:tcPr>
            <w:tcW w:w="1255" w:type="dxa"/>
            <w:noWrap/>
            <w:vAlign w:val="bottom"/>
          </w:tcPr>
          <w:p w:rsidRPr="00030447" w:rsidR="004557E9" w:rsidP="004557E9" w:rsidRDefault="004557E9" w14:paraId="0DC64E46" w14:textId="77777777">
            <w:pPr>
              <w:jc w:val="right"/>
              <w:rPr>
                <w:sz w:val="14"/>
                <w:szCs w:val="14"/>
              </w:rPr>
            </w:pPr>
            <w:r w:rsidRPr="00030447">
              <w:rPr>
                <w:sz w:val="14"/>
                <w:szCs w:val="14"/>
              </w:rPr>
              <w:t>2024 Series A</w:t>
            </w:r>
          </w:p>
        </w:tc>
        <w:tc>
          <w:tcPr>
            <w:tcW w:w="256" w:type="dxa"/>
            <w:noWrap/>
            <w:vAlign w:val="bottom"/>
          </w:tcPr>
          <w:p w:rsidRPr="007132E1" w:rsidR="004557E9" w:rsidP="004557E9" w:rsidRDefault="004557E9" w14:paraId="0BB589C2" w14:textId="77777777">
            <w:pPr>
              <w:jc w:val="left"/>
              <w:rPr>
                <w:b/>
                <w:bCs/>
                <w:sz w:val="14"/>
                <w:szCs w:val="14"/>
              </w:rPr>
            </w:pPr>
          </w:p>
        </w:tc>
        <w:tc>
          <w:tcPr>
            <w:tcW w:w="1099" w:type="dxa"/>
            <w:tcBorders>
              <w:top w:val="nil"/>
              <w:left w:val="nil"/>
              <w:bottom w:val="nil"/>
              <w:right w:val="nil"/>
            </w:tcBorders>
            <w:shd w:val="clear" w:color="auto" w:fill="auto"/>
            <w:noWrap/>
            <w:vAlign w:val="bottom"/>
          </w:tcPr>
          <w:p w:rsidRPr="00030447" w:rsidR="004557E9" w:rsidP="004557E9" w:rsidRDefault="004557E9" w14:paraId="4E727F0A" w14:textId="3968CD95">
            <w:pPr>
              <w:widowControl/>
              <w:autoSpaceDE/>
              <w:autoSpaceDN/>
              <w:adjustRightInd/>
              <w:jc w:val="right"/>
              <w:rPr>
                <w:sz w:val="14"/>
                <w:szCs w:val="14"/>
              </w:rPr>
            </w:pPr>
            <w:r w:rsidRPr="00030447">
              <w:rPr>
                <w:sz w:val="14"/>
                <w:szCs w:val="14"/>
              </w:rPr>
              <w:t xml:space="preserve">- </w:t>
            </w:r>
          </w:p>
        </w:tc>
        <w:tc>
          <w:tcPr>
            <w:tcW w:w="1170" w:type="dxa"/>
            <w:tcBorders>
              <w:top w:val="nil"/>
              <w:left w:val="nil"/>
              <w:bottom w:val="nil"/>
              <w:right w:val="nil"/>
            </w:tcBorders>
            <w:shd w:val="clear" w:color="auto" w:fill="auto"/>
            <w:noWrap/>
            <w:vAlign w:val="bottom"/>
          </w:tcPr>
          <w:p w:rsidRPr="0039586C" w:rsidR="004557E9" w:rsidP="004557E9" w:rsidRDefault="004557E9" w14:paraId="198078E1" w14:textId="790A4CD9">
            <w:pPr>
              <w:widowControl/>
              <w:autoSpaceDE/>
              <w:autoSpaceDN/>
              <w:adjustRightInd/>
              <w:jc w:val="right"/>
              <w:rPr>
                <w:sz w:val="14"/>
                <w:szCs w:val="14"/>
              </w:rPr>
            </w:pPr>
            <w:r>
              <w:rPr>
                <w:sz w:val="14"/>
                <w:szCs w:val="14"/>
              </w:rPr>
              <w:t>-</w:t>
            </w:r>
            <w:r w:rsidRPr="0039586C">
              <w:rPr>
                <w:sz w:val="14"/>
                <w:szCs w:val="14"/>
              </w:rPr>
              <w:t xml:space="preserve"> </w:t>
            </w:r>
          </w:p>
        </w:tc>
        <w:tc>
          <w:tcPr>
            <w:tcW w:w="1080" w:type="dxa"/>
            <w:tcBorders>
              <w:top w:val="nil"/>
              <w:left w:val="nil"/>
              <w:bottom w:val="nil"/>
              <w:right w:val="nil"/>
            </w:tcBorders>
            <w:shd w:val="clear" w:color="auto" w:fill="auto"/>
            <w:noWrap/>
            <w:vAlign w:val="bottom"/>
          </w:tcPr>
          <w:p w:rsidRPr="0039586C" w:rsidR="004557E9" w:rsidP="004557E9" w:rsidRDefault="004557E9" w14:paraId="70AA05D5" w14:textId="6A924FAA">
            <w:pPr>
              <w:jc w:val="right"/>
              <w:rPr>
                <w:sz w:val="14"/>
                <w:szCs w:val="14"/>
              </w:rPr>
            </w:pPr>
            <w:r>
              <w:rPr>
                <w:sz w:val="14"/>
                <w:szCs w:val="14"/>
              </w:rPr>
              <w:t>-</w:t>
            </w:r>
            <w:r w:rsidRPr="0039586C">
              <w:rPr>
                <w:sz w:val="14"/>
                <w:szCs w:val="14"/>
              </w:rPr>
              <w:t xml:space="preserve"> </w:t>
            </w:r>
          </w:p>
        </w:tc>
        <w:tc>
          <w:tcPr>
            <w:tcW w:w="1350" w:type="dxa"/>
            <w:tcBorders>
              <w:top w:val="nil"/>
              <w:left w:val="nil"/>
              <w:bottom w:val="nil"/>
              <w:right w:val="nil"/>
            </w:tcBorders>
            <w:shd w:val="clear" w:color="auto" w:fill="auto"/>
            <w:noWrap/>
            <w:vAlign w:val="bottom"/>
          </w:tcPr>
          <w:p w:rsidRPr="0039586C" w:rsidR="004557E9" w:rsidP="004557E9" w:rsidRDefault="004557E9" w14:paraId="45AEC220" w14:textId="367480C9">
            <w:pPr>
              <w:jc w:val="right"/>
              <w:rPr>
                <w:sz w:val="14"/>
                <w:szCs w:val="14"/>
              </w:rPr>
            </w:pPr>
            <w:r>
              <w:rPr>
                <w:sz w:val="14"/>
                <w:szCs w:val="14"/>
              </w:rPr>
              <w:t>-</w:t>
            </w:r>
            <w:r w:rsidRPr="0039586C">
              <w:rPr>
                <w:sz w:val="14"/>
                <w:szCs w:val="14"/>
              </w:rPr>
              <w:t xml:space="preserve"> </w:t>
            </w:r>
          </w:p>
        </w:tc>
        <w:tc>
          <w:tcPr>
            <w:tcW w:w="1260" w:type="dxa"/>
            <w:tcBorders>
              <w:top w:val="nil"/>
              <w:left w:val="nil"/>
              <w:bottom w:val="nil"/>
              <w:right w:val="nil"/>
            </w:tcBorders>
            <w:shd w:val="clear" w:color="auto" w:fill="auto"/>
            <w:noWrap/>
            <w:vAlign w:val="bottom"/>
          </w:tcPr>
          <w:p w:rsidRPr="004557E9" w:rsidR="004557E9" w:rsidP="004557E9" w:rsidRDefault="004557E9" w14:paraId="5C5A284E" w14:textId="0CF64403">
            <w:pPr>
              <w:jc w:val="right"/>
              <w:rPr>
                <w:sz w:val="14"/>
                <w:szCs w:val="14"/>
              </w:rPr>
            </w:pPr>
            <w:r>
              <w:rPr>
                <w:sz w:val="14"/>
                <w:szCs w:val="14"/>
              </w:rPr>
              <w:t>-</w:t>
            </w:r>
          </w:p>
        </w:tc>
        <w:tc>
          <w:tcPr>
            <w:tcW w:w="1350" w:type="dxa"/>
            <w:tcBorders>
              <w:top w:val="nil"/>
              <w:left w:val="nil"/>
              <w:bottom w:val="nil"/>
              <w:right w:val="nil"/>
            </w:tcBorders>
            <w:shd w:val="clear" w:color="auto" w:fill="auto"/>
            <w:noWrap/>
            <w:vAlign w:val="bottom"/>
          </w:tcPr>
          <w:p w:rsidRPr="004557E9" w:rsidR="004557E9" w:rsidP="004557E9" w:rsidRDefault="004557E9" w14:paraId="09C91AA5" w14:textId="1E627016">
            <w:pPr>
              <w:jc w:val="right"/>
              <w:rPr>
                <w:sz w:val="14"/>
                <w:szCs w:val="14"/>
              </w:rPr>
            </w:pPr>
            <w:r>
              <w:rPr>
                <w:sz w:val="14"/>
                <w:szCs w:val="14"/>
              </w:rPr>
              <w:t>-</w:t>
            </w:r>
            <w:r w:rsidRPr="004557E9">
              <w:rPr>
                <w:sz w:val="14"/>
                <w:szCs w:val="14"/>
              </w:rPr>
              <w:t xml:space="preserve"> </w:t>
            </w:r>
          </w:p>
        </w:tc>
        <w:tc>
          <w:tcPr>
            <w:tcW w:w="1170" w:type="dxa"/>
            <w:tcBorders>
              <w:top w:val="nil"/>
              <w:left w:val="nil"/>
              <w:bottom w:val="nil"/>
              <w:right w:val="nil"/>
            </w:tcBorders>
            <w:shd w:val="clear" w:color="auto" w:fill="auto"/>
            <w:noWrap/>
            <w:vAlign w:val="bottom"/>
          </w:tcPr>
          <w:p w:rsidRPr="004557E9" w:rsidR="004557E9" w:rsidP="004557E9" w:rsidRDefault="004557E9" w14:paraId="030FEB69" w14:textId="348AB07C">
            <w:pPr>
              <w:jc w:val="right"/>
              <w:rPr>
                <w:sz w:val="14"/>
                <w:szCs w:val="14"/>
              </w:rPr>
            </w:pPr>
            <w:r w:rsidRPr="004557E9">
              <w:rPr>
                <w:sz w:val="14"/>
                <w:szCs w:val="14"/>
              </w:rPr>
              <w:t xml:space="preserve">49,977,244 </w:t>
            </w:r>
          </w:p>
        </w:tc>
        <w:tc>
          <w:tcPr>
            <w:tcW w:w="1260" w:type="dxa"/>
            <w:tcBorders>
              <w:top w:val="nil"/>
              <w:left w:val="nil"/>
              <w:bottom w:val="nil"/>
              <w:right w:val="nil"/>
            </w:tcBorders>
            <w:shd w:val="clear" w:color="auto" w:fill="auto"/>
            <w:noWrap/>
            <w:vAlign w:val="bottom"/>
          </w:tcPr>
          <w:p w:rsidRPr="004557E9" w:rsidR="004557E9" w:rsidP="004557E9" w:rsidRDefault="004557E9" w14:paraId="14C6C8DB" w14:textId="31BACA01">
            <w:pPr>
              <w:jc w:val="right"/>
              <w:rPr>
                <w:sz w:val="14"/>
                <w:szCs w:val="14"/>
              </w:rPr>
            </w:pPr>
            <w:r w:rsidRPr="004557E9">
              <w:rPr>
                <w:sz w:val="14"/>
                <w:szCs w:val="14"/>
              </w:rPr>
              <w:t xml:space="preserve">47,759 </w:t>
            </w:r>
          </w:p>
        </w:tc>
        <w:tc>
          <w:tcPr>
            <w:tcW w:w="1080" w:type="dxa"/>
            <w:tcBorders>
              <w:top w:val="nil"/>
              <w:left w:val="nil"/>
              <w:bottom w:val="nil"/>
              <w:right w:val="nil"/>
            </w:tcBorders>
            <w:shd w:val="clear" w:color="auto" w:fill="auto"/>
            <w:noWrap/>
            <w:vAlign w:val="bottom"/>
          </w:tcPr>
          <w:p w:rsidRPr="004557E9" w:rsidR="004557E9" w:rsidP="004557E9" w:rsidRDefault="004557E9" w14:paraId="29142565" w14:textId="7B075CA0">
            <w:pPr>
              <w:jc w:val="right"/>
              <w:rPr>
                <w:sz w:val="14"/>
                <w:szCs w:val="14"/>
              </w:rPr>
            </w:pPr>
            <w:r w:rsidRPr="004557E9">
              <w:rPr>
                <w:sz w:val="14"/>
                <w:szCs w:val="14"/>
              </w:rPr>
              <w:t xml:space="preserve">126,118,994 </w:t>
            </w:r>
          </w:p>
        </w:tc>
        <w:tc>
          <w:tcPr>
            <w:tcW w:w="900" w:type="dxa"/>
            <w:tcBorders>
              <w:top w:val="nil"/>
              <w:left w:val="nil"/>
              <w:bottom w:val="nil"/>
              <w:right w:val="nil"/>
            </w:tcBorders>
            <w:shd w:val="clear" w:color="auto" w:fill="auto"/>
            <w:noWrap/>
            <w:vAlign w:val="bottom"/>
          </w:tcPr>
          <w:p w:rsidRPr="004557E9" w:rsidR="004557E9" w:rsidP="004557E9" w:rsidRDefault="004557E9" w14:paraId="04EB6824" w14:textId="3D725170">
            <w:pPr>
              <w:jc w:val="right"/>
              <w:rPr>
                <w:sz w:val="14"/>
                <w:szCs w:val="14"/>
              </w:rPr>
            </w:pPr>
            <w:r w:rsidRPr="004557E9">
              <w:rPr>
                <w:sz w:val="14"/>
                <w:szCs w:val="14"/>
              </w:rPr>
              <w:t>6.87%</w:t>
            </w:r>
          </w:p>
        </w:tc>
        <w:tc>
          <w:tcPr>
            <w:tcW w:w="900" w:type="dxa"/>
            <w:tcBorders>
              <w:top w:val="nil"/>
              <w:left w:val="nil"/>
              <w:bottom w:val="nil"/>
              <w:right w:val="nil"/>
            </w:tcBorders>
            <w:shd w:val="clear" w:color="auto" w:fill="auto"/>
            <w:vAlign w:val="bottom"/>
          </w:tcPr>
          <w:p w:rsidRPr="004557E9" w:rsidR="004557E9" w:rsidP="004557E9" w:rsidRDefault="004557E9" w14:paraId="5606D563" w14:textId="2086C5BF">
            <w:pPr>
              <w:jc w:val="right"/>
              <w:rPr>
                <w:sz w:val="14"/>
                <w:szCs w:val="14"/>
              </w:rPr>
            </w:pPr>
            <w:r w:rsidRPr="004557E9">
              <w:rPr>
                <w:sz w:val="14"/>
                <w:szCs w:val="14"/>
              </w:rPr>
              <w:t>6.26%</w:t>
            </w:r>
          </w:p>
        </w:tc>
      </w:tr>
      <w:tr w:rsidRPr="007132E1" w:rsidR="004557E9" w:rsidTr="00E6200E" w14:paraId="0C6E11EC" w14:textId="77777777">
        <w:trPr>
          <w:trHeight w:val="20"/>
        </w:trPr>
        <w:tc>
          <w:tcPr>
            <w:tcW w:w="1255" w:type="dxa"/>
            <w:noWrap/>
            <w:vAlign w:val="bottom"/>
          </w:tcPr>
          <w:p w:rsidRPr="00030447" w:rsidR="004557E9" w:rsidP="004557E9" w:rsidRDefault="004557E9" w14:paraId="67CC453C" w14:textId="48F9C835">
            <w:pPr>
              <w:jc w:val="right"/>
              <w:rPr>
                <w:sz w:val="14"/>
                <w:szCs w:val="14"/>
              </w:rPr>
            </w:pPr>
            <w:r>
              <w:rPr>
                <w:sz w:val="14"/>
                <w:szCs w:val="14"/>
              </w:rPr>
              <w:t>2024 Series B</w:t>
            </w:r>
          </w:p>
        </w:tc>
        <w:tc>
          <w:tcPr>
            <w:tcW w:w="256" w:type="dxa"/>
            <w:noWrap/>
            <w:vAlign w:val="bottom"/>
          </w:tcPr>
          <w:p w:rsidRPr="007132E1" w:rsidR="004557E9" w:rsidP="004557E9" w:rsidRDefault="004557E9" w14:paraId="228902F0" w14:textId="77777777">
            <w:pPr>
              <w:jc w:val="left"/>
              <w:rPr>
                <w:b/>
                <w:bCs/>
                <w:sz w:val="14"/>
                <w:szCs w:val="14"/>
              </w:rPr>
            </w:pPr>
          </w:p>
        </w:tc>
        <w:tc>
          <w:tcPr>
            <w:tcW w:w="1099" w:type="dxa"/>
            <w:tcBorders>
              <w:top w:val="nil"/>
              <w:left w:val="nil"/>
              <w:bottom w:val="nil"/>
              <w:right w:val="nil"/>
            </w:tcBorders>
            <w:shd w:val="clear" w:color="auto" w:fill="auto"/>
            <w:noWrap/>
            <w:vAlign w:val="bottom"/>
          </w:tcPr>
          <w:p w:rsidRPr="00030447" w:rsidR="004557E9" w:rsidP="004557E9" w:rsidRDefault="004557E9" w14:paraId="7D42797D" w14:textId="427E789A">
            <w:pPr>
              <w:widowControl/>
              <w:autoSpaceDE/>
              <w:autoSpaceDN/>
              <w:adjustRightInd/>
              <w:jc w:val="right"/>
              <w:rPr>
                <w:sz w:val="14"/>
                <w:szCs w:val="14"/>
              </w:rPr>
            </w:pPr>
            <w:r>
              <w:rPr>
                <w:sz w:val="14"/>
                <w:szCs w:val="14"/>
              </w:rPr>
              <w:t>-</w:t>
            </w:r>
          </w:p>
        </w:tc>
        <w:tc>
          <w:tcPr>
            <w:tcW w:w="1170" w:type="dxa"/>
            <w:tcBorders>
              <w:top w:val="nil"/>
              <w:left w:val="nil"/>
              <w:bottom w:val="nil"/>
              <w:right w:val="nil"/>
            </w:tcBorders>
            <w:shd w:val="clear" w:color="auto" w:fill="auto"/>
            <w:noWrap/>
            <w:vAlign w:val="bottom"/>
          </w:tcPr>
          <w:p w:rsidRPr="0039586C" w:rsidR="004557E9" w:rsidP="004557E9" w:rsidRDefault="004557E9" w14:paraId="7A3BBB79" w14:textId="43B97B40">
            <w:pPr>
              <w:widowControl/>
              <w:autoSpaceDE/>
              <w:autoSpaceDN/>
              <w:adjustRightInd/>
              <w:jc w:val="right"/>
              <w:rPr>
                <w:sz w:val="14"/>
                <w:szCs w:val="14"/>
              </w:rPr>
            </w:pPr>
            <w:r>
              <w:rPr>
                <w:sz w:val="14"/>
                <w:szCs w:val="14"/>
              </w:rPr>
              <w:t>-</w:t>
            </w:r>
            <w:r w:rsidRPr="0039586C">
              <w:rPr>
                <w:sz w:val="14"/>
                <w:szCs w:val="14"/>
              </w:rPr>
              <w:t xml:space="preserve"> </w:t>
            </w:r>
          </w:p>
        </w:tc>
        <w:tc>
          <w:tcPr>
            <w:tcW w:w="1080" w:type="dxa"/>
            <w:tcBorders>
              <w:top w:val="nil"/>
              <w:left w:val="nil"/>
              <w:bottom w:val="nil"/>
              <w:right w:val="nil"/>
            </w:tcBorders>
            <w:shd w:val="clear" w:color="auto" w:fill="auto"/>
            <w:noWrap/>
            <w:vAlign w:val="bottom"/>
          </w:tcPr>
          <w:p w:rsidRPr="0039586C" w:rsidR="004557E9" w:rsidP="004557E9" w:rsidRDefault="004557E9" w14:paraId="609415F4" w14:textId="6721CA1E">
            <w:pPr>
              <w:jc w:val="right"/>
              <w:rPr>
                <w:sz w:val="14"/>
                <w:szCs w:val="14"/>
              </w:rPr>
            </w:pPr>
            <w:r>
              <w:rPr>
                <w:sz w:val="14"/>
                <w:szCs w:val="14"/>
              </w:rPr>
              <w:t>-</w:t>
            </w:r>
            <w:r w:rsidRPr="0039586C">
              <w:rPr>
                <w:sz w:val="14"/>
                <w:szCs w:val="14"/>
              </w:rPr>
              <w:t xml:space="preserve"> </w:t>
            </w:r>
          </w:p>
        </w:tc>
        <w:tc>
          <w:tcPr>
            <w:tcW w:w="1350" w:type="dxa"/>
            <w:tcBorders>
              <w:top w:val="nil"/>
              <w:left w:val="nil"/>
              <w:bottom w:val="nil"/>
              <w:right w:val="nil"/>
            </w:tcBorders>
            <w:shd w:val="clear" w:color="auto" w:fill="auto"/>
            <w:noWrap/>
            <w:vAlign w:val="bottom"/>
          </w:tcPr>
          <w:p w:rsidRPr="0039586C" w:rsidR="004557E9" w:rsidP="004557E9" w:rsidRDefault="004557E9" w14:paraId="2C1B1B5E" w14:textId="625B7E0D">
            <w:pPr>
              <w:jc w:val="right"/>
              <w:rPr>
                <w:sz w:val="14"/>
                <w:szCs w:val="14"/>
              </w:rPr>
            </w:pPr>
            <w:r>
              <w:rPr>
                <w:sz w:val="14"/>
                <w:szCs w:val="14"/>
              </w:rPr>
              <w:t>-</w:t>
            </w:r>
            <w:r w:rsidRPr="0039586C">
              <w:rPr>
                <w:sz w:val="14"/>
                <w:szCs w:val="14"/>
              </w:rPr>
              <w:t xml:space="preserve"> </w:t>
            </w:r>
          </w:p>
        </w:tc>
        <w:tc>
          <w:tcPr>
            <w:tcW w:w="1260" w:type="dxa"/>
            <w:tcBorders>
              <w:top w:val="nil"/>
              <w:left w:val="nil"/>
              <w:bottom w:val="nil"/>
              <w:right w:val="nil"/>
            </w:tcBorders>
            <w:shd w:val="clear" w:color="auto" w:fill="auto"/>
            <w:noWrap/>
            <w:vAlign w:val="bottom"/>
          </w:tcPr>
          <w:p w:rsidRPr="004557E9" w:rsidR="004557E9" w:rsidP="004557E9" w:rsidRDefault="004557E9" w14:paraId="26F5A3F1" w14:textId="22F86F55">
            <w:pPr>
              <w:jc w:val="right"/>
              <w:rPr>
                <w:sz w:val="14"/>
                <w:szCs w:val="14"/>
              </w:rPr>
            </w:pPr>
            <w:r>
              <w:rPr>
                <w:sz w:val="14"/>
                <w:szCs w:val="14"/>
              </w:rPr>
              <w:t>-</w:t>
            </w:r>
            <w:r w:rsidRPr="004557E9">
              <w:rPr>
                <w:sz w:val="14"/>
                <w:szCs w:val="14"/>
              </w:rPr>
              <w:t xml:space="preserve"> </w:t>
            </w:r>
          </w:p>
        </w:tc>
        <w:tc>
          <w:tcPr>
            <w:tcW w:w="1350" w:type="dxa"/>
            <w:tcBorders>
              <w:top w:val="nil"/>
              <w:left w:val="nil"/>
              <w:bottom w:val="nil"/>
              <w:right w:val="nil"/>
            </w:tcBorders>
            <w:shd w:val="clear" w:color="auto" w:fill="auto"/>
            <w:noWrap/>
            <w:vAlign w:val="bottom"/>
          </w:tcPr>
          <w:p w:rsidRPr="004557E9" w:rsidR="004557E9" w:rsidP="004557E9" w:rsidRDefault="004557E9" w14:paraId="389F1045" w14:textId="26608A6F">
            <w:pPr>
              <w:jc w:val="right"/>
              <w:rPr>
                <w:sz w:val="14"/>
                <w:szCs w:val="14"/>
              </w:rPr>
            </w:pPr>
            <w:r>
              <w:rPr>
                <w:sz w:val="14"/>
                <w:szCs w:val="14"/>
              </w:rPr>
              <w:t>-</w:t>
            </w:r>
          </w:p>
        </w:tc>
        <w:tc>
          <w:tcPr>
            <w:tcW w:w="1170" w:type="dxa"/>
            <w:tcBorders>
              <w:top w:val="nil"/>
              <w:left w:val="nil"/>
              <w:bottom w:val="nil"/>
              <w:right w:val="nil"/>
            </w:tcBorders>
            <w:shd w:val="clear" w:color="auto" w:fill="auto"/>
            <w:noWrap/>
            <w:vAlign w:val="bottom"/>
          </w:tcPr>
          <w:p w:rsidRPr="004557E9" w:rsidR="004557E9" w:rsidP="004557E9" w:rsidRDefault="004557E9" w14:paraId="493FF7FD" w14:textId="37DB1E5F">
            <w:pPr>
              <w:jc w:val="right"/>
              <w:rPr>
                <w:sz w:val="14"/>
                <w:szCs w:val="14"/>
              </w:rPr>
            </w:pPr>
            <w:r>
              <w:rPr>
                <w:sz w:val="14"/>
                <w:szCs w:val="14"/>
              </w:rPr>
              <w:t>-</w:t>
            </w:r>
            <w:r w:rsidRPr="004557E9">
              <w:rPr>
                <w:sz w:val="14"/>
                <w:szCs w:val="14"/>
              </w:rPr>
              <w:t xml:space="preserve"> </w:t>
            </w:r>
          </w:p>
        </w:tc>
        <w:tc>
          <w:tcPr>
            <w:tcW w:w="1260" w:type="dxa"/>
            <w:tcBorders>
              <w:top w:val="nil"/>
              <w:left w:val="nil"/>
              <w:bottom w:val="nil"/>
              <w:right w:val="nil"/>
            </w:tcBorders>
            <w:shd w:val="clear" w:color="auto" w:fill="auto"/>
            <w:noWrap/>
            <w:vAlign w:val="bottom"/>
          </w:tcPr>
          <w:p w:rsidRPr="004557E9" w:rsidR="004557E9" w:rsidP="004557E9" w:rsidRDefault="004557E9" w14:paraId="36198558" w14:textId="65E46306">
            <w:pPr>
              <w:jc w:val="right"/>
              <w:rPr>
                <w:sz w:val="14"/>
                <w:szCs w:val="14"/>
              </w:rPr>
            </w:pPr>
            <w:r w:rsidRPr="004557E9">
              <w:rPr>
                <w:sz w:val="14"/>
                <w:szCs w:val="14"/>
              </w:rPr>
              <w:t xml:space="preserve">4,718 </w:t>
            </w:r>
          </w:p>
        </w:tc>
        <w:tc>
          <w:tcPr>
            <w:tcW w:w="1080" w:type="dxa"/>
            <w:tcBorders>
              <w:top w:val="nil"/>
              <w:left w:val="nil"/>
              <w:bottom w:val="nil"/>
              <w:right w:val="nil"/>
            </w:tcBorders>
            <w:shd w:val="clear" w:color="auto" w:fill="auto"/>
            <w:noWrap/>
            <w:vAlign w:val="bottom"/>
          </w:tcPr>
          <w:p w:rsidRPr="004557E9" w:rsidR="004557E9" w:rsidP="004557E9" w:rsidRDefault="004557E9" w14:paraId="0C1D520B" w14:textId="6479711D">
            <w:pPr>
              <w:jc w:val="right"/>
              <w:rPr>
                <w:sz w:val="14"/>
                <w:szCs w:val="14"/>
              </w:rPr>
            </w:pPr>
            <w:r w:rsidRPr="004557E9">
              <w:rPr>
                <w:sz w:val="14"/>
                <w:szCs w:val="14"/>
              </w:rPr>
              <w:t xml:space="preserve">90,468,609 </w:t>
            </w:r>
          </w:p>
        </w:tc>
        <w:tc>
          <w:tcPr>
            <w:tcW w:w="900" w:type="dxa"/>
            <w:tcBorders>
              <w:top w:val="nil"/>
              <w:left w:val="nil"/>
              <w:bottom w:val="nil"/>
              <w:right w:val="nil"/>
            </w:tcBorders>
            <w:shd w:val="clear" w:color="auto" w:fill="auto"/>
            <w:noWrap/>
            <w:vAlign w:val="bottom"/>
          </w:tcPr>
          <w:p w:rsidRPr="004557E9" w:rsidR="004557E9" w:rsidP="004557E9" w:rsidRDefault="004557E9" w14:paraId="5BE13800" w14:textId="65AAFCA5">
            <w:pPr>
              <w:jc w:val="right"/>
              <w:rPr>
                <w:sz w:val="14"/>
                <w:szCs w:val="14"/>
              </w:rPr>
            </w:pPr>
            <w:r w:rsidRPr="004557E9">
              <w:rPr>
                <w:sz w:val="14"/>
                <w:szCs w:val="14"/>
              </w:rPr>
              <w:t>7.08%</w:t>
            </w:r>
          </w:p>
        </w:tc>
        <w:tc>
          <w:tcPr>
            <w:tcW w:w="900" w:type="dxa"/>
            <w:tcBorders>
              <w:top w:val="nil"/>
              <w:left w:val="nil"/>
              <w:bottom w:val="nil"/>
              <w:right w:val="nil"/>
            </w:tcBorders>
            <w:shd w:val="clear" w:color="auto" w:fill="auto"/>
            <w:vAlign w:val="bottom"/>
          </w:tcPr>
          <w:p w:rsidRPr="004557E9" w:rsidR="004557E9" w:rsidP="004557E9" w:rsidRDefault="004557E9" w14:paraId="6A2E4731" w14:textId="6D5CEAFA">
            <w:pPr>
              <w:jc w:val="right"/>
              <w:rPr>
                <w:sz w:val="14"/>
                <w:szCs w:val="14"/>
              </w:rPr>
            </w:pPr>
            <w:r w:rsidRPr="004557E9">
              <w:rPr>
                <w:sz w:val="14"/>
                <w:szCs w:val="14"/>
              </w:rPr>
              <w:t>6.51%</w:t>
            </w:r>
          </w:p>
        </w:tc>
      </w:tr>
      <w:tr w:rsidRPr="007132E1" w:rsidR="006B5F77" w:rsidTr="00E6200E" w14:paraId="1EDD3056" w14:textId="77777777">
        <w:trPr>
          <w:trHeight w:val="20"/>
        </w:trPr>
        <w:tc>
          <w:tcPr>
            <w:tcW w:w="1255" w:type="dxa"/>
            <w:noWrap/>
            <w:vAlign w:val="bottom"/>
          </w:tcPr>
          <w:p w:rsidRPr="007132E1" w:rsidR="006B5F77" w:rsidP="006B5F77" w:rsidRDefault="006B5F77" w14:paraId="15FA10A9" w14:textId="77777777">
            <w:pPr>
              <w:jc w:val="right"/>
              <w:rPr>
                <w:sz w:val="16"/>
                <w:szCs w:val="16"/>
              </w:rPr>
            </w:pPr>
          </w:p>
        </w:tc>
        <w:tc>
          <w:tcPr>
            <w:tcW w:w="256" w:type="dxa"/>
            <w:noWrap/>
            <w:vAlign w:val="bottom"/>
          </w:tcPr>
          <w:p w:rsidRPr="007132E1" w:rsidR="006B5F77" w:rsidP="006B5F77" w:rsidRDefault="006B5F77" w14:paraId="355DE02A" w14:textId="77777777">
            <w:pPr>
              <w:jc w:val="left"/>
              <w:rPr>
                <w:b/>
                <w:bCs/>
                <w:sz w:val="14"/>
                <w:szCs w:val="14"/>
              </w:rPr>
            </w:pPr>
          </w:p>
        </w:tc>
        <w:tc>
          <w:tcPr>
            <w:tcW w:w="1099" w:type="dxa"/>
            <w:tcBorders>
              <w:top w:val="nil"/>
              <w:left w:val="nil"/>
              <w:bottom w:val="nil"/>
              <w:right w:val="nil"/>
            </w:tcBorders>
            <w:shd w:val="clear" w:color="auto" w:fill="auto"/>
            <w:noWrap/>
            <w:vAlign w:val="bottom"/>
          </w:tcPr>
          <w:p w:rsidRPr="007132E1" w:rsidR="006B5F77" w:rsidP="006B5F77" w:rsidRDefault="006B5F77" w14:paraId="6D6D6AA5" w14:textId="77777777">
            <w:pPr>
              <w:widowControl/>
              <w:autoSpaceDE/>
              <w:autoSpaceDN/>
              <w:adjustRightInd/>
              <w:jc w:val="right"/>
              <w:rPr>
                <w:sz w:val="14"/>
                <w:szCs w:val="14"/>
              </w:rPr>
            </w:pPr>
          </w:p>
        </w:tc>
        <w:tc>
          <w:tcPr>
            <w:tcW w:w="1170" w:type="dxa"/>
            <w:tcBorders>
              <w:top w:val="nil"/>
              <w:left w:val="nil"/>
              <w:bottom w:val="nil"/>
              <w:right w:val="nil"/>
            </w:tcBorders>
            <w:shd w:val="clear" w:color="auto" w:fill="auto"/>
            <w:noWrap/>
            <w:vAlign w:val="bottom"/>
          </w:tcPr>
          <w:p w:rsidRPr="007132E1" w:rsidR="006B5F77" w:rsidP="006B5F77" w:rsidRDefault="006B5F77" w14:paraId="19A12F69" w14:textId="77777777">
            <w:pPr>
              <w:widowControl/>
              <w:autoSpaceDE/>
              <w:autoSpaceDN/>
              <w:adjustRightInd/>
              <w:jc w:val="right"/>
              <w:rPr>
                <w:sz w:val="14"/>
                <w:szCs w:val="14"/>
              </w:rPr>
            </w:pPr>
          </w:p>
        </w:tc>
        <w:tc>
          <w:tcPr>
            <w:tcW w:w="1080" w:type="dxa"/>
            <w:tcBorders>
              <w:top w:val="nil"/>
              <w:left w:val="nil"/>
              <w:bottom w:val="nil"/>
              <w:right w:val="nil"/>
            </w:tcBorders>
            <w:shd w:val="clear" w:color="auto" w:fill="auto"/>
            <w:noWrap/>
            <w:vAlign w:val="bottom"/>
          </w:tcPr>
          <w:p w:rsidRPr="007132E1" w:rsidR="006B5F77" w:rsidP="006B5F77" w:rsidRDefault="006B5F77" w14:paraId="57A47F2C" w14:textId="77777777">
            <w:pPr>
              <w:jc w:val="right"/>
              <w:rPr>
                <w:sz w:val="14"/>
                <w:szCs w:val="14"/>
              </w:rPr>
            </w:pPr>
          </w:p>
        </w:tc>
        <w:tc>
          <w:tcPr>
            <w:tcW w:w="1350" w:type="dxa"/>
            <w:tcBorders>
              <w:top w:val="nil"/>
              <w:left w:val="nil"/>
              <w:bottom w:val="nil"/>
              <w:right w:val="nil"/>
            </w:tcBorders>
            <w:shd w:val="clear" w:color="auto" w:fill="auto"/>
            <w:noWrap/>
            <w:vAlign w:val="bottom"/>
          </w:tcPr>
          <w:p w:rsidRPr="007132E1" w:rsidR="006B5F77" w:rsidP="006B5F77" w:rsidRDefault="006B5F77" w14:paraId="5CAFA562" w14:textId="77777777">
            <w:pPr>
              <w:jc w:val="right"/>
              <w:rPr>
                <w:sz w:val="14"/>
                <w:szCs w:val="14"/>
              </w:rPr>
            </w:pPr>
          </w:p>
        </w:tc>
        <w:tc>
          <w:tcPr>
            <w:tcW w:w="1260" w:type="dxa"/>
            <w:tcBorders>
              <w:top w:val="nil"/>
              <w:left w:val="nil"/>
              <w:bottom w:val="nil"/>
              <w:right w:val="nil"/>
            </w:tcBorders>
            <w:shd w:val="clear" w:color="auto" w:fill="auto"/>
            <w:noWrap/>
            <w:vAlign w:val="bottom"/>
          </w:tcPr>
          <w:p w:rsidRPr="007132E1" w:rsidR="006B5F77" w:rsidP="006B5F77" w:rsidRDefault="006B5F77" w14:paraId="596877BE" w14:textId="77777777">
            <w:pPr>
              <w:jc w:val="right"/>
              <w:rPr>
                <w:sz w:val="14"/>
                <w:szCs w:val="14"/>
              </w:rPr>
            </w:pPr>
          </w:p>
        </w:tc>
        <w:tc>
          <w:tcPr>
            <w:tcW w:w="1350" w:type="dxa"/>
            <w:tcBorders>
              <w:top w:val="nil"/>
              <w:left w:val="nil"/>
              <w:bottom w:val="nil"/>
              <w:right w:val="nil"/>
            </w:tcBorders>
            <w:shd w:val="clear" w:color="auto" w:fill="auto"/>
            <w:noWrap/>
            <w:vAlign w:val="bottom"/>
          </w:tcPr>
          <w:p w:rsidRPr="007132E1" w:rsidR="006B5F77" w:rsidP="006B5F77" w:rsidRDefault="006B5F77" w14:paraId="17C69762" w14:textId="77777777">
            <w:pPr>
              <w:jc w:val="right"/>
              <w:rPr>
                <w:sz w:val="14"/>
                <w:szCs w:val="14"/>
              </w:rPr>
            </w:pPr>
          </w:p>
        </w:tc>
        <w:tc>
          <w:tcPr>
            <w:tcW w:w="1170" w:type="dxa"/>
            <w:tcBorders>
              <w:top w:val="nil"/>
              <w:left w:val="nil"/>
              <w:bottom w:val="nil"/>
              <w:right w:val="nil"/>
            </w:tcBorders>
            <w:shd w:val="clear" w:color="auto" w:fill="auto"/>
            <w:noWrap/>
            <w:vAlign w:val="bottom"/>
          </w:tcPr>
          <w:p w:rsidRPr="007132E1" w:rsidR="006B5F77" w:rsidP="006B5F77" w:rsidRDefault="006B5F77" w14:paraId="38AA3889" w14:textId="77777777">
            <w:pPr>
              <w:jc w:val="right"/>
              <w:rPr>
                <w:sz w:val="14"/>
                <w:szCs w:val="14"/>
              </w:rPr>
            </w:pPr>
          </w:p>
        </w:tc>
        <w:tc>
          <w:tcPr>
            <w:tcW w:w="1260" w:type="dxa"/>
            <w:tcBorders>
              <w:top w:val="nil"/>
              <w:left w:val="nil"/>
              <w:bottom w:val="nil"/>
              <w:right w:val="nil"/>
            </w:tcBorders>
            <w:shd w:val="clear" w:color="auto" w:fill="auto"/>
            <w:noWrap/>
            <w:vAlign w:val="bottom"/>
          </w:tcPr>
          <w:p w:rsidRPr="007132E1" w:rsidR="006B5F77" w:rsidP="006B5F77" w:rsidRDefault="006B5F77" w14:paraId="7547A081" w14:textId="77777777">
            <w:pPr>
              <w:jc w:val="right"/>
              <w:rPr>
                <w:sz w:val="14"/>
                <w:szCs w:val="14"/>
              </w:rPr>
            </w:pPr>
          </w:p>
        </w:tc>
        <w:tc>
          <w:tcPr>
            <w:tcW w:w="1080" w:type="dxa"/>
            <w:tcBorders>
              <w:top w:val="nil"/>
              <w:left w:val="nil"/>
              <w:bottom w:val="nil"/>
              <w:right w:val="nil"/>
            </w:tcBorders>
            <w:shd w:val="clear" w:color="auto" w:fill="auto"/>
            <w:noWrap/>
            <w:vAlign w:val="bottom"/>
          </w:tcPr>
          <w:p w:rsidRPr="007132E1" w:rsidR="006B5F77" w:rsidP="006B5F77" w:rsidRDefault="006B5F77" w14:paraId="57E572AB" w14:textId="77777777">
            <w:pPr>
              <w:jc w:val="right"/>
              <w:rPr>
                <w:sz w:val="14"/>
                <w:szCs w:val="14"/>
              </w:rPr>
            </w:pPr>
          </w:p>
        </w:tc>
        <w:tc>
          <w:tcPr>
            <w:tcW w:w="900" w:type="dxa"/>
            <w:tcBorders>
              <w:top w:val="nil"/>
              <w:left w:val="nil"/>
              <w:bottom w:val="nil"/>
              <w:right w:val="nil"/>
            </w:tcBorders>
            <w:shd w:val="clear" w:color="auto" w:fill="auto"/>
            <w:noWrap/>
            <w:vAlign w:val="bottom"/>
          </w:tcPr>
          <w:p w:rsidRPr="007132E1" w:rsidR="006B5F77" w:rsidP="006B5F77" w:rsidRDefault="006B5F77" w14:paraId="186CE310" w14:textId="77777777">
            <w:pPr>
              <w:jc w:val="right"/>
              <w:rPr>
                <w:sz w:val="14"/>
                <w:szCs w:val="14"/>
              </w:rPr>
            </w:pPr>
          </w:p>
        </w:tc>
        <w:tc>
          <w:tcPr>
            <w:tcW w:w="900" w:type="dxa"/>
            <w:tcBorders>
              <w:top w:val="nil"/>
              <w:left w:val="nil"/>
              <w:bottom w:val="nil"/>
              <w:right w:val="nil"/>
            </w:tcBorders>
            <w:shd w:val="clear" w:color="auto" w:fill="auto"/>
            <w:vAlign w:val="bottom"/>
          </w:tcPr>
          <w:p w:rsidRPr="007132E1" w:rsidR="006B5F77" w:rsidP="006B5F77" w:rsidRDefault="006B5F77" w14:paraId="244FA798" w14:textId="77777777">
            <w:pPr>
              <w:jc w:val="right"/>
              <w:rPr>
                <w:sz w:val="14"/>
                <w:szCs w:val="14"/>
              </w:rPr>
            </w:pPr>
          </w:p>
        </w:tc>
      </w:tr>
      <w:tr w:rsidRPr="007132E1" w:rsidR="004557E9" w:rsidTr="00E6200E" w14:paraId="3EFDB776" w14:textId="77777777">
        <w:trPr>
          <w:trHeight w:val="20"/>
        </w:trPr>
        <w:tc>
          <w:tcPr>
            <w:tcW w:w="1255" w:type="dxa"/>
            <w:noWrap/>
            <w:vAlign w:val="bottom"/>
          </w:tcPr>
          <w:p w:rsidRPr="007132E1" w:rsidR="004557E9" w:rsidP="004557E9" w:rsidRDefault="004557E9" w14:paraId="26941CF9" w14:textId="77777777">
            <w:pPr>
              <w:jc w:val="right"/>
              <w:rPr>
                <w:b/>
                <w:sz w:val="16"/>
                <w:szCs w:val="16"/>
              </w:rPr>
            </w:pPr>
            <w:r w:rsidRPr="007132E1">
              <w:rPr>
                <w:b/>
                <w:sz w:val="16"/>
                <w:szCs w:val="16"/>
              </w:rPr>
              <w:t>Total</w:t>
            </w:r>
          </w:p>
        </w:tc>
        <w:tc>
          <w:tcPr>
            <w:tcW w:w="256" w:type="dxa"/>
            <w:noWrap/>
            <w:vAlign w:val="bottom"/>
          </w:tcPr>
          <w:p w:rsidRPr="007132E1" w:rsidR="004557E9" w:rsidP="004557E9" w:rsidRDefault="004557E9" w14:paraId="1B284C1C" w14:textId="77777777">
            <w:pPr>
              <w:jc w:val="left"/>
              <w:rPr>
                <w:b/>
                <w:bCs/>
                <w:sz w:val="14"/>
                <w:szCs w:val="14"/>
              </w:rPr>
            </w:pPr>
          </w:p>
        </w:tc>
        <w:tc>
          <w:tcPr>
            <w:tcW w:w="1099" w:type="dxa"/>
            <w:tcBorders>
              <w:top w:val="nil"/>
              <w:left w:val="nil"/>
              <w:bottom w:val="nil"/>
              <w:right w:val="nil"/>
            </w:tcBorders>
            <w:shd w:val="clear" w:color="auto" w:fill="auto"/>
            <w:noWrap/>
            <w:vAlign w:val="bottom"/>
          </w:tcPr>
          <w:p w:rsidRPr="004557E9" w:rsidR="004557E9" w:rsidP="004557E9" w:rsidRDefault="004557E9" w14:paraId="73FC84DE" w14:textId="540FF0F6">
            <w:pPr>
              <w:widowControl/>
              <w:autoSpaceDE/>
              <w:autoSpaceDN/>
              <w:adjustRightInd/>
              <w:jc w:val="right"/>
              <w:rPr>
                <w:sz w:val="14"/>
                <w:szCs w:val="14"/>
              </w:rPr>
            </w:pPr>
            <w:r w:rsidRPr="004557E9">
              <w:rPr>
                <w:b/>
                <w:bCs/>
                <w:sz w:val="14"/>
                <w:szCs w:val="14"/>
              </w:rPr>
              <w:t xml:space="preserve">963,153,848 </w:t>
            </w:r>
          </w:p>
        </w:tc>
        <w:tc>
          <w:tcPr>
            <w:tcW w:w="1170" w:type="dxa"/>
            <w:tcBorders>
              <w:top w:val="nil"/>
              <w:left w:val="nil"/>
              <w:bottom w:val="nil"/>
              <w:right w:val="nil"/>
            </w:tcBorders>
            <w:shd w:val="clear" w:color="auto" w:fill="auto"/>
            <w:noWrap/>
            <w:vAlign w:val="bottom"/>
          </w:tcPr>
          <w:p w:rsidRPr="004557E9" w:rsidR="004557E9" w:rsidP="004557E9" w:rsidRDefault="004557E9" w14:paraId="3982296B" w14:textId="35C78279">
            <w:pPr>
              <w:widowControl/>
              <w:autoSpaceDE/>
              <w:autoSpaceDN/>
              <w:adjustRightInd/>
              <w:jc w:val="right"/>
              <w:rPr>
                <w:sz w:val="14"/>
                <w:szCs w:val="14"/>
              </w:rPr>
            </w:pPr>
            <w:r w:rsidRPr="004557E9">
              <w:rPr>
                <w:b/>
                <w:bCs/>
                <w:sz w:val="14"/>
                <w:szCs w:val="14"/>
              </w:rPr>
              <w:t xml:space="preserve">12,386,821 </w:t>
            </w:r>
          </w:p>
        </w:tc>
        <w:tc>
          <w:tcPr>
            <w:tcW w:w="1080" w:type="dxa"/>
            <w:tcBorders>
              <w:top w:val="nil"/>
              <w:left w:val="nil"/>
              <w:bottom w:val="nil"/>
              <w:right w:val="nil"/>
            </w:tcBorders>
            <w:shd w:val="clear" w:color="auto" w:fill="auto"/>
            <w:noWrap/>
            <w:vAlign w:val="bottom"/>
          </w:tcPr>
          <w:p w:rsidRPr="004557E9" w:rsidR="004557E9" w:rsidP="004557E9" w:rsidRDefault="004557E9" w14:paraId="517BAF95" w14:textId="10B282C5">
            <w:pPr>
              <w:jc w:val="right"/>
              <w:rPr>
                <w:sz w:val="14"/>
                <w:szCs w:val="14"/>
              </w:rPr>
            </w:pPr>
            <w:r w:rsidRPr="004557E9">
              <w:rPr>
                <w:b/>
                <w:bCs/>
                <w:sz w:val="14"/>
                <w:szCs w:val="14"/>
              </w:rPr>
              <w:t xml:space="preserve">1,070,437,827 </w:t>
            </w:r>
          </w:p>
        </w:tc>
        <w:tc>
          <w:tcPr>
            <w:tcW w:w="1350" w:type="dxa"/>
            <w:tcBorders>
              <w:top w:val="nil"/>
              <w:left w:val="nil"/>
              <w:bottom w:val="nil"/>
              <w:right w:val="nil"/>
            </w:tcBorders>
            <w:shd w:val="clear" w:color="auto" w:fill="auto"/>
            <w:noWrap/>
            <w:vAlign w:val="bottom"/>
          </w:tcPr>
          <w:p w:rsidRPr="004557E9" w:rsidR="004557E9" w:rsidP="004557E9" w:rsidRDefault="004557E9" w14:paraId="110BCC6F" w14:textId="252ABA12">
            <w:pPr>
              <w:jc w:val="right"/>
              <w:rPr>
                <w:sz w:val="14"/>
                <w:szCs w:val="14"/>
              </w:rPr>
            </w:pPr>
            <w:r w:rsidRPr="004557E9">
              <w:rPr>
                <w:b/>
                <w:bCs/>
                <w:sz w:val="14"/>
                <w:szCs w:val="14"/>
              </w:rPr>
              <w:t xml:space="preserve">12,813,219 </w:t>
            </w:r>
          </w:p>
        </w:tc>
        <w:tc>
          <w:tcPr>
            <w:tcW w:w="1260" w:type="dxa"/>
            <w:tcBorders>
              <w:top w:val="nil"/>
              <w:left w:val="nil"/>
              <w:bottom w:val="nil"/>
              <w:right w:val="nil"/>
            </w:tcBorders>
            <w:shd w:val="clear" w:color="auto" w:fill="auto"/>
            <w:noWrap/>
            <w:vAlign w:val="bottom"/>
          </w:tcPr>
          <w:p w:rsidRPr="004557E9" w:rsidR="004557E9" w:rsidP="004557E9" w:rsidRDefault="004557E9" w14:paraId="0CAE87FB" w14:textId="3C08BC33">
            <w:pPr>
              <w:jc w:val="right"/>
              <w:rPr>
                <w:sz w:val="14"/>
                <w:szCs w:val="14"/>
              </w:rPr>
            </w:pPr>
            <w:r w:rsidRPr="004557E9">
              <w:rPr>
                <w:b/>
                <w:bCs/>
                <w:sz w:val="14"/>
                <w:szCs w:val="14"/>
              </w:rPr>
              <w:t xml:space="preserve">1,182,687,905 </w:t>
            </w:r>
          </w:p>
        </w:tc>
        <w:tc>
          <w:tcPr>
            <w:tcW w:w="1350" w:type="dxa"/>
            <w:tcBorders>
              <w:top w:val="nil"/>
              <w:left w:val="nil"/>
              <w:bottom w:val="nil"/>
              <w:right w:val="nil"/>
            </w:tcBorders>
            <w:shd w:val="clear" w:color="auto" w:fill="auto"/>
            <w:noWrap/>
            <w:vAlign w:val="bottom"/>
          </w:tcPr>
          <w:p w:rsidRPr="004557E9" w:rsidR="004557E9" w:rsidP="004557E9" w:rsidRDefault="004557E9" w14:paraId="1EA370DE" w14:textId="53EE6095">
            <w:pPr>
              <w:jc w:val="right"/>
              <w:rPr>
                <w:sz w:val="14"/>
                <w:szCs w:val="14"/>
              </w:rPr>
            </w:pPr>
            <w:r w:rsidRPr="004557E9">
              <w:rPr>
                <w:b/>
                <w:bCs/>
                <w:sz w:val="14"/>
                <w:szCs w:val="14"/>
              </w:rPr>
              <w:t xml:space="preserve">20,375,593 </w:t>
            </w:r>
          </w:p>
        </w:tc>
        <w:tc>
          <w:tcPr>
            <w:tcW w:w="1170" w:type="dxa"/>
            <w:tcBorders>
              <w:top w:val="nil"/>
              <w:left w:val="nil"/>
              <w:bottom w:val="nil"/>
              <w:right w:val="nil"/>
            </w:tcBorders>
            <w:shd w:val="clear" w:color="auto" w:fill="auto"/>
            <w:noWrap/>
            <w:vAlign w:val="bottom"/>
          </w:tcPr>
          <w:p w:rsidRPr="004557E9" w:rsidR="004557E9" w:rsidP="004557E9" w:rsidRDefault="004557E9" w14:paraId="7F2DAF77" w14:textId="32157BC0">
            <w:pPr>
              <w:jc w:val="right"/>
              <w:rPr>
                <w:sz w:val="14"/>
                <w:szCs w:val="14"/>
              </w:rPr>
            </w:pPr>
            <w:r w:rsidRPr="004557E9">
              <w:rPr>
                <w:b/>
                <w:bCs/>
                <w:sz w:val="14"/>
                <w:szCs w:val="14"/>
              </w:rPr>
              <w:t xml:space="preserve">1,273,569,985 </w:t>
            </w:r>
          </w:p>
        </w:tc>
        <w:tc>
          <w:tcPr>
            <w:tcW w:w="1260" w:type="dxa"/>
            <w:tcBorders>
              <w:top w:val="nil"/>
              <w:left w:val="nil"/>
              <w:bottom w:val="nil"/>
              <w:right w:val="nil"/>
            </w:tcBorders>
            <w:shd w:val="clear" w:color="auto" w:fill="auto"/>
            <w:noWrap/>
            <w:vAlign w:val="bottom"/>
          </w:tcPr>
          <w:p w:rsidRPr="004557E9" w:rsidR="004557E9" w:rsidP="004557E9" w:rsidRDefault="004557E9" w14:paraId="16B158A0" w14:textId="1952567F">
            <w:pPr>
              <w:jc w:val="right"/>
              <w:rPr>
                <w:sz w:val="14"/>
                <w:szCs w:val="14"/>
              </w:rPr>
            </w:pPr>
            <w:r w:rsidRPr="004557E9">
              <w:rPr>
                <w:b/>
                <w:bCs/>
                <w:sz w:val="14"/>
                <w:szCs w:val="14"/>
              </w:rPr>
              <w:t xml:space="preserve">15,307,354 </w:t>
            </w:r>
          </w:p>
        </w:tc>
        <w:tc>
          <w:tcPr>
            <w:tcW w:w="1080" w:type="dxa"/>
            <w:tcBorders>
              <w:top w:val="nil"/>
              <w:left w:val="nil"/>
              <w:bottom w:val="nil"/>
              <w:right w:val="nil"/>
            </w:tcBorders>
            <w:shd w:val="clear" w:color="auto" w:fill="auto"/>
            <w:noWrap/>
            <w:vAlign w:val="bottom"/>
          </w:tcPr>
          <w:p w:rsidRPr="004557E9" w:rsidR="004557E9" w:rsidP="004557E9" w:rsidRDefault="004557E9" w14:paraId="2CA1B749" w14:textId="03FAA665">
            <w:pPr>
              <w:jc w:val="right"/>
              <w:rPr>
                <w:sz w:val="14"/>
                <w:szCs w:val="14"/>
              </w:rPr>
            </w:pPr>
            <w:r w:rsidRPr="004557E9">
              <w:rPr>
                <w:b/>
                <w:bCs/>
                <w:sz w:val="14"/>
                <w:szCs w:val="14"/>
              </w:rPr>
              <w:t xml:space="preserve">1,419,837,661 </w:t>
            </w:r>
          </w:p>
        </w:tc>
        <w:tc>
          <w:tcPr>
            <w:tcW w:w="900" w:type="dxa"/>
            <w:tcBorders>
              <w:top w:val="nil"/>
              <w:left w:val="nil"/>
              <w:bottom w:val="nil"/>
              <w:right w:val="nil"/>
            </w:tcBorders>
            <w:shd w:val="clear" w:color="auto" w:fill="auto"/>
            <w:noWrap/>
            <w:vAlign w:val="bottom"/>
          </w:tcPr>
          <w:p w:rsidRPr="004557E9" w:rsidR="004557E9" w:rsidP="004557E9" w:rsidRDefault="004557E9" w14:paraId="53013818" w14:textId="1E37014F">
            <w:pPr>
              <w:jc w:val="right"/>
              <w:rPr>
                <w:sz w:val="14"/>
                <w:szCs w:val="14"/>
              </w:rPr>
            </w:pPr>
            <w:r w:rsidRPr="004557E9">
              <w:rPr>
                <w:b/>
                <w:bCs/>
                <w:sz w:val="14"/>
                <w:szCs w:val="14"/>
              </w:rPr>
              <w:t>5.85%</w:t>
            </w:r>
          </w:p>
        </w:tc>
        <w:tc>
          <w:tcPr>
            <w:tcW w:w="900" w:type="dxa"/>
            <w:tcBorders>
              <w:top w:val="nil"/>
              <w:left w:val="nil"/>
              <w:bottom w:val="nil"/>
              <w:right w:val="nil"/>
            </w:tcBorders>
            <w:shd w:val="clear" w:color="auto" w:fill="auto"/>
            <w:vAlign w:val="bottom"/>
          </w:tcPr>
          <w:p w:rsidRPr="004557E9" w:rsidR="004557E9" w:rsidP="004557E9" w:rsidRDefault="004557E9" w14:paraId="70D1E2FB" w14:textId="2F93CAE9">
            <w:pPr>
              <w:jc w:val="right"/>
              <w:rPr>
                <w:sz w:val="14"/>
                <w:szCs w:val="14"/>
              </w:rPr>
            </w:pPr>
            <w:r w:rsidRPr="004557E9">
              <w:rPr>
                <w:b/>
                <w:bCs/>
                <w:sz w:val="14"/>
                <w:szCs w:val="14"/>
              </w:rPr>
              <w:t>5.29%</w:t>
            </w:r>
          </w:p>
        </w:tc>
      </w:tr>
      <w:tr w:rsidRPr="007132E1" w:rsidR="006B5F77" w:rsidTr="00E6200E" w14:paraId="1AB78644" w14:textId="77777777">
        <w:trPr>
          <w:trHeight w:val="420"/>
        </w:trPr>
        <w:tc>
          <w:tcPr>
            <w:tcW w:w="1255" w:type="dxa"/>
            <w:noWrap/>
            <w:hideMark/>
          </w:tcPr>
          <w:p w:rsidRPr="007132E1" w:rsidR="006B5F77" w:rsidP="006B5F77" w:rsidRDefault="006B5F77" w14:paraId="26740282" w14:textId="77777777">
            <w:pPr>
              <w:jc w:val="left"/>
              <w:rPr>
                <w:b/>
                <w:bCs/>
                <w:sz w:val="16"/>
                <w:szCs w:val="16"/>
              </w:rPr>
            </w:pPr>
          </w:p>
        </w:tc>
        <w:tc>
          <w:tcPr>
            <w:tcW w:w="256" w:type="dxa"/>
            <w:noWrap/>
            <w:hideMark/>
          </w:tcPr>
          <w:p w:rsidRPr="007132E1" w:rsidR="006B5F77" w:rsidP="006B5F77" w:rsidRDefault="006B5F77" w14:paraId="4B910A7F" w14:textId="77777777">
            <w:pPr>
              <w:jc w:val="left"/>
              <w:rPr>
                <w:sz w:val="16"/>
                <w:szCs w:val="16"/>
              </w:rPr>
            </w:pPr>
          </w:p>
        </w:tc>
        <w:tc>
          <w:tcPr>
            <w:tcW w:w="1099" w:type="dxa"/>
            <w:noWrap/>
            <w:vAlign w:val="bottom"/>
            <w:hideMark/>
          </w:tcPr>
          <w:p w:rsidRPr="007132E1" w:rsidR="006B5F77" w:rsidP="006B5F77" w:rsidRDefault="006B5F77" w14:paraId="164C78BD" w14:textId="77777777">
            <w:pPr>
              <w:jc w:val="right"/>
              <w:rPr>
                <w:sz w:val="16"/>
                <w:szCs w:val="16"/>
              </w:rPr>
            </w:pPr>
          </w:p>
        </w:tc>
        <w:tc>
          <w:tcPr>
            <w:tcW w:w="1170" w:type="dxa"/>
            <w:noWrap/>
            <w:vAlign w:val="bottom"/>
            <w:hideMark/>
          </w:tcPr>
          <w:p w:rsidRPr="007132E1" w:rsidR="006B5F77" w:rsidP="006B5F77" w:rsidRDefault="006B5F77" w14:paraId="0EC0B2E5" w14:textId="77777777">
            <w:pPr>
              <w:jc w:val="right"/>
              <w:rPr>
                <w:sz w:val="16"/>
                <w:szCs w:val="16"/>
              </w:rPr>
            </w:pPr>
          </w:p>
        </w:tc>
        <w:tc>
          <w:tcPr>
            <w:tcW w:w="1080" w:type="dxa"/>
            <w:noWrap/>
            <w:vAlign w:val="bottom"/>
            <w:hideMark/>
          </w:tcPr>
          <w:p w:rsidRPr="007132E1" w:rsidR="006B5F77" w:rsidP="006B5F77" w:rsidRDefault="006B5F77" w14:paraId="119BB291" w14:textId="77777777">
            <w:pPr>
              <w:jc w:val="right"/>
              <w:rPr>
                <w:sz w:val="16"/>
                <w:szCs w:val="16"/>
              </w:rPr>
            </w:pPr>
          </w:p>
        </w:tc>
        <w:tc>
          <w:tcPr>
            <w:tcW w:w="1350" w:type="dxa"/>
            <w:noWrap/>
            <w:vAlign w:val="bottom"/>
            <w:hideMark/>
          </w:tcPr>
          <w:p w:rsidRPr="007132E1" w:rsidR="006B5F77" w:rsidP="006B5F77" w:rsidRDefault="006B5F77" w14:paraId="1D1E2112" w14:textId="77777777">
            <w:pPr>
              <w:jc w:val="right"/>
              <w:rPr>
                <w:sz w:val="16"/>
                <w:szCs w:val="16"/>
              </w:rPr>
            </w:pPr>
          </w:p>
        </w:tc>
        <w:tc>
          <w:tcPr>
            <w:tcW w:w="1260" w:type="dxa"/>
            <w:noWrap/>
            <w:vAlign w:val="bottom"/>
            <w:hideMark/>
          </w:tcPr>
          <w:p w:rsidRPr="007132E1" w:rsidR="006B5F77" w:rsidP="006B5F77" w:rsidRDefault="006B5F77" w14:paraId="27E77274" w14:textId="77777777">
            <w:pPr>
              <w:jc w:val="right"/>
              <w:rPr>
                <w:sz w:val="16"/>
                <w:szCs w:val="16"/>
              </w:rPr>
            </w:pPr>
          </w:p>
        </w:tc>
        <w:tc>
          <w:tcPr>
            <w:tcW w:w="1350" w:type="dxa"/>
            <w:noWrap/>
            <w:vAlign w:val="bottom"/>
            <w:hideMark/>
          </w:tcPr>
          <w:p w:rsidRPr="007132E1" w:rsidR="006B5F77" w:rsidP="006B5F77" w:rsidRDefault="006B5F77" w14:paraId="751E877B" w14:textId="77777777">
            <w:pPr>
              <w:jc w:val="right"/>
              <w:rPr>
                <w:sz w:val="16"/>
                <w:szCs w:val="16"/>
              </w:rPr>
            </w:pPr>
          </w:p>
        </w:tc>
        <w:tc>
          <w:tcPr>
            <w:tcW w:w="1170" w:type="dxa"/>
            <w:noWrap/>
            <w:vAlign w:val="bottom"/>
            <w:hideMark/>
          </w:tcPr>
          <w:p w:rsidRPr="007132E1" w:rsidR="006B5F77" w:rsidP="006B5F77" w:rsidRDefault="006B5F77" w14:paraId="2F40747E" w14:textId="77777777">
            <w:pPr>
              <w:jc w:val="right"/>
              <w:rPr>
                <w:sz w:val="16"/>
                <w:szCs w:val="16"/>
              </w:rPr>
            </w:pPr>
          </w:p>
        </w:tc>
        <w:tc>
          <w:tcPr>
            <w:tcW w:w="1260" w:type="dxa"/>
            <w:noWrap/>
            <w:vAlign w:val="bottom"/>
            <w:hideMark/>
          </w:tcPr>
          <w:p w:rsidRPr="007132E1" w:rsidR="006B5F77" w:rsidP="006B5F77" w:rsidRDefault="006B5F77" w14:paraId="56C1D486" w14:textId="77777777">
            <w:pPr>
              <w:jc w:val="right"/>
              <w:rPr>
                <w:sz w:val="16"/>
                <w:szCs w:val="16"/>
              </w:rPr>
            </w:pPr>
          </w:p>
        </w:tc>
        <w:tc>
          <w:tcPr>
            <w:tcW w:w="1080" w:type="dxa"/>
            <w:noWrap/>
            <w:vAlign w:val="bottom"/>
            <w:hideMark/>
          </w:tcPr>
          <w:p w:rsidRPr="007132E1" w:rsidR="006B5F77" w:rsidP="006B5F77" w:rsidRDefault="006B5F77" w14:paraId="6502EED8" w14:textId="77777777">
            <w:pPr>
              <w:jc w:val="right"/>
              <w:rPr>
                <w:sz w:val="16"/>
                <w:szCs w:val="16"/>
              </w:rPr>
            </w:pPr>
          </w:p>
        </w:tc>
        <w:tc>
          <w:tcPr>
            <w:tcW w:w="900" w:type="dxa"/>
            <w:noWrap/>
            <w:vAlign w:val="bottom"/>
            <w:hideMark/>
          </w:tcPr>
          <w:p w:rsidRPr="007132E1" w:rsidR="006B5F77" w:rsidP="006B5F77" w:rsidRDefault="006B5F77" w14:paraId="3C91D053" w14:textId="77777777">
            <w:pPr>
              <w:jc w:val="right"/>
              <w:rPr>
                <w:sz w:val="16"/>
                <w:szCs w:val="16"/>
              </w:rPr>
            </w:pPr>
          </w:p>
        </w:tc>
        <w:tc>
          <w:tcPr>
            <w:tcW w:w="900" w:type="dxa"/>
          </w:tcPr>
          <w:p w:rsidRPr="007132E1" w:rsidR="006B5F77" w:rsidP="006B5F77" w:rsidRDefault="006B5F77" w14:paraId="40F1E3A8" w14:textId="77777777">
            <w:pPr>
              <w:jc w:val="right"/>
              <w:rPr>
                <w:sz w:val="16"/>
                <w:szCs w:val="16"/>
              </w:rPr>
            </w:pPr>
          </w:p>
        </w:tc>
      </w:tr>
      <w:tr w:rsidRPr="0057122B" w:rsidR="006B5F77" w:rsidTr="006B5F77" w14:paraId="5A48FFAA" w14:textId="77777777">
        <w:trPr>
          <w:trHeight w:val="735"/>
        </w:trPr>
        <w:tc>
          <w:tcPr>
            <w:tcW w:w="13230" w:type="dxa"/>
            <w:gridSpan w:val="12"/>
            <w:vMerge w:val="restart"/>
            <w:hideMark/>
          </w:tcPr>
          <w:p w:rsidRPr="00461A39" w:rsidR="006B5F77" w:rsidP="006B5F77" w:rsidRDefault="006B5F77" w14:paraId="0DA69734" w14:textId="77777777">
            <w:pPr>
              <w:pStyle w:val="LBFileStampAtEnd"/>
              <w:widowControl w:val="0"/>
              <w:autoSpaceDE w:val="0"/>
              <w:autoSpaceDN w:val="0"/>
              <w:adjustRightInd w:val="0"/>
              <w:spacing w:before="0"/>
              <w:rPr>
                <w:szCs w:val="16"/>
              </w:rPr>
            </w:pPr>
            <w:r w:rsidRPr="007132E1">
              <w:rPr>
                <w:szCs w:val="16"/>
              </w:rPr>
              <w:t>The figures are based on information currently available, and are not guaranteed.  Prepayment amounts are amounts in excess of the scheduled repayments of principal amounts.  The Authority reserves the right to transfer loans between bond series subject to limitations under the Indenture and applicable federal tax law.  Changes in outstanding balances from quarter to quarter may result from repayments and prepayments, new originations and recycling, and transfers between series.</w:t>
            </w:r>
            <w:r w:rsidRPr="00461A39">
              <w:rPr>
                <w:szCs w:val="16"/>
              </w:rPr>
              <w:t xml:space="preserve">  </w:t>
            </w:r>
          </w:p>
        </w:tc>
        <w:tc>
          <w:tcPr>
            <w:tcW w:w="900" w:type="dxa"/>
          </w:tcPr>
          <w:p w:rsidRPr="0057122B" w:rsidR="006B5F77" w:rsidP="006B5F77" w:rsidRDefault="006B5F77" w14:paraId="4B0357B8" w14:textId="77777777">
            <w:pPr>
              <w:jc w:val="left"/>
              <w:rPr>
                <w:sz w:val="16"/>
                <w:szCs w:val="16"/>
              </w:rPr>
            </w:pPr>
          </w:p>
        </w:tc>
      </w:tr>
      <w:tr w:rsidRPr="0057122B" w:rsidR="006B5F77" w:rsidTr="006B5F77" w14:paraId="4FF29452" w14:textId="77777777">
        <w:trPr>
          <w:trHeight w:val="408"/>
        </w:trPr>
        <w:tc>
          <w:tcPr>
            <w:tcW w:w="13230" w:type="dxa"/>
            <w:gridSpan w:val="12"/>
            <w:vMerge/>
            <w:hideMark/>
          </w:tcPr>
          <w:p w:rsidRPr="0057122B" w:rsidR="006B5F77" w:rsidP="006B5F77" w:rsidRDefault="006B5F77" w14:paraId="3D850416" w14:textId="77777777">
            <w:pPr>
              <w:jc w:val="left"/>
              <w:rPr>
                <w:sz w:val="16"/>
                <w:szCs w:val="16"/>
              </w:rPr>
            </w:pPr>
          </w:p>
        </w:tc>
        <w:tc>
          <w:tcPr>
            <w:tcW w:w="900" w:type="dxa"/>
          </w:tcPr>
          <w:p w:rsidRPr="0057122B" w:rsidR="006B5F77" w:rsidP="006B5F77" w:rsidRDefault="006B5F77" w14:paraId="32FA85FA" w14:textId="77777777">
            <w:pPr>
              <w:jc w:val="left"/>
              <w:rPr>
                <w:sz w:val="16"/>
                <w:szCs w:val="16"/>
              </w:rPr>
            </w:pPr>
          </w:p>
        </w:tc>
      </w:tr>
      <w:tr w:rsidRPr="0057122B" w:rsidR="006B5F77" w:rsidTr="006B5F77" w14:paraId="5371A7CF" w14:textId="77777777">
        <w:trPr>
          <w:trHeight w:val="408"/>
        </w:trPr>
        <w:tc>
          <w:tcPr>
            <w:tcW w:w="13230" w:type="dxa"/>
            <w:gridSpan w:val="12"/>
            <w:vMerge/>
            <w:hideMark/>
          </w:tcPr>
          <w:p w:rsidRPr="0057122B" w:rsidR="006B5F77" w:rsidP="006B5F77" w:rsidRDefault="006B5F77" w14:paraId="2830F917" w14:textId="77777777">
            <w:pPr>
              <w:jc w:val="left"/>
              <w:rPr>
                <w:sz w:val="16"/>
                <w:szCs w:val="16"/>
              </w:rPr>
            </w:pPr>
          </w:p>
        </w:tc>
        <w:tc>
          <w:tcPr>
            <w:tcW w:w="900" w:type="dxa"/>
          </w:tcPr>
          <w:p w:rsidRPr="0057122B" w:rsidR="006B5F77" w:rsidP="006B5F77" w:rsidRDefault="006B5F77" w14:paraId="79D09F06" w14:textId="77777777">
            <w:pPr>
              <w:jc w:val="left"/>
              <w:rPr>
                <w:sz w:val="16"/>
                <w:szCs w:val="16"/>
              </w:rPr>
            </w:pPr>
          </w:p>
        </w:tc>
      </w:tr>
    </w:tbl>
    <w:p w:rsidRPr="00B34407" w:rsidR="003D0FB1" w:rsidP="00DA1A4B" w:rsidRDefault="003D0FB1" w14:paraId="0933614F" w14:textId="77777777">
      <w:pPr>
        <w:jc w:val="left"/>
        <w:rPr>
          <w:sz w:val="16"/>
          <w:szCs w:val="16"/>
        </w:rPr>
        <w:sectPr w:rsidRPr="00B34407" w:rsidR="003D0FB1" w:rsidSect="00452454">
          <w:headerReference w:type="first" r:id="rId26"/>
          <w:pgSz w:w="15840" w:h="12240" w:orient="landscape"/>
          <w:pgMar w:top="1440" w:right="1008" w:bottom="1440" w:left="1440" w:header="864" w:footer="432" w:gutter="0"/>
          <w:cols w:space="720"/>
          <w:noEndnote/>
          <w:docGrid w:linePitch="360"/>
        </w:sectPr>
      </w:pPr>
    </w:p>
    <w:p w:rsidRPr="00B34407" w:rsidR="00DD304B" w:rsidP="00377694" w:rsidRDefault="00DD304B" w14:paraId="6AEFC29B" w14:textId="77777777">
      <w:pPr>
        <w:rPr>
          <w:sz w:val="16"/>
          <w:szCs w:val="16"/>
        </w:rPr>
      </w:pPr>
      <w:bookmarkStart w:name="ElPgBr35" w:id="350"/>
      <w:bookmarkEnd w:id="350"/>
    </w:p>
    <w:p w:rsidRPr="00B34407" w:rsidR="008F6FE1" w:rsidP="00F828E4" w:rsidRDefault="008F6FE1" w14:paraId="0B09963E" w14:textId="77777777">
      <w:pPr>
        <w:pStyle w:val="aHEADINGSUB"/>
      </w:pPr>
      <w:bookmarkStart w:name="_Toc534620344" w:id="351"/>
      <w:bookmarkStart w:name="_Toc534620454" w:id="352"/>
      <w:bookmarkStart w:name="_Toc534620572" w:id="353"/>
      <w:bookmarkStart w:name="_Toc534620893" w:id="354"/>
      <w:bookmarkStart w:name="_Toc534621124" w:id="355"/>
      <w:bookmarkStart w:name="_Toc172841943" w:id="356"/>
      <w:r w:rsidRPr="00F828E4">
        <w:t>Investments</w:t>
      </w:r>
      <w:bookmarkEnd w:id="351"/>
      <w:bookmarkEnd w:id="352"/>
      <w:bookmarkEnd w:id="353"/>
      <w:bookmarkEnd w:id="354"/>
      <w:bookmarkEnd w:id="355"/>
      <w:bookmarkEnd w:id="356"/>
    </w:p>
    <w:p w:rsidRPr="00B34407" w:rsidR="008F6FE1" w:rsidP="008F6FE1" w:rsidRDefault="008F6FE1" w14:paraId="09D58B97" w14:textId="30031FA7">
      <w:pPr>
        <w:pStyle w:val="BodyTextFirstIndent"/>
        <w:spacing w:after="120"/>
      </w:pPr>
      <w:r w:rsidRPr="00B34407">
        <w:t>Amounts held in the various accounts under the Indenture are required to be invested by the Trustee in Investment Securities.</w:t>
      </w:r>
      <w:r w:rsidRPr="00B34407" w:rsidR="00410A89">
        <w:t xml:space="preserve">  </w:t>
      </w:r>
      <w:r w:rsidRPr="00B34407">
        <w:t xml:space="preserve">See </w:t>
      </w:r>
      <w:r w:rsidR="00C34AEA">
        <w:t>“</w:t>
      </w:r>
      <w:r w:rsidRPr="00B34407">
        <w:t xml:space="preserve">APPENDIX </w:t>
      </w:r>
      <w:r w:rsidRPr="00B34407" w:rsidR="00474B5A">
        <w:t>D</w:t>
      </w:r>
      <w:r w:rsidRPr="00B34407">
        <w:t xml:space="preserve">: </w:t>
      </w:r>
      <w:r w:rsidRPr="00B34407" w:rsidR="00474B5A">
        <w:t>SUMMARY OF CERTAIN PROVISIONS OF INDENTURE</w:t>
      </w:r>
      <w:r w:rsidR="00C34AEA">
        <w:t>”</w:t>
      </w:r>
      <w:r w:rsidRPr="00B34407" w:rsidR="007E2C21">
        <w:t xml:space="preserve"> attached hereto</w:t>
      </w:r>
      <w:r w:rsidRPr="00B34407">
        <w:t>.</w:t>
      </w:r>
      <w:r w:rsidRPr="00B34407" w:rsidR="009C7B3E">
        <w:t xml:space="preserve">  </w:t>
      </w:r>
    </w:p>
    <w:p w:rsidRPr="00B34407" w:rsidR="00AF72E5" w:rsidP="00F828E4" w:rsidRDefault="00AF72E5" w14:paraId="4834F222" w14:textId="77777777">
      <w:pPr>
        <w:pStyle w:val="aHEADING"/>
      </w:pPr>
      <w:bookmarkStart w:name="_Toc534620345" w:id="357"/>
      <w:bookmarkStart w:name="_Toc534620455" w:id="358"/>
      <w:bookmarkStart w:name="_Toc534620573" w:id="359"/>
      <w:bookmarkStart w:name="_Toc534620894" w:id="360"/>
      <w:bookmarkStart w:name="_Toc534621125" w:id="361"/>
      <w:bookmarkStart w:name="_Toc172841944" w:id="362"/>
      <w:r w:rsidRPr="00B34407">
        <w:t xml:space="preserve">RISK </w:t>
      </w:r>
      <w:r w:rsidRPr="00F828E4">
        <w:t>FACTORS</w:t>
      </w:r>
      <w:bookmarkEnd w:id="344"/>
      <w:bookmarkEnd w:id="345"/>
      <w:bookmarkEnd w:id="346"/>
      <w:bookmarkEnd w:id="357"/>
      <w:bookmarkEnd w:id="358"/>
      <w:bookmarkEnd w:id="359"/>
      <w:bookmarkEnd w:id="360"/>
      <w:bookmarkEnd w:id="361"/>
      <w:bookmarkEnd w:id="362"/>
    </w:p>
    <w:p w:rsidRPr="00B34407" w:rsidR="00AF72E5" w:rsidP="00AF72E5" w:rsidRDefault="00AF72E5" w14:paraId="6F318772" w14:textId="23F6A53D">
      <w:pPr>
        <w:pStyle w:val="BodyTextFirstIndent"/>
      </w:pPr>
      <w:bookmarkStart w:name="_DV_M453" w:id="363"/>
      <w:bookmarkEnd w:id="363"/>
      <w:r w:rsidRPr="00B34407">
        <w:t xml:space="preserve">Purchase of the </w:t>
      </w:r>
      <w:r w:rsidR="00C7294C">
        <w:t>2024 Series C</w:t>
      </w:r>
      <w:r w:rsidR="005B3036">
        <w:t xml:space="preserve"> Bond</w:t>
      </w:r>
      <w:r w:rsidR="006C550F">
        <w:t>s</w:t>
      </w:r>
      <w:r w:rsidRPr="00B34407">
        <w:t xml:space="preserve"> involves certain risks and the </w:t>
      </w:r>
      <w:r w:rsidR="00C7294C">
        <w:t>2024 Series C</w:t>
      </w:r>
      <w:r w:rsidR="005B3036">
        <w:t xml:space="preserve"> Bond</w:t>
      </w:r>
      <w:r w:rsidR="006C550F">
        <w:t>s</w:t>
      </w:r>
      <w:r w:rsidRPr="00B34407">
        <w:t xml:space="preserve"> may not be appropriate investments for all types of investors.  Each prospective investor is encouraged to read this Official Statement in its entirety and to give particular attention to the factors described below, which, among other factors discussed herein, could affect the payment of debt service on the </w:t>
      </w:r>
      <w:r w:rsidR="00C7294C">
        <w:t>2024 Series C</w:t>
      </w:r>
      <w:r w:rsidR="005B3036">
        <w:t xml:space="preserve"> Bond</w:t>
      </w:r>
      <w:r w:rsidR="006C550F">
        <w:t>s</w:t>
      </w:r>
      <w:r w:rsidRPr="00B34407">
        <w:t xml:space="preserve">, the market price of the </w:t>
      </w:r>
      <w:r w:rsidR="00C7294C">
        <w:t>2024 Series C</w:t>
      </w:r>
      <w:r w:rsidR="005B3036">
        <w:t xml:space="preserve"> Bond</w:t>
      </w:r>
      <w:r w:rsidR="006C550F">
        <w:t>s</w:t>
      </w:r>
      <w:r w:rsidRPr="00B34407">
        <w:t xml:space="preserve">, or the date of redemption of certain of the </w:t>
      </w:r>
      <w:r w:rsidR="00C7294C">
        <w:t>2024 Series C</w:t>
      </w:r>
      <w:r w:rsidR="005B3036">
        <w:t xml:space="preserve"> Bond</w:t>
      </w:r>
      <w:r w:rsidR="006C550F">
        <w:t>s</w:t>
      </w:r>
      <w:r w:rsidRPr="00B34407">
        <w:t xml:space="preserve">, to an extent that cannot be determined at this time.  The following does not purport to be an exhaustive listing of risks and other considerations that may be relevant to investing in the </w:t>
      </w:r>
      <w:r w:rsidR="00C7294C">
        <w:t>2024 Series C</w:t>
      </w:r>
      <w:r w:rsidR="005B3036">
        <w:t xml:space="preserve"> Bond</w:t>
      </w:r>
      <w:r w:rsidR="006C550F">
        <w:t>s</w:t>
      </w:r>
      <w:r w:rsidRPr="00B34407">
        <w:t>.  In addition, the order in which the following information is presented does not intend to reflect the relative importance of such risks.</w:t>
      </w:r>
    </w:p>
    <w:p w:rsidRPr="00B34407" w:rsidR="00AF72E5" w:rsidP="00F828E4" w:rsidRDefault="00AF72E5" w14:paraId="5A261D8B" w14:textId="77777777">
      <w:pPr>
        <w:pStyle w:val="aHEADINGSUB"/>
      </w:pPr>
      <w:bookmarkStart w:name="_DV_M454" w:id="364"/>
      <w:bookmarkStart w:name="_Toc534620346" w:id="365"/>
      <w:bookmarkStart w:name="_Toc534620456" w:id="366"/>
      <w:bookmarkStart w:name="_Toc534620574" w:id="367"/>
      <w:bookmarkStart w:name="_Toc534620895" w:id="368"/>
      <w:bookmarkStart w:name="_Toc534621126" w:id="369"/>
      <w:bookmarkStart w:name="_Toc172841945" w:id="370"/>
      <w:bookmarkEnd w:id="364"/>
      <w:r w:rsidRPr="00B34407">
        <w:t>Forward Looking Statements</w:t>
      </w:r>
      <w:bookmarkEnd w:id="365"/>
      <w:bookmarkEnd w:id="366"/>
      <w:bookmarkEnd w:id="367"/>
      <w:bookmarkEnd w:id="368"/>
      <w:bookmarkEnd w:id="369"/>
      <w:bookmarkEnd w:id="370"/>
    </w:p>
    <w:p w:rsidRPr="00B34407" w:rsidR="004B25C6" w:rsidP="00DA1A4B" w:rsidRDefault="00AF72E5" w14:paraId="03484487" w14:textId="76C224EB">
      <w:pPr>
        <w:pStyle w:val="BodyTextFirstIndent"/>
      </w:pPr>
      <w:bookmarkStart w:name="_DV_M455" w:id="371"/>
      <w:bookmarkEnd w:id="371"/>
      <w:r w:rsidRPr="00B34407">
        <w:t xml:space="preserve">This Official Statement contains statements relating to future results that are </w:t>
      </w:r>
      <w:r w:rsidR="00C34AEA">
        <w:t>“</w:t>
      </w:r>
      <w:r w:rsidRPr="00B34407">
        <w:t>forward looking statements.</w:t>
      </w:r>
      <w:r w:rsidR="00C34AEA">
        <w:t>”</w:t>
      </w:r>
      <w:r w:rsidRPr="00B34407">
        <w:t xml:space="preserve">  When used in this Official Statement, the words </w:t>
      </w:r>
      <w:r w:rsidR="00C34AEA">
        <w:t>“</w:t>
      </w:r>
      <w:r w:rsidRPr="00B34407">
        <w:t>estimate,</w:t>
      </w:r>
      <w:r w:rsidR="00C34AEA">
        <w:t>”</w:t>
      </w:r>
      <w:r w:rsidRPr="00B34407">
        <w:t xml:space="preserve"> </w:t>
      </w:r>
      <w:r w:rsidR="00C34AEA">
        <w:t>“</w:t>
      </w:r>
      <w:r w:rsidRPr="00B34407">
        <w:t>forecast,</w:t>
      </w:r>
      <w:r w:rsidR="00C34AEA">
        <w:t>”</w:t>
      </w:r>
      <w:r w:rsidRPr="00B34407">
        <w:t xml:space="preserve"> </w:t>
      </w:r>
      <w:r w:rsidR="00C34AEA">
        <w:t>“</w:t>
      </w:r>
      <w:r w:rsidRPr="00B34407">
        <w:t>intend,</w:t>
      </w:r>
      <w:r w:rsidR="00C34AEA">
        <w:t>”</w:t>
      </w:r>
      <w:r w:rsidRPr="00B34407">
        <w:t xml:space="preserve"> </w:t>
      </w:r>
      <w:r w:rsidR="00C34AEA">
        <w:t>“</w:t>
      </w:r>
      <w:r w:rsidRPr="00B34407">
        <w:t>expect,</w:t>
      </w:r>
      <w:r w:rsidR="00C34AEA">
        <w:t>”</w:t>
      </w:r>
      <w:r w:rsidRPr="00B34407">
        <w:t xml:space="preserve"> and similar expressions identify forward looking statements.  Any forward looking statement is subject to uncertainty.  Accordingly, such statements are subject to risk that could cause actual results to differ, possibly materially, from those contemplated in such forward looking statements.  Inevitably, some assumptions used to develop forward looking statements will not be realized or unanticipated events and circumstances may occur.  Therefore, investors should be aware that there are likely to be differences between forward looking statements and actual results.  Those differences could be material, and those differences could negatively impact the ability of the Authority to pay debt service on the </w:t>
      </w:r>
      <w:r w:rsidR="00C7294C">
        <w:t>2024 Series C</w:t>
      </w:r>
      <w:r w:rsidR="005B3036">
        <w:t xml:space="preserve"> Bond</w:t>
      </w:r>
      <w:r w:rsidR="006C550F">
        <w:t>s</w:t>
      </w:r>
      <w:r w:rsidRPr="00B34407">
        <w:t xml:space="preserve"> and could impact the date of redemption of certain of the </w:t>
      </w:r>
      <w:r w:rsidR="00C7294C">
        <w:t>2024 Series C</w:t>
      </w:r>
      <w:r w:rsidR="005B3036">
        <w:t xml:space="preserve"> Bond</w:t>
      </w:r>
      <w:r w:rsidR="006C550F">
        <w:t>s</w:t>
      </w:r>
      <w:r w:rsidRPr="00B34407">
        <w:t>.</w:t>
      </w:r>
      <w:bookmarkStart w:name="_DV_M456" w:id="372"/>
      <w:bookmarkEnd w:id="372"/>
    </w:p>
    <w:p w:rsidRPr="00B34407" w:rsidR="00AF72E5" w:rsidP="00F828E4" w:rsidRDefault="00AF72E5" w14:paraId="06799928" w14:textId="77777777">
      <w:pPr>
        <w:pStyle w:val="aHEADINGSUB"/>
      </w:pPr>
      <w:bookmarkStart w:name="_Toc534620347" w:id="373"/>
      <w:bookmarkStart w:name="_Toc534620457" w:id="374"/>
      <w:bookmarkStart w:name="_Toc534620575" w:id="375"/>
      <w:bookmarkStart w:name="_Toc534620896" w:id="376"/>
      <w:bookmarkStart w:name="_Toc534621127" w:id="377"/>
      <w:bookmarkStart w:name="_Toc172841946" w:id="378"/>
      <w:r w:rsidRPr="00B34407">
        <w:t>Disruption in Mortgage Market and Other Financial Markets</w:t>
      </w:r>
      <w:bookmarkEnd w:id="373"/>
      <w:bookmarkEnd w:id="374"/>
      <w:bookmarkEnd w:id="375"/>
      <w:bookmarkEnd w:id="376"/>
      <w:bookmarkEnd w:id="377"/>
      <w:bookmarkEnd w:id="378"/>
    </w:p>
    <w:p w:rsidRPr="00B34407" w:rsidR="00AF72E5" w:rsidP="00F828E4" w:rsidRDefault="00AF72E5" w14:paraId="01F54A29" w14:textId="13883014">
      <w:pPr>
        <w:pStyle w:val="BodyTextFirstIndent"/>
        <w:rPr>
          <w:bCs/>
        </w:rPr>
      </w:pPr>
      <w:bookmarkStart w:name="_DV_M457" w:id="379"/>
      <w:bookmarkEnd w:id="379"/>
      <w:r w:rsidRPr="00B34407">
        <w:t>Attributes of the real estate and mortgage markets have</w:t>
      </w:r>
      <w:r w:rsidRPr="00B34407" w:rsidR="008F6FE1">
        <w:t>, from time to time,</w:t>
      </w:r>
      <w:r w:rsidRPr="00B34407">
        <w:t xml:space="preserve"> been subject to significant disruptions, including lack of liquidity.  </w:t>
      </w:r>
      <w:r w:rsidRPr="00B34407" w:rsidR="008F6FE1">
        <w:t>I</w:t>
      </w:r>
      <w:r w:rsidRPr="00B34407">
        <w:t>nstability in the mortgage market that adversely impacts financial institution participants may result in delays in mortgage loan originations, failure to originate mortgage loa</w:t>
      </w:r>
      <w:r w:rsidR="00C5297A">
        <w:t>ns or delays or failure by the S</w:t>
      </w:r>
      <w:r w:rsidRPr="00B34407">
        <w:t xml:space="preserve">ervicer to deliver Mortgage Certificates, any of which could result in redemption of the Bonds.  </w:t>
      </w:r>
      <w:r w:rsidRPr="00B34407" w:rsidR="00471D1D">
        <w:rPr>
          <w:bCs/>
        </w:rPr>
        <w:t xml:space="preserve">See </w:t>
      </w:r>
      <w:r w:rsidR="00C34AEA">
        <w:rPr>
          <w:bCs/>
        </w:rPr>
        <w:t>“</w:t>
      </w:r>
      <w:r w:rsidRPr="00B34407" w:rsidR="00471D1D">
        <w:rPr>
          <w:bCs/>
        </w:rPr>
        <w:t xml:space="preserve">REDEMPTION OF </w:t>
      </w:r>
      <w:r w:rsidR="00C7294C">
        <w:rPr>
          <w:bCs/>
          <w:caps/>
        </w:rPr>
        <w:t>2024 Series C</w:t>
      </w:r>
      <w:r w:rsidR="005B3036">
        <w:rPr>
          <w:bCs/>
          <w:caps/>
        </w:rPr>
        <w:t xml:space="preserve"> Bond</w:t>
      </w:r>
      <w:r w:rsidR="006C550F">
        <w:rPr>
          <w:bCs/>
          <w:caps/>
        </w:rPr>
        <w:t>s</w:t>
      </w:r>
      <w:r w:rsidRPr="00B34407">
        <w:rPr>
          <w:bCs/>
        </w:rPr>
        <w:t xml:space="preserve"> – Special Redemption from Unexpended Proceeds</w:t>
      </w:r>
      <w:r w:rsidR="00C34AEA">
        <w:rPr>
          <w:bCs/>
        </w:rPr>
        <w:t>”</w:t>
      </w:r>
      <w:r w:rsidRPr="00B34407">
        <w:rPr>
          <w:bCs/>
        </w:rPr>
        <w:t xml:space="preserve"> herein. </w:t>
      </w:r>
    </w:p>
    <w:p w:rsidR="00AF72E5" w:rsidP="00F828E4" w:rsidRDefault="00AF72E5" w14:paraId="1453432C" w14:textId="4F83D4C2">
      <w:pPr>
        <w:pStyle w:val="BodyTextFirstIndent"/>
      </w:pPr>
      <w:bookmarkStart w:name="_DV_M458" w:id="380"/>
      <w:bookmarkEnd w:id="380"/>
      <w:r w:rsidRPr="00B34407">
        <w:t xml:space="preserve">Instability in the mortgage markets, increases in delinquencies and defaults and limited access to credit have placed pressures on all participants in the industry, including but not limited to:  lenders, servicers, mortgage insurers, GNMA, Fannie Mae and Freddie Mac.  These pressures may have an adverse impact on transaction participants and their ability to conduct business.  The Authority can offer no guidance as to whether </w:t>
      </w:r>
      <w:r w:rsidR="00A46406">
        <w:t>any</w:t>
      </w:r>
      <w:r w:rsidRPr="00B34407">
        <w:t xml:space="preserve"> volatility in the mortgage market and the financial markets generally will </w:t>
      </w:r>
      <w:r w:rsidR="00A46406">
        <w:t xml:space="preserve">arise or </w:t>
      </w:r>
      <w:r w:rsidRPr="00B34407">
        <w:t xml:space="preserve">continue, and if it does, how these conditions might impact the ability of such participants to perform their obligations under the </w:t>
      </w:r>
      <w:r w:rsidRPr="00B34407" w:rsidR="008F6FE1">
        <w:t>P</w:t>
      </w:r>
      <w:r w:rsidRPr="00B34407">
        <w:t>rogram</w:t>
      </w:r>
      <w:r w:rsidRPr="00B34407" w:rsidR="008F6FE1">
        <w:t>s</w:t>
      </w:r>
      <w:r w:rsidRPr="00B34407">
        <w:t>.</w:t>
      </w:r>
    </w:p>
    <w:p w:rsidRPr="007C24A0" w:rsidR="007C24A0" w:rsidP="007C24A0" w:rsidRDefault="007C24A0" w14:paraId="30BE6456" w14:textId="2C54C5C8">
      <w:pPr>
        <w:pStyle w:val="BodyTextFirstIndent"/>
        <w:rPr>
          <w:iCs/>
        </w:rPr>
      </w:pPr>
      <w:r w:rsidRPr="007C24A0">
        <w:rPr>
          <w:iCs/>
        </w:rPr>
        <w:t>In addition to the market, business and economic factors and risks associated with any investment decision, there are other risks and uncertainties such as risks to the security of technical systems and data, changes in political, demographic and social conditions and changes in legislation, regulations, proceedings and litigation that may directly or indirectly impact the Authority, its programs and its securities.  Numerous regulatory projects are currently underway at the federal level and the rulemaking is expected to have an effect on both origination and servicing of mortgage loans.  Consumer Financial Protection Bureau (</w:t>
      </w:r>
      <w:r w:rsidR="00C34AEA">
        <w:rPr>
          <w:iCs/>
        </w:rPr>
        <w:t>“</w:t>
      </w:r>
      <w:r w:rsidRPr="001736C4">
        <w:rPr>
          <w:i/>
          <w:iCs/>
        </w:rPr>
        <w:t>CFPB</w:t>
      </w:r>
      <w:r w:rsidR="00C34AEA">
        <w:rPr>
          <w:iCs/>
        </w:rPr>
        <w:t>”</w:t>
      </w:r>
      <w:r w:rsidRPr="007C24A0">
        <w:rPr>
          <w:iCs/>
        </w:rPr>
        <w:t xml:space="preserve">) rulemaking, in response to enactment of </w:t>
      </w:r>
      <w:r w:rsidR="00083785">
        <w:rPr>
          <w:iCs/>
        </w:rPr>
        <w:t>the Dodd-Frank Wall Street Reform and Consumer Protection Act</w:t>
      </w:r>
      <w:r w:rsidRPr="007C24A0">
        <w:rPr>
          <w:iCs/>
        </w:rPr>
        <w:t xml:space="preserve">, has affected all consumer mortgage programs and will continue to affect the </w:t>
      </w:r>
      <w:r w:rsidR="00A3217C">
        <w:rPr>
          <w:iCs/>
        </w:rPr>
        <w:t>Authority</w:t>
      </w:r>
      <w:r w:rsidR="00C34AEA">
        <w:rPr>
          <w:iCs/>
        </w:rPr>
        <w:t>’</w:t>
      </w:r>
      <w:r w:rsidRPr="007C24A0">
        <w:rPr>
          <w:iCs/>
        </w:rPr>
        <w:t xml:space="preserve">s loan origination, servicing and compliance strategies.  Changes to or repeal of CFPB regulations will affect the origination and servicing of consumer loans.  In addition, federal budget negotiations </w:t>
      </w:r>
      <w:r w:rsidR="003770FF">
        <w:rPr>
          <w:iCs/>
        </w:rPr>
        <w:t xml:space="preserve">that </w:t>
      </w:r>
      <w:r w:rsidRPr="007C24A0">
        <w:rPr>
          <w:iCs/>
        </w:rPr>
        <w:t xml:space="preserve">are ongoing </w:t>
      </w:r>
      <w:r w:rsidR="00B56CDA">
        <w:rPr>
          <w:iCs/>
        </w:rPr>
        <w:t xml:space="preserve">and </w:t>
      </w:r>
      <w:r w:rsidR="003770FF">
        <w:rPr>
          <w:iCs/>
        </w:rPr>
        <w:t>may</w:t>
      </w:r>
      <w:r w:rsidRPr="007C24A0">
        <w:rPr>
          <w:iCs/>
        </w:rPr>
        <w:t xml:space="preserve"> have a direct impact on how markets may perform, timeliness of payment of federal program obligations and what loan products may be attractive.</w:t>
      </w:r>
    </w:p>
    <w:p w:rsidRPr="00B34407" w:rsidR="007C24A0" w:rsidP="00F828E4" w:rsidRDefault="007C24A0" w14:paraId="1559CC42" w14:textId="77777777">
      <w:pPr>
        <w:pStyle w:val="BodyTextFirstIndent"/>
      </w:pPr>
    </w:p>
    <w:p w:rsidRPr="00B34407" w:rsidR="009245C2" w:rsidP="00F828E4" w:rsidRDefault="00AF72E5" w14:paraId="3855E355" w14:textId="77777777">
      <w:pPr>
        <w:pStyle w:val="aHEADINGSUB"/>
      </w:pPr>
      <w:bookmarkStart w:name="_DV_M460" w:id="381"/>
      <w:bookmarkStart w:name="ElPgBr36" w:id="382"/>
      <w:bookmarkStart w:name="_Toc132771592" w:id="383"/>
      <w:bookmarkStart w:name="_Toc132775277" w:id="384"/>
      <w:bookmarkStart w:name="_Toc132775970" w:id="385"/>
      <w:bookmarkStart w:name="_Toc132776153" w:id="386"/>
      <w:bookmarkStart w:name="_Toc132778237" w:id="387"/>
      <w:bookmarkStart w:name="_Toc19515353" w:id="388"/>
      <w:bookmarkStart w:name="_Toc207538390" w:id="389"/>
      <w:bookmarkStart w:name="_Toc40858843" w:id="390"/>
      <w:bookmarkStart w:name="_Toc534620348" w:id="391"/>
      <w:bookmarkStart w:name="_Toc534620458" w:id="392"/>
      <w:bookmarkStart w:name="_Toc534620576" w:id="393"/>
      <w:bookmarkStart w:name="_Toc534620897" w:id="394"/>
      <w:bookmarkStart w:name="_Toc534621128" w:id="395"/>
      <w:bookmarkStart w:name="_Toc172841947" w:id="396"/>
      <w:bookmarkEnd w:id="381"/>
      <w:bookmarkEnd w:id="382"/>
      <w:r w:rsidRPr="00B34407">
        <w:lastRenderedPageBreak/>
        <w:t>Risk of Default on Loans</w:t>
      </w:r>
      <w:bookmarkStart w:name="_DV_M461" w:id="39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7"/>
      <w:bookmarkEnd w:id="396"/>
    </w:p>
    <w:p w:rsidRPr="00B34407" w:rsidR="00863D54" w:rsidP="00F828E4" w:rsidRDefault="00AF72E5" w14:paraId="51FF18F5" w14:textId="568776FA">
      <w:pPr>
        <w:pStyle w:val="BodyTextFirstIndent"/>
      </w:pPr>
      <w:r w:rsidRPr="00B34407">
        <w:t>Under the Program</w:t>
      </w:r>
      <w:r w:rsidRPr="00B34407" w:rsidR="008F6FE1">
        <w:t>s</w:t>
      </w:r>
      <w:r w:rsidRPr="00B34407">
        <w:t>, it is currently anticipated that the Mortgage Loans</w:t>
      </w:r>
      <w:r w:rsidRPr="00841BCD" w:rsidR="00CB13C8">
        <w:t xml:space="preserve">, other than the down payment assistance loans, </w:t>
      </w:r>
      <w:r w:rsidRPr="00841BCD">
        <w:t xml:space="preserve">will be securitized as Mortgage Certificates guaranteed as to timely payment of principal and interest by GNMA, Fannie Mae, or Freddie Mac.  Although </w:t>
      </w:r>
      <w:r w:rsidRPr="00841BCD" w:rsidR="003770FF">
        <w:t xml:space="preserve">such </w:t>
      </w:r>
      <w:r w:rsidRPr="00841BCD">
        <w:t>Mortgage Loans</w:t>
      </w:r>
      <w:r w:rsidRPr="00841BCD" w:rsidR="00CB13C8">
        <w:t>, other than</w:t>
      </w:r>
      <w:r w:rsidR="00CB13C8">
        <w:t xml:space="preserve"> the down payment assistance loans,</w:t>
      </w:r>
      <w:r w:rsidRPr="00B34407">
        <w:t xml:space="preserve"> are covered with various forms of insurance, guarantees or homeowner equity, there can be no assurance that losses incurred in connection with defaults on </w:t>
      </w:r>
      <w:r w:rsidR="003770FF">
        <w:t>such</w:t>
      </w:r>
      <w:r w:rsidRPr="00B34407" w:rsidR="008F6FE1">
        <w:t xml:space="preserve"> Mortgage</w:t>
      </w:r>
      <w:r w:rsidRPr="00B34407">
        <w:t xml:space="preserve"> Loans will not exceed the levels of protection in place or that the providers of such insurance or guarantees will pay in accordance with their obligations under the </w:t>
      </w:r>
      <w:r w:rsidRPr="00B34407" w:rsidR="008F6FE1">
        <w:t xml:space="preserve">applicable </w:t>
      </w:r>
      <w:r w:rsidRPr="00B34407">
        <w:t xml:space="preserve">insurance policies or guarantees.  If losses </w:t>
      </w:r>
      <w:r w:rsidRPr="00B34407" w:rsidR="008F6FE1">
        <w:t>occur</w:t>
      </w:r>
      <w:r w:rsidRPr="00B34407">
        <w:t xml:space="preserve"> on the underlying Mortgage Loans and if the providers of guarantees under the Mortgage Certificates do not pay in accordance with their obligations, the ability of the Trustee to pay principal and interest on the Bonds may be adversely affected.</w:t>
      </w:r>
    </w:p>
    <w:p w:rsidRPr="00B34407" w:rsidR="0025070A" w:rsidP="00F828E4" w:rsidRDefault="00AF72E5" w14:paraId="426D4A1E" w14:textId="77777777">
      <w:pPr>
        <w:pStyle w:val="aHEADINGSUB"/>
      </w:pPr>
      <w:bookmarkStart w:name="_Toc534620349" w:id="398"/>
      <w:bookmarkStart w:name="_Toc534620459" w:id="399"/>
      <w:bookmarkStart w:name="_Toc534620577" w:id="400"/>
      <w:bookmarkStart w:name="_Toc534620898" w:id="401"/>
      <w:bookmarkStart w:name="_Toc534621129" w:id="402"/>
      <w:bookmarkStart w:name="_Toc172841948" w:id="403"/>
      <w:r w:rsidRPr="00B34407">
        <w:t>Revenues, Expenses and Cash Flow</w:t>
      </w:r>
      <w:bookmarkStart w:name="_DV_M463" w:id="404"/>
      <w:bookmarkEnd w:id="398"/>
      <w:bookmarkEnd w:id="399"/>
      <w:bookmarkEnd w:id="400"/>
      <w:bookmarkEnd w:id="401"/>
      <w:bookmarkEnd w:id="402"/>
      <w:bookmarkEnd w:id="404"/>
      <w:bookmarkEnd w:id="403"/>
    </w:p>
    <w:p w:rsidRPr="00B34407" w:rsidR="00AF72E5" w:rsidP="00F828E4" w:rsidRDefault="00AF72E5" w14:paraId="75C135F0" w14:textId="258C7DEE">
      <w:pPr>
        <w:pStyle w:val="BodyTextFirstIndent"/>
      </w:pPr>
      <w:r w:rsidRPr="00B34407">
        <w:t xml:space="preserve">The ability of the Authority to pay the principal of and interest on the Bonds depends upon the receipt by the Trustee of sufficient Mortgage Loan payments </w:t>
      </w:r>
      <w:r w:rsidRPr="00B34407" w:rsidR="00047A67">
        <w:t xml:space="preserve">derived from payments on the related Mortgage Certificates, from prepayments of such Mortgage Loans, </w:t>
      </w:r>
      <w:r w:rsidRPr="00B34407">
        <w:t>and upon the investment or reinvestment of moneys held pursuant to the Indenture.  The Authority has scheduled and intends to schedule the maturities and sinking fund installments of each series of Bonds under the Indenture such that the Revenues expected to be received and anticipated investment income from amounts held under the Indenture attributable to all Bonds will be sufficient to pay the principal of and interest on all Bonds and the Authority</w:t>
      </w:r>
      <w:r w:rsidR="00C34AEA">
        <w:t>’</w:t>
      </w:r>
      <w:r w:rsidRPr="00B34407">
        <w:t>s expenses in carrying out and administering the Program under the Indenture (</w:t>
      </w:r>
      <w:r w:rsidR="00C34AEA">
        <w:t>“</w:t>
      </w:r>
      <w:r w:rsidRPr="00B34407">
        <w:rPr>
          <w:i/>
        </w:rPr>
        <w:t>Program Expenses</w:t>
      </w:r>
      <w:r w:rsidR="00C34AEA">
        <w:t>”</w:t>
      </w:r>
      <w:r w:rsidRPr="00B34407">
        <w:t>) attributable to all Bonds.  The Authority is not required to, and in the future may not, schedule maturities and sinking fund installments for any particular series of Bonds such that Revenues and anticipated investment income expected to be received and attributable to each series of Bonds will be sufficient to pay the principal of and interest on, and Program Expenses attributable to, such series of Bonds.  To the extent that, among other</w:t>
      </w:r>
      <w:r w:rsidR="00A3217C">
        <w:t xml:space="preserve"> factors and events</w:t>
      </w:r>
      <w:r w:rsidRPr="00B34407">
        <w:t>, one or more of the events set forth below occurs, Revenues may be insufficient for the payment of principal of and interest on the Bonds:</w:t>
      </w:r>
    </w:p>
    <w:p w:rsidRPr="00B34407" w:rsidR="00AF72E5" w:rsidP="00A77192" w:rsidRDefault="00AF72E5" w14:paraId="103F3E9D" w14:textId="77777777">
      <w:pPr>
        <w:pStyle w:val="List4"/>
        <w:widowControl/>
        <w:numPr>
          <w:ilvl w:val="0"/>
          <w:numId w:val="26"/>
        </w:numPr>
        <w:tabs>
          <w:tab w:val="clear" w:pos="0"/>
        </w:tabs>
      </w:pPr>
      <w:bookmarkStart w:name="_DV_M464" w:id="405"/>
      <w:bookmarkEnd w:id="405"/>
      <w:r w:rsidRPr="00B34407">
        <w:t>Mortgage Loans</w:t>
      </w:r>
      <w:r w:rsidRPr="00B34407" w:rsidR="00E33F01">
        <w:t xml:space="preserve"> and related Mortgage Certificates</w:t>
      </w:r>
      <w:r w:rsidRPr="00B34407">
        <w:t xml:space="preserve"> purchased by the </w:t>
      </w:r>
      <w:r w:rsidRPr="00B34407" w:rsidR="008F6FE1">
        <w:t>Trustee</w:t>
      </w:r>
      <w:r w:rsidRPr="00B34407">
        <w:t xml:space="preserve"> are not paid on a timely basis in accordance with their terms (and/or any guarantor or insurer of such a Mortgage Loan, i</w:t>
      </w:r>
      <w:r w:rsidRPr="00B34407" w:rsidR="00047A67">
        <w:t xml:space="preserve">ncluding Mortgage Certificates, </w:t>
      </w:r>
      <w:r w:rsidRPr="00B34407">
        <w:t>fails to make payment on a timely basis pursuant to the terms of such guaranty, insurance policy or mortgage pool insurance policy);</w:t>
      </w:r>
    </w:p>
    <w:p w:rsidRPr="00B34407" w:rsidR="00AF72E5" w:rsidP="00A77192" w:rsidRDefault="00AF72E5" w14:paraId="6551BB6A" w14:textId="77777777">
      <w:pPr>
        <w:pStyle w:val="List4"/>
        <w:widowControl/>
        <w:numPr>
          <w:ilvl w:val="0"/>
          <w:numId w:val="26"/>
        </w:numPr>
        <w:tabs>
          <w:tab w:val="clear" w:pos="0"/>
        </w:tabs>
      </w:pPr>
      <w:bookmarkStart w:name="_DV_M465" w:id="406"/>
      <w:bookmarkEnd w:id="406"/>
      <w:r w:rsidRPr="00B34407">
        <w:t xml:space="preserve">Prepayments of Mortgage Loans are received more rapidly or less rapidly than projected; </w:t>
      </w:r>
    </w:p>
    <w:p w:rsidRPr="00B34407" w:rsidR="00AF72E5" w:rsidP="00A77192" w:rsidRDefault="00AF72E5" w14:paraId="0B8FBC0F" w14:textId="77777777">
      <w:pPr>
        <w:pStyle w:val="List4"/>
        <w:widowControl/>
        <w:numPr>
          <w:ilvl w:val="0"/>
          <w:numId w:val="26"/>
        </w:numPr>
        <w:tabs>
          <w:tab w:val="clear" w:pos="0"/>
        </w:tabs>
      </w:pPr>
      <w:bookmarkStart w:name="_DV_M466" w:id="407"/>
      <w:bookmarkEnd w:id="407"/>
      <w:r w:rsidRPr="00B34407">
        <w:t>Investment income on or repayment of moneys in any one or more of the Accounts is less than projected;</w:t>
      </w:r>
    </w:p>
    <w:p w:rsidRPr="00B34407" w:rsidR="00AF72E5" w:rsidP="00A77192" w:rsidRDefault="00AF72E5" w14:paraId="242E4A2B" w14:textId="77777777">
      <w:pPr>
        <w:pStyle w:val="List4"/>
        <w:widowControl/>
        <w:numPr>
          <w:ilvl w:val="0"/>
          <w:numId w:val="26"/>
        </w:numPr>
        <w:tabs>
          <w:tab w:val="clear" w:pos="0"/>
        </w:tabs>
      </w:pPr>
      <w:bookmarkStart w:name="_DV_M467" w:id="408"/>
      <w:bookmarkEnd w:id="408"/>
      <w:r w:rsidRPr="00B34407">
        <w:t>Program Expenses exceed projections; or</w:t>
      </w:r>
    </w:p>
    <w:p w:rsidRPr="00B34407" w:rsidR="00AF72E5" w:rsidP="00A77192" w:rsidRDefault="00AF72E5" w14:paraId="1EE0085F" w14:textId="4F96F5C5">
      <w:pPr>
        <w:pStyle w:val="List4"/>
        <w:widowControl/>
        <w:numPr>
          <w:ilvl w:val="0"/>
          <w:numId w:val="26"/>
        </w:numPr>
        <w:tabs>
          <w:tab w:val="clear" w:pos="0"/>
        </w:tabs>
      </w:pPr>
      <w:bookmarkStart w:name="_DV_M468" w:id="409"/>
      <w:bookmarkEnd w:id="409"/>
      <w:r w:rsidRPr="00B34407">
        <w:t xml:space="preserve">Swap </w:t>
      </w:r>
      <w:r w:rsidR="00A3217C">
        <w:t>receipts</w:t>
      </w:r>
      <w:r w:rsidRPr="00B34407">
        <w:t xml:space="preserve"> do not match payments on the Bonds</w:t>
      </w:r>
      <w:r w:rsidR="00A3217C">
        <w:t xml:space="preserve"> or are less than anticipated</w:t>
      </w:r>
      <w:r w:rsidRPr="00B34407">
        <w:t>.</w:t>
      </w:r>
    </w:p>
    <w:p w:rsidRPr="00B34407" w:rsidR="00AF72E5" w:rsidP="00AF72E5" w:rsidRDefault="00AF72E5" w14:paraId="13ADF98F" w14:textId="79021E06">
      <w:pPr>
        <w:pStyle w:val="BodyTextFirstIndent"/>
      </w:pPr>
      <w:bookmarkStart w:name="_DV_M469" w:id="410"/>
      <w:bookmarkEnd w:id="410"/>
      <w:r w:rsidRPr="00B34407">
        <w:t xml:space="preserve">In connection with the issuance of each series of Bonds (including the </w:t>
      </w:r>
      <w:r w:rsidR="00C7294C">
        <w:t>2024 Series C</w:t>
      </w:r>
      <w:r w:rsidR="005B3036">
        <w:t xml:space="preserve"> Bond</w:t>
      </w:r>
      <w:r w:rsidR="006C550F">
        <w:t>s</w:t>
      </w:r>
      <w:r w:rsidRPr="00B34407">
        <w:t xml:space="preserve">), the Authority will be required to deliver (i) a Statement of Projected Cash Flow, dated as of the date of such delivery, giving effect to the proposed issuance of such Bonds, and (ii) evidence from each Rating Agency then rating the Bonds that such issuance will not adversely affect the existing rating on the Bonds.  See </w:t>
      </w:r>
      <w:r w:rsidR="00C34AEA">
        <w:t>“</w:t>
      </w:r>
      <w:r w:rsidRPr="00B34407">
        <w:t>APPENDIX D: SUMMARY OF CERTAIN PROVISIONS OF INDENTURE—Provisions for Issuance of Bonds</w:t>
      </w:r>
      <w:r w:rsidR="00C34AEA">
        <w:t>”</w:t>
      </w:r>
      <w:r w:rsidRPr="00B34407" w:rsidR="008F6FE1">
        <w:t xml:space="preserve"> herein</w:t>
      </w:r>
      <w:r w:rsidRPr="00B34407">
        <w:t xml:space="preserve"> and </w:t>
      </w:r>
      <w:r w:rsidR="00C34AEA">
        <w:t>“</w:t>
      </w:r>
      <w:r w:rsidRPr="00B34407">
        <w:t>—Statements of Projected Cash Flow</w:t>
      </w:r>
      <w:r w:rsidR="00C34AEA">
        <w:t>”</w:t>
      </w:r>
      <w:r w:rsidRPr="00B34407" w:rsidR="00E33F01">
        <w:t xml:space="preserve"> herein</w:t>
      </w:r>
      <w:r w:rsidRPr="00B34407">
        <w:t xml:space="preserve"> and </w:t>
      </w:r>
      <w:r w:rsidR="00C34AEA">
        <w:t>“</w:t>
      </w:r>
      <w:r w:rsidRPr="00B34407">
        <w:t>APPENDIX F: CERTAIN DEFINITIONS</w:t>
      </w:r>
      <w:r w:rsidR="00C34AEA">
        <w:t>”</w:t>
      </w:r>
      <w:r w:rsidRPr="00B34407" w:rsidR="00E33F01">
        <w:t xml:space="preserve"> attached hereto.</w:t>
      </w:r>
    </w:p>
    <w:p w:rsidRPr="00B34407" w:rsidR="002020BF" w:rsidP="00F828E4" w:rsidRDefault="002020BF" w14:paraId="144B9CA6" w14:textId="77777777">
      <w:pPr>
        <w:pStyle w:val="aHEADINGSUB"/>
      </w:pPr>
      <w:bookmarkStart w:name="_Toc352746285" w:id="411"/>
      <w:bookmarkStart w:name="_Toc449685616" w:id="412"/>
      <w:bookmarkStart w:name="_Toc449685688" w:id="413"/>
      <w:bookmarkStart w:name="_Toc534620350" w:id="414"/>
      <w:bookmarkStart w:name="_Toc534620460" w:id="415"/>
      <w:bookmarkStart w:name="_Toc534620578" w:id="416"/>
      <w:bookmarkStart w:name="_Toc534620899" w:id="417"/>
      <w:bookmarkStart w:name="_Toc534621130" w:id="418"/>
      <w:bookmarkStart w:name="_Toc172841949" w:id="419"/>
      <w:r w:rsidRPr="00B34407">
        <w:t xml:space="preserve">Developments in the </w:t>
      </w:r>
      <w:r w:rsidRPr="00F828E4">
        <w:t>Residential</w:t>
      </w:r>
      <w:r w:rsidRPr="00B34407">
        <w:t xml:space="preserve"> Mortgage Market May Adversely Affect Bond </w:t>
      </w:r>
      <w:bookmarkEnd w:id="411"/>
      <w:bookmarkEnd w:id="412"/>
      <w:bookmarkEnd w:id="413"/>
      <w:r w:rsidRPr="00B34407" w:rsidR="008F6FE1">
        <w:t>Payments</w:t>
      </w:r>
      <w:bookmarkEnd w:id="414"/>
      <w:bookmarkEnd w:id="415"/>
      <w:bookmarkEnd w:id="416"/>
      <w:bookmarkEnd w:id="417"/>
      <w:bookmarkEnd w:id="418"/>
      <w:bookmarkEnd w:id="419"/>
    </w:p>
    <w:p w:rsidRPr="00B34407" w:rsidR="003A481C" w:rsidP="00F828E4" w:rsidRDefault="00AA18B6" w14:paraId="33C53A89" w14:textId="735B05EF">
      <w:pPr>
        <w:pStyle w:val="BodyTextFirstIndent"/>
      </w:pPr>
      <w:r w:rsidRPr="00B34407">
        <w:t>In the past</w:t>
      </w:r>
      <w:r w:rsidRPr="00B34407" w:rsidR="003A481C">
        <w:t>, the residential mortgage ma</w:t>
      </w:r>
      <w:r w:rsidRPr="00B34407">
        <w:t xml:space="preserve">rket in the United States </w:t>
      </w:r>
      <w:r w:rsidRPr="00B34407" w:rsidR="003A481C">
        <w:t>experienced a variety of difficulties and chang</w:t>
      </w:r>
      <w:r w:rsidRPr="00B34407">
        <w:t xml:space="preserve">ed economic conditions that had the potential to </w:t>
      </w:r>
      <w:r w:rsidRPr="00B34407" w:rsidR="003A481C">
        <w:t>adversely affect the performance and market value of the Bonds.  In response to increased delinquencies and losses with respect to residential mortgage loans, the federal government, state governments, cons</w:t>
      </w:r>
      <w:r w:rsidRPr="00B34407">
        <w:t xml:space="preserve">umer advocacy groups and others </w:t>
      </w:r>
      <w:r w:rsidRPr="00B34407" w:rsidR="003A481C">
        <w:t xml:space="preserve">urged aggressive action to modify mortgage loans to avoid foreclosures and, in response, certain mortgage servicers established foreclosure avoidance programs for borrowers.  In addition, over the same period numerous laws, regulations and rules relating to mortgage loans </w:t>
      </w:r>
      <w:r w:rsidRPr="00B34407" w:rsidR="003A481C">
        <w:lastRenderedPageBreak/>
        <w:t xml:space="preserve">generally, and foreclosure actions particularly, </w:t>
      </w:r>
      <w:r w:rsidRPr="00B34407" w:rsidR="00931919">
        <w:t xml:space="preserve">were </w:t>
      </w:r>
      <w:r w:rsidRPr="00B34407" w:rsidR="003A481C">
        <w:t xml:space="preserve">enacted by federal, state and local governmental authorities and </w:t>
      </w:r>
      <w:bookmarkStart w:name="ElPgBr37" w:id="420"/>
      <w:bookmarkEnd w:id="420"/>
      <w:r w:rsidRPr="00B34407" w:rsidR="003A481C">
        <w:t>additional laws, regulations and rules may be proposed.  These laws, regulations and rules may result in delays in the foreclosure process, reduced payments by borrowers, modification of the original terms of th</w:t>
      </w:r>
      <w:r w:rsidRPr="00B34407" w:rsidR="00D35C42">
        <w:t xml:space="preserve">e mortgage loans (including the </w:t>
      </w:r>
      <w:r w:rsidR="00C7294C">
        <w:t>2024 Series C</w:t>
      </w:r>
      <w:r w:rsidR="00C635EB">
        <w:t xml:space="preserve"> Mortgage Loans</w:t>
      </w:r>
      <w:r w:rsidRPr="00B34407" w:rsidR="003A481C">
        <w:t xml:space="preserve">) including permanent forgiveness of debt, increased prepayments due to the availability of government-sponsored refinancing initiatives and/or increased reimbursable mortgage servicing expenses. </w:t>
      </w:r>
      <w:r w:rsidR="004A6C3E">
        <w:t xml:space="preserve"> </w:t>
      </w:r>
      <w:r w:rsidRPr="00B34407" w:rsidR="003A481C">
        <w:t>Several courts have also taken unprecedented steps to slow the foreclosure process or prevent foreclosure altogether.</w:t>
      </w:r>
    </w:p>
    <w:p w:rsidRPr="00B34407" w:rsidR="002020BF" w:rsidP="00F828E4" w:rsidRDefault="003A481C" w14:paraId="72C1548E" w14:textId="3C08CC14">
      <w:pPr>
        <w:pStyle w:val="BodyTextFirstIndent"/>
      </w:pPr>
      <w:r w:rsidRPr="00B34407">
        <w:t xml:space="preserve">Any modification of </w:t>
      </w:r>
      <w:r w:rsidR="00C7294C">
        <w:t>2024 Series C</w:t>
      </w:r>
      <w:r w:rsidR="00C635EB">
        <w:t xml:space="preserve"> Mortgage Loans</w:t>
      </w:r>
      <w:r w:rsidRPr="00B34407" w:rsidR="00906C3E">
        <w:t xml:space="preserve"> </w:t>
      </w:r>
      <w:r w:rsidRPr="00B34407" w:rsidR="00047A67">
        <w:t xml:space="preserve">or other Mortgage Loans </w:t>
      </w:r>
      <w:r w:rsidRPr="00B34407">
        <w:t xml:space="preserve">by the Servicer </w:t>
      </w:r>
      <w:r w:rsidRPr="00B34407" w:rsidR="00474B5A">
        <w:t>will</w:t>
      </w:r>
      <w:r w:rsidRPr="00B34407">
        <w:t xml:space="preserve"> result in the removal of such Mortgage Loan from the pool of </w:t>
      </w:r>
      <w:r w:rsidRPr="00B34407" w:rsidR="00047A67">
        <w:t>Mortgage Loans supporting</w:t>
      </w:r>
      <w:r w:rsidRPr="00B34407">
        <w:t xml:space="preserve"> the related </w:t>
      </w:r>
      <w:r w:rsidRPr="00B34407" w:rsidR="00047A67">
        <w:t>Mortgage Certificate</w:t>
      </w:r>
      <w:r w:rsidRPr="00B34407">
        <w:t xml:space="preserve">.  In such event, the principal balance of the Mortgage Loan will be distributed on the </w:t>
      </w:r>
      <w:r w:rsidRPr="00B34407" w:rsidR="00364C04">
        <w:t>related Mortgage Certificate</w:t>
      </w:r>
      <w:r w:rsidRPr="00B34407">
        <w:t xml:space="preserve"> and will affect expected timing of distributions of principal on the </w:t>
      </w:r>
      <w:r w:rsidRPr="00B34407" w:rsidR="00364C04">
        <w:t xml:space="preserve">Mortgage Certificates </w:t>
      </w:r>
      <w:r w:rsidRPr="00B34407">
        <w:t xml:space="preserve">and, therefore, the Bonds.  Bondholders will bear the risk that modifications of the Mortgage Loans may </w:t>
      </w:r>
      <w:r w:rsidRPr="00B34407" w:rsidR="00364C04">
        <w:t xml:space="preserve">affect </w:t>
      </w:r>
      <w:r w:rsidRPr="00B34407">
        <w:t xml:space="preserve">the </w:t>
      </w:r>
      <w:r w:rsidRPr="00B34407" w:rsidR="00364C04">
        <w:t xml:space="preserve">timing of payments received </w:t>
      </w:r>
      <w:r w:rsidRPr="00B34407">
        <w:t>on their Bonds.</w:t>
      </w:r>
    </w:p>
    <w:p w:rsidRPr="00B34407" w:rsidR="00AF72E5" w:rsidP="00F828E4" w:rsidRDefault="00AF72E5" w14:paraId="7DD5CC4F" w14:textId="77777777">
      <w:pPr>
        <w:pStyle w:val="aHEADINGSUB"/>
      </w:pPr>
      <w:bookmarkStart w:name="_DV_M470" w:id="421"/>
      <w:bookmarkStart w:name="_DV_M474" w:id="422"/>
      <w:bookmarkStart w:name="_DV_M488" w:id="423"/>
      <w:bookmarkStart w:name="_Toc534620351" w:id="424"/>
      <w:bookmarkStart w:name="_Toc534620461" w:id="425"/>
      <w:bookmarkStart w:name="_Toc534620579" w:id="426"/>
      <w:bookmarkStart w:name="_Toc534620900" w:id="427"/>
      <w:bookmarkStart w:name="_Toc534621131" w:id="428"/>
      <w:bookmarkStart w:name="_Toc172841950" w:id="429"/>
      <w:bookmarkEnd w:id="421"/>
      <w:bookmarkEnd w:id="422"/>
      <w:bookmarkEnd w:id="423"/>
      <w:r w:rsidRPr="00B34407">
        <w:t>Prepayments</w:t>
      </w:r>
      <w:bookmarkEnd w:id="424"/>
      <w:bookmarkEnd w:id="425"/>
      <w:bookmarkEnd w:id="426"/>
      <w:bookmarkEnd w:id="427"/>
      <w:bookmarkEnd w:id="428"/>
      <w:bookmarkEnd w:id="429"/>
    </w:p>
    <w:p w:rsidRPr="00B34407" w:rsidR="008F6FE1" w:rsidP="00AF72E5" w:rsidRDefault="00AF72E5" w14:paraId="0E0BF54D" w14:textId="0D7C76D0">
      <w:pPr>
        <w:pStyle w:val="BodyTextFirstIndent"/>
      </w:pPr>
      <w:bookmarkStart w:name="_DV_M489" w:id="430"/>
      <w:bookmarkEnd w:id="430"/>
      <w:r w:rsidRPr="00B34407">
        <w:t xml:space="preserve">The Revenues available to pay the principal of and interest on the Bonds and Program Expenses include all prepayment amounts received by the Authority from or on account of any Mortgage Loan, subject to certain exclusions.  See </w:t>
      </w:r>
      <w:r w:rsidR="00C34AEA">
        <w:t>“</w:t>
      </w:r>
      <w:r w:rsidRPr="00B34407">
        <w:t>SECURITY FOR BONDS—Pledge of Indenture</w:t>
      </w:r>
      <w:r w:rsidR="00C34AEA">
        <w:t>”</w:t>
      </w:r>
      <w:r w:rsidRPr="00B34407" w:rsidR="008F6FE1">
        <w:t xml:space="preserve"> herein.</w:t>
      </w:r>
      <w:r w:rsidRPr="00B34407">
        <w:t xml:space="preserve">  Prepayments (including the proceeds of liquidation) of Mortgage Loans financed from the proceeds of the Bonds may be available in the year in which they are received for the payment of principal of and interest on any Bonds.  </w:t>
      </w:r>
    </w:p>
    <w:p w:rsidRPr="00B34407" w:rsidR="008F6FE1" w:rsidP="008F6FE1" w:rsidRDefault="008F6FE1" w14:paraId="7BCE5586" w14:textId="72AE8B31">
      <w:pPr>
        <w:pStyle w:val="BodyTextFirstIndent"/>
      </w:pPr>
      <w:r w:rsidRPr="00B34407">
        <w:rPr>
          <w:bCs/>
        </w:rPr>
        <w:t xml:space="preserve">The Trustee will receive scheduled payments and prepayments of the principal of the Mortgage Certificates.  Prepayments consist of all principal payments in excess of the scheduled principal payments on the Mortgage Certificates, including, but not limited to, payments representing: (1) optional prepayments of </w:t>
      </w:r>
      <w:r w:rsidR="00C7294C">
        <w:t>2024 Series C</w:t>
      </w:r>
      <w:r w:rsidR="00C635EB">
        <w:t xml:space="preserve"> Mortgage Loans</w:t>
      </w:r>
      <w:r w:rsidRPr="00B34407">
        <w:rPr>
          <w:bCs/>
        </w:rPr>
        <w:t xml:space="preserve">, (2) casualty insurance proceeds or condemnation awards applied to the prepayment of the </w:t>
      </w:r>
      <w:r w:rsidR="00C7294C">
        <w:t>2024 Series C</w:t>
      </w:r>
      <w:r w:rsidR="00C635EB">
        <w:t xml:space="preserve"> Mortgage Loans</w:t>
      </w:r>
      <w:r w:rsidR="00987289">
        <w:t xml:space="preserve"> </w:t>
      </w:r>
      <w:r w:rsidRPr="00B34407">
        <w:rPr>
          <w:bCs/>
        </w:rPr>
        <w:t xml:space="preserve">following a partial or total destruction or condemnation of a residence, (3) mortgage insurance or guaranty proceeds or other amounts received with respect to the </w:t>
      </w:r>
      <w:r w:rsidR="00C7294C">
        <w:t>2024 Series C</w:t>
      </w:r>
      <w:r w:rsidR="00C635EB">
        <w:t xml:space="preserve"> Mortgage Loans</w:t>
      </w:r>
      <w:r w:rsidRPr="00B34407">
        <w:rPr>
          <w:bCs/>
        </w:rPr>
        <w:t xml:space="preserve"> following acceleration thereof upon the occurrence of an event of default the</w:t>
      </w:r>
      <w:r w:rsidRPr="00B34407" w:rsidR="00692C24">
        <w:rPr>
          <w:bCs/>
        </w:rPr>
        <w:t xml:space="preserve">reunder, (4) prepayments of the </w:t>
      </w:r>
      <w:r w:rsidR="00C7294C">
        <w:t>2024 Series C</w:t>
      </w:r>
      <w:r w:rsidR="00C635EB">
        <w:t xml:space="preserve"> Mortgage Loans</w:t>
      </w:r>
      <w:r w:rsidRPr="00B34407">
        <w:rPr>
          <w:bCs/>
        </w:rPr>
        <w:t xml:space="preserve"> required pursuant to applicable rules, regulations, policies and procedures of FHA, USDA/RD, VA, GNMA or </w:t>
      </w:r>
      <w:r w:rsidRPr="00B34407" w:rsidR="00474B5A">
        <w:rPr>
          <w:bCs/>
        </w:rPr>
        <w:t>Fannie Mae</w:t>
      </w:r>
      <w:r w:rsidRPr="00B34407">
        <w:rPr>
          <w:bCs/>
        </w:rPr>
        <w:t xml:space="preserve">, (5) prepayments of the </w:t>
      </w:r>
      <w:r w:rsidR="00C7294C">
        <w:t>2024 Series C</w:t>
      </w:r>
      <w:r w:rsidR="00C635EB">
        <w:t xml:space="preserve"> Mortgage Loans</w:t>
      </w:r>
      <w:r w:rsidRPr="00B34407" w:rsidR="00906C3E">
        <w:rPr>
          <w:bCs/>
        </w:rPr>
        <w:t xml:space="preserve"> </w:t>
      </w:r>
      <w:r w:rsidRPr="00B34407">
        <w:rPr>
          <w:bCs/>
        </w:rPr>
        <w:t xml:space="preserve">without notice while under supervision of a trustee in bankruptcy, and (6) prepayments of the </w:t>
      </w:r>
      <w:r w:rsidR="00C7294C">
        <w:t>2024 Series C</w:t>
      </w:r>
      <w:r w:rsidR="00C635EB">
        <w:t xml:space="preserve"> Mortgage Loans</w:t>
      </w:r>
      <w:r w:rsidRPr="00B34407" w:rsidR="00906C3E">
        <w:rPr>
          <w:bCs/>
        </w:rPr>
        <w:t xml:space="preserve"> </w:t>
      </w:r>
      <w:r w:rsidRPr="00B34407">
        <w:rPr>
          <w:bCs/>
        </w:rPr>
        <w:t>in connection with the modification of such loans</w:t>
      </w:r>
      <w:r w:rsidRPr="00B34407" w:rsidR="00931919">
        <w:rPr>
          <w:bCs/>
        </w:rPr>
        <w:t xml:space="preserve"> that results in the removal of </w:t>
      </w:r>
      <w:r w:rsidR="00C7294C">
        <w:t>2024 Series C</w:t>
      </w:r>
      <w:r w:rsidR="00C635EB">
        <w:t xml:space="preserve"> Mortgage Loans</w:t>
      </w:r>
      <w:r w:rsidRPr="00B34407" w:rsidR="00906C3E">
        <w:rPr>
          <w:bCs/>
        </w:rPr>
        <w:t xml:space="preserve"> </w:t>
      </w:r>
      <w:r w:rsidRPr="00B34407">
        <w:rPr>
          <w:bCs/>
        </w:rPr>
        <w:t xml:space="preserve">from the pool of loans backing the related Mortgage Certificates.  See </w:t>
      </w:r>
      <w:r w:rsidR="00C34AEA">
        <w:rPr>
          <w:bCs/>
        </w:rPr>
        <w:t>“</w:t>
      </w:r>
      <w:r w:rsidRPr="00B34407">
        <w:rPr>
          <w:bCs/>
        </w:rPr>
        <w:t xml:space="preserve">RISK FACTORS—Developments in the Residential Mortgage Market May Adversely Affect Bond </w:t>
      </w:r>
      <w:r w:rsidRPr="00B34407" w:rsidR="00C87939">
        <w:rPr>
          <w:bCs/>
        </w:rPr>
        <w:t>Payments</w:t>
      </w:r>
      <w:r w:rsidR="00C34AEA">
        <w:rPr>
          <w:bCs/>
        </w:rPr>
        <w:t>”</w:t>
      </w:r>
      <w:r w:rsidRPr="00B34407">
        <w:rPr>
          <w:bCs/>
        </w:rPr>
        <w:t xml:space="preserve"> above and </w:t>
      </w:r>
      <w:r w:rsidR="00C34AEA">
        <w:rPr>
          <w:bCs/>
        </w:rPr>
        <w:t>“</w:t>
      </w:r>
      <w:r w:rsidRPr="00B34407">
        <w:rPr>
          <w:bCs/>
        </w:rPr>
        <w:t>APPENDIX A: SUMMARY OF MORTGAGE CERTIFICATE PROGRAM</w:t>
      </w:r>
      <w:r w:rsidR="00C34AEA">
        <w:rPr>
          <w:bCs/>
        </w:rPr>
        <w:t>”</w:t>
      </w:r>
      <w:r w:rsidRPr="00B34407">
        <w:rPr>
          <w:bCs/>
        </w:rPr>
        <w:t xml:space="preserve"> attached hereto.</w:t>
      </w:r>
      <w:r w:rsidRPr="00B34407">
        <w:t xml:space="preserve"> </w:t>
      </w:r>
    </w:p>
    <w:p w:rsidRPr="00B34407" w:rsidR="00AF72E5" w:rsidP="00AF72E5" w:rsidRDefault="00AF72E5" w14:paraId="35B3EB9E" w14:textId="7B462E56">
      <w:pPr>
        <w:pStyle w:val="BodyTextFirstIndent"/>
      </w:pPr>
      <w:r w:rsidRPr="00B34407">
        <w:t xml:space="preserve">The rate at which Prepayments are received affects the amount of Revenues available to pay principal of and interest on the Bonds.  Prepayments are usually the result of the resale of the premises securing a Mortgage Loan or the refinancing of a Mortgage Loan due to changes in mortgage interest rates.  Therefore, economic and financial market conditions may have a significant short-term effect on the rate of Prepayments.  Because the Authority may change the interest rate at which </w:t>
      </w:r>
      <w:r w:rsidR="00C7294C">
        <w:t>2024 Series C</w:t>
      </w:r>
      <w:r w:rsidR="00C635EB">
        <w:t xml:space="preserve"> Mortgage Loans</w:t>
      </w:r>
      <w:r w:rsidRPr="00B34407">
        <w:t xml:space="preserve"> are </w:t>
      </w:r>
      <w:r w:rsidRPr="00B34407" w:rsidR="008F6FE1">
        <w:t>financed</w:t>
      </w:r>
      <w:r w:rsidRPr="00B34407">
        <w:t xml:space="preserve">, the economic and financial market conditions during the origination period may have an impact on the ultimate interest rates on the </w:t>
      </w:r>
      <w:r w:rsidR="00C7294C">
        <w:t>2024 Series C</w:t>
      </w:r>
      <w:r w:rsidR="00C635EB">
        <w:t xml:space="preserve"> Mortgage Loans</w:t>
      </w:r>
      <w:r w:rsidRPr="00B34407">
        <w:t>, which in turn could have an impact on the rate of Prepayments.</w:t>
      </w:r>
      <w:r w:rsidRPr="00B34407" w:rsidR="00364C04">
        <w:t xml:space="preserve">  </w:t>
      </w:r>
      <w:r w:rsidRPr="00B34407">
        <w:t xml:space="preserve">Notwithstanding the foregoing, the Authority is not aware of any means which would allow it to predict the actual level of Prepayments it will receive from the Mortgage Loans, including the </w:t>
      </w:r>
      <w:r w:rsidR="00C7294C">
        <w:t>2024 Series C</w:t>
      </w:r>
      <w:r w:rsidR="00C635EB">
        <w:t xml:space="preserve"> Mortgage Loans</w:t>
      </w:r>
      <w:r w:rsidRPr="00B34407">
        <w:t>.  A substantial difference between the actual Prepayments received by the Authority and those assumed in scheduling principal maturities and sinking fund installments on the Bonds could result in a deficiency or a surplus of Revenues available for required scheduled payments of principal of and interest on the Bonds.</w:t>
      </w:r>
      <w:r w:rsidRPr="0015521D" w:rsidR="0015521D">
        <w:t xml:space="preserve"> </w:t>
      </w:r>
      <w:r w:rsidR="0015521D">
        <w:t xml:space="preserve"> </w:t>
      </w:r>
    </w:p>
    <w:p w:rsidRPr="00B34407" w:rsidR="00057733" w:rsidP="00F828E4" w:rsidRDefault="00057733" w14:paraId="5262E2A4" w14:textId="4ACA2CAD">
      <w:pPr>
        <w:pStyle w:val="BodyTextFirstIndent"/>
      </w:pPr>
      <w:r w:rsidRPr="00B34407">
        <w:t xml:space="preserve">The yield to the holders of </w:t>
      </w:r>
      <w:r w:rsidR="00C7294C">
        <w:t>2024 Series C</w:t>
      </w:r>
      <w:r w:rsidR="005B3036">
        <w:t xml:space="preserve"> Bond</w:t>
      </w:r>
      <w:r w:rsidR="006C550F">
        <w:t>s</w:t>
      </w:r>
      <w:r w:rsidR="007D6C17">
        <w:t xml:space="preserve"> </w:t>
      </w:r>
      <w:r w:rsidRPr="00B34407">
        <w:t>purchased at a discount or premium may be affected by the actual rate of principal payments (including principal prepayments) on the Mortgage Loans to the extent such payments affect principal payments on the Mortgage</w:t>
      </w:r>
      <w:r w:rsidRPr="00B34407">
        <w:noBreakHyphen/>
        <w:t>Backed Securities.  A lower rate of principal prepayments than expected on the Mortgage</w:t>
      </w:r>
      <w:r w:rsidRPr="00B34407">
        <w:noBreakHyphen/>
        <w:t xml:space="preserve">Backed Securities would negatively affect the yield on the </w:t>
      </w:r>
      <w:r w:rsidR="00C7294C">
        <w:t>2024 Series C</w:t>
      </w:r>
      <w:r w:rsidR="005B3036">
        <w:t xml:space="preserve"> Bond</w:t>
      </w:r>
      <w:r w:rsidR="006C550F">
        <w:t>s</w:t>
      </w:r>
      <w:r w:rsidRPr="00B34407">
        <w:t xml:space="preserve"> sold at a discount.  A higher rate of principal prepayments than expected on the Mortgage</w:t>
      </w:r>
      <w:r w:rsidRPr="00B34407">
        <w:noBreakHyphen/>
        <w:t xml:space="preserve">Backed Securities would negatively affect the yield of </w:t>
      </w:r>
      <w:r w:rsidR="00C7294C">
        <w:t>2024 Series C</w:t>
      </w:r>
      <w:r w:rsidR="005B3036">
        <w:t xml:space="preserve"> Bond</w:t>
      </w:r>
      <w:r w:rsidR="006C550F">
        <w:t>s</w:t>
      </w:r>
      <w:r w:rsidRPr="00B34407">
        <w:t xml:space="preserve"> sold at a premium.  Because it is impossible to predict with any accuracy the </w:t>
      </w:r>
      <w:r w:rsidRPr="00B34407">
        <w:lastRenderedPageBreak/>
        <w:t>timing and dollar amount of principal prepayments on the Mortgage</w:t>
      </w:r>
      <w:r w:rsidRPr="00B34407">
        <w:noBreakHyphen/>
        <w:t xml:space="preserve">Backed Securities that will be made, investors may find it difficult to analyze the effect of prepayments on the yield on the </w:t>
      </w:r>
      <w:r w:rsidR="00C7294C">
        <w:t>2024 Series C</w:t>
      </w:r>
      <w:r w:rsidR="005B3036">
        <w:t xml:space="preserve"> Bond</w:t>
      </w:r>
      <w:r w:rsidR="006C550F">
        <w:t>s</w:t>
      </w:r>
      <w:r w:rsidRPr="00B34407">
        <w:t>.</w:t>
      </w:r>
    </w:p>
    <w:p w:rsidRPr="00B34407" w:rsidR="00AF72E5" w:rsidP="00AF72E5" w:rsidRDefault="00AF72E5" w14:paraId="369D8A0A" w14:textId="7144D755">
      <w:pPr>
        <w:pStyle w:val="BodyTextFirstIndent"/>
      </w:pPr>
      <w:bookmarkStart w:name="_DV_M490" w:id="431"/>
      <w:bookmarkStart w:name="ElPgBr38" w:id="432"/>
      <w:bookmarkEnd w:id="431"/>
      <w:bookmarkEnd w:id="432"/>
      <w:r w:rsidRPr="00B34407">
        <w:t xml:space="preserve">The </w:t>
      </w:r>
      <w:r w:rsidR="00C7294C">
        <w:t>2024 Series C</w:t>
      </w:r>
      <w:r w:rsidR="005B3036">
        <w:t xml:space="preserve"> Bond</w:t>
      </w:r>
      <w:r w:rsidR="006C550F">
        <w:t>s</w:t>
      </w:r>
      <w:r w:rsidRPr="00B34407">
        <w:t xml:space="preserve"> have been structured to require that certain Prepayments be used periodically to redeem </w:t>
      </w:r>
      <w:r w:rsidR="00E517F5">
        <w:t xml:space="preserve">certain </w:t>
      </w:r>
      <w:r w:rsidR="00C7294C">
        <w:t>2024 Series C</w:t>
      </w:r>
      <w:r w:rsidR="005B3036">
        <w:t xml:space="preserve"> Bond</w:t>
      </w:r>
      <w:r w:rsidR="006C550F">
        <w:t>s</w:t>
      </w:r>
      <w:r w:rsidR="00F773CA">
        <w:t xml:space="preserve"> </w:t>
      </w:r>
      <w:r w:rsidRPr="00B34407">
        <w:t xml:space="preserve">and the Authority expects that a substantial portion of the </w:t>
      </w:r>
      <w:r w:rsidR="00C7294C">
        <w:t>2024 Series C</w:t>
      </w:r>
      <w:r w:rsidR="005B3036">
        <w:t xml:space="preserve"> Bond</w:t>
      </w:r>
      <w:r w:rsidR="006C550F">
        <w:t>s</w:t>
      </w:r>
      <w:r w:rsidR="00E517F5">
        <w:t xml:space="preserve"> </w:t>
      </w:r>
      <w:r w:rsidRPr="00B34407">
        <w:t xml:space="preserve">may be redeemed prior to their respective stated maturity or scheduled mandatory sinking fund redemption dates.  See </w:t>
      </w:r>
      <w:r w:rsidR="00C34AEA">
        <w:t>“</w:t>
      </w:r>
      <w:r w:rsidRPr="00B34407">
        <w:t xml:space="preserve">REDEMPTION OF </w:t>
      </w:r>
      <w:r w:rsidR="00C7294C">
        <w:rPr>
          <w:caps/>
        </w:rPr>
        <w:t>2024 Series C</w:t>
      </w:r>
      <w:r w:rsidR="005B3036">
        <w:rPr>
          <w:caps/>
        </w:rPr>
        <w:t xml:space="preserve"> Bond</w:t>
      </w:r>
      <w:r w:rsidR="006C550F">
        <w:rPr>
          <w:caps/>
        </w:rPr>
        <w:t>s</w:t>
      </w:r>
      <w:r w:rsidRPr="00B34407">
        <w:t xml:space="preserve">—Redemption </w:t>
      </w:r>
      <w:r w:rsidRPr="00B34407" w:rsidR="003F7019">
        <w:t>f</w:t>
      </w:r>
      <w:r w:rsidRPr="00B34407">
        <w:t>rom Prepayments, Repayments and Excess Revenues—</w:t>
      </w:r>
      <w:r w:rsidRPr="00B34407" w:rsidR="00CB3246">
        <w:rPr>
          <w:i/>
          <w:iCs/>
        </w:rPr>
        <w:t xml:space="preserve">Estimated Weighted Average Lives of </w:t>
      </w:r>
      <w:r w:rsidR="00A1322C">
        <w:rPr>
          <w:i/>
          <w:iCs/>
        </w:rPr>
        <w:t>2024C-2</w:t>
      </w:r>
      <w:r w:rsidR="00A6413E">
        <w:rPr>
          <w:i/>
          <w:iCs/>
        </w:rPr>
        <w:t xml:space="preserve"> PAC</w:t>
      </w:r>
      <w:r w:rsidR="00F86774">
        <w:rPr>
          <w:i/>
          <w:iCs/>
        </w:rPr>
        <w:t xml:space="preserve"> Bonds</w:t>
      </w:r>
      <w:r w:rsidR="00C34AEA">
        <w:t>”</w:t>
      </w:r>
      <w:r w:rsidRPr="00B34407" w:rsidR="00AA3F14">
        <w:t xml:space="preserve"> herein</w:t>
      </w:r>
      <w:r w:rsidRPr="00B34407">
        <w:t xml:space="preserve">.  There is no assurance that the Prepayments of the </w:t>
      </w:r>
      <w:r w:rsidR="00C7294C">
        <w:t>2024 Series C</w:t>
      </w:r>
      <w:r w:rsidR="00C635EB">
        <w:t xml:space="preserve"> Mortgage Loans</w:t>
      </w:r>
      <w:r w:rsidRPr="00B34407" w:rsidR="00906C3E">
        <w:t xml:space="preserve"> </w:t>
      </w:r>
      <w:r w:rsidRPr="00B34407">
        <w:t>will conform to any assumed prepayment rate</w:t>
      </w:r>
      <w:r w:rsidRPr="00B34407" w:rsidR="00364C04">
        <w:t>s</w:t>
      </w:r>
      <w:r w:rsidRPr="00B34407">
        <w:t xml:space="preserve">, and the Authority makes no representation as to the percentage of the principal balance of the </w:t>
      </w:r>
      <w:r w:rsidR="00C7294C">
        <w:t>2024 Series C</w:t>
      </w:r>
      <w:r w:rsidR="00C635EB">
        <w:t xml:space="preserve"> Mortgage Loans</w:t>
      </w:r>
      <w:r w:rsidRPr="00B34407" w:rsidR="00906C3E">
        <w:t xml:space="preserve"> </w:t>
      </w:r>
      <w:r w:rsidRPr="00B34407">
        <w:t>that will be paid as of any date, as to the overall rate of prepayment, or as to the estimates or methodology set forth under such subheading.</w:t>
      </w:r>
    </w:p>
    <w:p w:rsidRPr="00B34407" w:rsidR="00AA3F14" w:rsidP="00AA3F14" w:rsidRDefault="00AA3F14" w14:paraId="54C58104" w14:textId="6C207EC3">
      <w:pPr>
        <w:pStyle w:val="BodyTextFirstIndent"/>
      </w:pPr>
      <w:bookmarkStart w:name="_DV_M491" w:id="433"/>
      <w:bookmarkStart w:name="_DV_M492" w:id="434"/>
      <w:bookmarkStart w:name="_DV_M493" w:id="435"/>
      <w:bookmarkEnd w:id="433"/>
      <w:bookmarkEnd w:id="434"/>
      <w:bookmarkEnd w:id="435"/>
      <w:r w:rsidRPr="00B34407">
        <w:t xml:space="preserve">Prepayments, scheduled repayments of principal, and Excess Revenues attributable to the </w:t>
      </w:r>
      <w:r w:rsidR="00C7294C">
        <w:t>2024 Series C</w:t>
      </w:r>
      <w:r w:rsidR="005B3036">
        <w:t xml:space="preserve"> Bond</w:t>
      </w:r>
      <w:r w:rsidR="006C550F">
        <w:t>s</w:t>
      </w:r>
      <w:r w:rsidR="00987289">
        <w:t>,</w:t>
      </w:r>
      <w:r w:rsidRPr="00B34407">
        <w:t xml:space="preserve"> and Prepayments, scheduled repayments of principal, and Excess Revenues attributable to other Bonds, whether or not such other Bonds are still outstanding, may be applied to the redemption of the </w:t>
      </w:r>
      <w:r w:rsidR="00C7294C">
        <w:t>2024 Series C</w:t>
      </w:r>
      <w:r w:rsidR="005B3036">
        <w:t xml:space="preserve"> Bond</w:t>
      </w:r>
      <w:r w:rsidR="006C550F">
        <w:t>s</w:t>
      </w:r>
      <w:r w:rsidR="00E517F5">
        <w:t xml:space="preserve"> </w:t>
      </w:r>
      <w:r w:rsidRPr="00B34407">
        <w:t xml:space="preserve">without any redemption premium.  See </w:t>
      </w:r>
      <w:r w:rsidR="00C34AEA">
        <w:t>“</w:t>
      </w:r>
      <w:r w:rsidRPr="00B34407">
        <w:t xml:space="preserve">REDEMPTION OF </w:t>
      </w:r>
      <w:r w:rsidR="00C7294C">
        <w:rPr>
          <w:caps/>
        </w:rPr>
        <w:t>2024 Series C</w:t>
      </w:r>
      <w:r w:rsidR="005B3036">
        <w:rPr>
          <w:caps/>
        </w:rPr>
        <w:t xml:space="preserve"> Bond</w:t>
      </w:r>
      <w:r w:rsidR="006C550F">
        <w:rPr>
          <w:caps/>
        </w:rPr>
        <w:t>s</w:t>
      </w:r>
      <w:r w:rsidRPr="00B34407">
        <w:t>—Special Optional Redemption.</w:t>
      </w:r>
      <w:r w:rsidR="00C34AEA">
        <w:t>”</w:t>
      </w:r>
      <w:r w:rsidRPr="00B34407">
        <w:t xml:space="preserve">  In addition, Prepayments, scheduled repayments of principal, and Excess Revenues attributable to the </w:t>
      </w:r>
      <w:r w:rsidR="00C7294C">
        <w:t>2024 Series C</w:t>
      </w:r>
      <w:r w:rsidR="005B3036">
        <w:t xml:space="preserve"> Bond</w:t>
      </w:r>
      <w:r w:rsidR="006C550F">
        <w:t>s</w:t>
      </w:r>
      <w:r w:rsidRPr="00B34407">
        <w:t xml:space="preserve"> may be applied to the redemption of the </w:t>
      </w:r>
      <w:r w:rsidR="00C7294C">
        <w:t>2024 Series C</w:t>
      </w:r>
      <w:r w:rsidR="005B3036">
        <w:t xml:space="preserve"> Bond</w:t>
      </w:r>
      <w:r w:rsidR="006C550F">
        <w:t>s</w:t>
      </w:r>
      <w:r w:rsidR="00E517F5">
        <w:t xml:space="preserve"> </w:t>
      </w:r>
      <w:r w:rsidRPr="00B34407">
        <w:t xml:space="preserve">or other Bonds of the Indenture, as set forth under the heading </w:t>
      </w:r>
      <w:r w:rsidR="00C34AEA">
        <w:t>“</w:t>
      </w:r>
      <w:r w:rsidRPr="00B34407">
        <w:t xml:space="preserve">REDEMPTION OF </w:t>
      </w:r>
      <w:r w:rsidR="00C7294C">
        <w:rPr>
          <w:caps/>
        </w:rPr>
        <w:t>2024 Series C</w:t>
      </w:r>
      <w:r w:rsidR="005B3036">
        <w:rPr>
          <w:caps/>
        </w:rPr>
        <w:t xml:space="preserve"> Bond</w:t>
      </w:r>
      <w:r w:rsidR="006C550F">
        <w:rPr>
          <w:caps/>
        </w:rPr>
        <w:t>s</w:t>
      </w:r>
      <w:r w:rsidRPr="00B34407">
        <w:t>—Redemption from Prepayments, Repayments and Excess Revenues</w:t>
      </w:r>
      <w:r w:rsidRPr="00B34407" w:rsidR="00CB661F">
        <w:t>.</w:t>
      </w:r>
      <w:r w:rsidR="00C34AEA">
        <w:t>”</w:t>
      </w:r>
      <w:r w:rsidRPr="00B34407">
        <w:t xml:space="preserve">  </w:t>
      </w:r>
      <w:r w:rsidRPr="00B34407">
        <w:rPr>
          <w:b/>
          <w:bCs/>
        </w:rPr>
        <w:t>Subject to the foregoing and to the extent permitted by the supplemental indentures authorizing the issuance of other series of Bonds, the Authority may use Prepayments, scheduled repayments of principal, and Excess Revenues attributable to the</w:t>
      </w:r>
      <w:r w:rsidR="00154FF2">
        <w:rPr>
          <w:b/>
          <w:bCs/>
        </w:rPr>
        <w:t xml:space="preserve"> </w:t>
      </w:r>
      <w:r w:rsidR="00C7294C">
        <w:rPr>
          <w:b/>
          <w:bCs/>
        </w:rPr>
        <w:t>2024 Series C</w:t>
      </w:r>
      <w:r w:rsidR="005B3036">
        <w:rPr>
          <w:b/>
          <w:bCs/>
        </w:rPr>
        <w:t xml:space="preserve"> Bond</w:t>
      </w:r>
      <w:r w:rsidR="006C550F">
        <w:rPr>
          <w:b/>
          <w:bCs/>
        </w:rPr>
        <w:t>s</w:t>
      </w:r>
      <w:r w:rsidRPr="00B34407">
        <w:rPr>
          <w:b/>
          <w:bCs/>
        </w:rPr>
        <w:t xml:space="preserve"> to redeem Bonds other than the </w:t>
      </w:r>
      <w:r w:rsidR="00C7294C">
        <w:rPr>
          <w:b/>
          <w:bCs/>
        </w:rPr>
        <w:t>2024 Series C</w:t>
      </w:r>
      <w:r w:rsidR="005B3036">
        <w:rPr>
          <w:b/>
          <w:bCs/>
        </w:rPr>
        <w:t xml:space="preserve"> Bond</w:t>
      </w:r>
      <w:r w:rsidR="006C550F">
        <w:rPr>
          <w:b/>
          <w:bCs/>
        </w:rPr>
        <w:t>s</w:t>
      </w:r>
      <w:r w:rsidRPr="00B34407">
        <w:rPr>
          <w:b/>
          <w:bCs/>
        </w:rPr>
        <w:t>.  In addition, the Authority may use Prepayments, scheduled repayments of principal, and Excess Revenues attributable to other Bonds,</w:t>
      </w:r>
      <w:r w:rsidRPr="00B34407">
        <w:rPr>
          <w:b/>
        </w:rPr>
        <w:t xml:space="preserve"> whether or not such other Bonds are still outstanding,</w:t>
      </w:r>
      <w:r w:rsidRPr="00B34407">
        <w:rPr>
          <w:b/>
          <w:bCs/>
        </w:rPr>
        <w:t xml:space="preserve"> to meet the redemption amounts of the </w:t>
      </w:r>
      <w:r w:rsidR="00A1322C">
        <w:rPr>
          <w:b/>
          <w:bCs/>
        </w:rPr>
        <w:t>2024C-2</w:t>
      </w:r>
      <w:r w:rsidR="00A6413E">
        <w:rPr>
          <w:b/>
          <w:bCs/>
        </w:rPr>
        <w:t xml:space="preserve"> PAC</w:t>
      </w:r>
      <w:r w:rsidR="00F86774">
        <w:rPr>
          <w:b/>
          <w:bCs/>
        </w:rPr>
        <w:t xml:space="preserve"> Bonds</w:t>
      </w:r>
      <w:r w:rsidRPr="00B34407">
        <w:rPr>
          <w:b/>
          <w:bCs/>
        </w:rPr>
        <w:t xml:space="preserve"> Applicable Outstanding Amounts table and to redeem other </w:t>
      </w:r>
      <w:r w:rsidR="00C7294C">
        <w:rPr>
          <w:b/>
          <w:bCs/>
        </w:rPr>
        <w:t>2024 Series C</w:t>
      </w:r>
      <w:r w:rsidR="005B3036">
        <w:rPr>
          <w:b/>
          <w:bCs/>
        </w:rPr>
        <w:t xml:space="preserve"> Bond</w:t>
      </w:r>
      <w:r w:rsidR="006C550F">
        <w:rPr>
          <w:b/>
          <w:bCs/>
        </w:rPr>
        <w:t>s</w:t>
      </w:r>
      <w:r w:rsidR="00E517F5">
        <w:rPr>
          <w:bCs/>
        </w:rPr>
        <w:t>.</w:t>
      </w:r>
      <w:r w:rsidRPr="00F01AD3">
        <w:rPr>
          <w:bCs/>
        </w:rPr>
        <w:t xml:space="preserve"> </w:t>
      </w:r>
      <w:r w:rsidRPr="00F01AD3">
        <w:t xml:space="preserve"> </w:t>
      </w:r>
      <w:r w:rsidRPr="00B34407">
        <w:t xml:space="preserve">See </w:t>
      </w:r>
      <w:r w:rsidR="00C34AEA">
        <w:t>“</w:t>
      </w:r>
      <w:r w:rsidRPr="00B34407">
        <w:t xml:space="preserve">REDEMPTION OF </w:t>
      </w:r>
      <w:r w:rsidR="00C7294C">
        <w:rPr>
          <w:caps/>
        </w:rPr>
        <w:t>2024 Series C</w:t>
      </w:r>
      <w:r w:rsidR="005B3036">
        <w:rPr>
          <w:caps/>
        </w:rPr>
        <w:t xml:space="preserve"> Bond</w:t>
      </w:r>
      <w:r w:rsidR="006C550F">
        <w:rPr>
          <w:caps/>
        </w:rPr>
        <w:t>s</w:t>
      </w:r>
      <w:r w:rsidRPr="00B34407">
        <w:t>—Redemption from Prepayments, Repayments and Excess Revenues—</w:t>
      </w:r>
      <w:r w:rsidRPr="00B34407">
        <w:rPr>
          <w:i/>
        </w:rPr>
        <w:t>Cross Calling</w:t>
      </w:r>
      <w:r w:rsidRPr="00B34407">
        <w:t xml:space="preserve"> </w:t>
      </w:r>
      <w:r w:rsidRPr="00B34407">
        <w:rPr>
          <w:i/>
        </w:rPr>
        <w:t>and Recycling</w:t>
      </w:r>
      <w:r w:rsidR="00C34AEA">
        <w:t>”</w:t>
      </w:r>
      <w:r w:rsidRPr="00B34407">
        <w:t xml:space="preserve"> herein.</w:t>
      </w:r>
    </w:p>
    <w:p w:rsidRPr="00B34407" w:rsidR="00AF72E5" w:rsidP="00F828E4" w:rsidRDefault="00DB4647" w14:paraId="37F3590F" w14:textId="46C9DB74">
      <w:pPr>
        <w:pStyle w:val="aHEADINGSUB"/>
      </w:pPr>
      <w:bookmarkStart w:name="_Toc534620352" w:id="436"/>
      <w:bookmarkStart w:name="_Toc534620462" w:id="437"/>
      <w:bookmarkStart w:name="_Toc534620580" w:id="438"/>
      <w:bookmarkStart w:name="_Toc534620901" w:id="439"/>
      <w:bookmarkStart w:name="_Toc534621132" w:id="440"/>
      <w:bookmarkStart w:name="_Toc172841951" w:id="441"/>
      <w:r w:rsidRPr="00B34407">
        <w:t>Investments</w:t>
      </w:r>
      <w:bookmarkEnd w:id="436"/>
      <w:bookmarkEnd w:id="437"/>
      <w:bookmarkEnd w:id="438"/>
      <w:bookmarkEnd w:id="439"/>
      <w:bookmarkEnd w:id="440"/>
      <w:bookmarkEnd w:id="441"/>
      <w:r w:rsidR="00154FF2">
        <w:t xml:space="preserve"> </w:t>
      </w:r>
    </w:p>
    <w:p w:rsidRPr="00B34407" w:rsidR="00AF72E5" w:rsidP="00AF72E5" w:rsidRDefault="00AF72E5" w14:paraId="0DAC6FCA" w14:textId="442CC058">
      <w:pPr>
        <w:pStyle w:val="BodyTextFirstIndent"/>
      </w:pPr>
      <w:bookmarkStart w:name="_DV_M494" w:id="442"/>
      <w:bookmarkEnd w:id="442"/>
      <w:r w:rsidRPr="00B34407">
        <w:t xml:space="preserve">The Trustee has invested and will invest moneys on deposit under the Indenture in Investment Securities as directed by the Authority.  See </w:t>
      </w:r>
      <w:r w:rsidR="00C34AEA">
        <w:t>“</w:t>
      </w:r>
      <w:r w:rsidRPr="00B34407">
        <w:t>APPENDIX D: SUMMARY OF CERTAIN PROVISIONS OF INDENTURE—Investment Securities</w:t>
      </w:r>
      <w:r w:rsidR="00C34AEA">
        <w:t>”</w:t>
      </w:r>
      <w:r w:rsidRPr="00B34407">
        <w:t xml:space="preserve"> and </w:t>
      </w:r>
      <w:r w:rsidR="00C34AEA">
        <w:t>“</w:t>
      </w:r>
      <w:r w:rsidRPr="00B34407">
        <w:t>APPENDIX F: CER</w:t>
      </w:r>
      <w:r w:rsidRPr="00B34407" w:rsidR="00850531">
        <w:t>TAIN DEFINITIONS</w:t>
      </w:r>
      <w:r w:rsidR="00C34AEA">
        <w:t>”</w:t>
      </w:r>
      <w:r w:rsidRPr="00B34407" w:rsidR="00B26E27">
        <w:t xml:space="preserve"> attached hereto.</w:t>
      </w:r>
      <w:r w:rsidRPr="00B34407" w:rsidR="00850531">
        <w:t xml:space="preserve"> </w:t>
      </w:r>
      <w:r w:rsidRPr="00B34407">
        <w:t xml:space="preserve"> </w:t>
      </w:r>
      <w:r w:rsidRPr="00B34407" w:rsidR="00A46406">
        <w:t xml:space="preserve">  </w:t>
      </w:r>
    </w:p>
    <w:p w:rsidRPr="00B34407" w:rsidR="00AF72E5" w:rsidP="00AF72E5" w:rsidRDefault="00AF72E5" w14:paraId="2B495BF8" w14:textId="77777777">
      <w:pPr>
        <w:pStyle w:val="BodyTextFirstIndent"/>
      </w:pPr>
      <w:bookmarkStart w:name="_DV_M495" w:id="443"/>
      <w:bookmarkEnd w:id="443"/>
      <w:r w:rsidRPr="00B34407">
        <w:t xml:space="preserve">The interest income from Investment Securities may change from time to time and may be less than or greater than the interest payable on the Bonds.  </w:t>
      </w:r>
      <w:r w:rsidRPr="00B34407" w:rsidR="00085334">
        <w:t xml:space="preserve">If and to the extent the interest income from Investment Securities is less than the interest payable on the Bonds, the Authority </w:t>
      </w:r>
      <w:r w:rsidRPr="00B34407" w:rsidR="00474B5A">
        <w:t>may</w:t>
      </w:r>
      <w:r w:rsidRPr="00B34407" w:rsidR="00085334">
        <w:t xml:space="preserve"> be required to </w:t>
      </w:r>
      <w:r w:rsidRPr="00B34407" w:rsidR="00E47F1D">
        <w:t>pay</w:t>
      </w:r>
      <w:r w:rsidRPr="00B34407" w:rsidR="00085334">
        <w:t xml:space="preserve"> such deficiency.  </w:t>
      </w:r>
      <w:r w:rsidRPr="00B34407">
        <w:t>If and to the extent amounts earned from investment of the proceeds from a series of Bonds in Investment Securities exceed amounts which would have been earned if such proceeds were invested at a rate equal to the yield on such series of Bonds, such excess may be subject to rebate to the United States Department of Treasury.</w:t>
      </w:r>
    </w:p>
    <w:p w:rsidRPr="00B34407" w:rsidR="00AF72E5" w:rsidP="00AF72E5" w:rsidRDefault="00AF72E5" w14:paraId="385A0CCA" w14:textId="3A6B8805">
      <w:pPr>
        <w:pStyle w:val="BodyTextFirstIndent"/>
      </w:pPr>
      <w:bookmarkStart w:name="_DV_M496" w:id="444"/>
      <w:bookmarkEnd w:id="444"/>
      <w:r w:rsidRPr="00B34407">
        <w:t xml:space="preserve">Each Investment Security will evidence the obligation of the issuer of such Investment Security to pay principal of and interest on such Investment Security to the Trustee at certain times for use in accordance with the Indenture.  There can be no assurance that the issuer of any Investment Security will be able to pay principal of and interest on such Investment Security at such rates on a timely basis.  The issuers of certain of these Investment Securities have recently experienced financial difficulties.  The failure of any provider to pay amounts when due under an Investment </w:t>
      </w:r>
      <w:r w:rsidRPr="00B34407" w:rsidR="00CF75F9">
        <w:t>Security</w:t>
      </w:r>
      <w:r w:rsidRPr="00B34407">
        <w:t xml:space="preserve"> pertaining to the Loan Account could result in the Trustee</w:t>
      </w:r>
      <w:r w:rsidR="00C34AEA">
        <w:t>’</w:t>
      </w:r>
      <w:r w:rsidRPr="00B34407">
        <w:t xml:space="preserve">s inability to acquire Mortgage Certificates in an account necessary to fully collateralize the Bonds.  A failure by the provider to pay amounts due under an Investment Agreement pertaining to the other </w:t>
      </w:r>
      <w:r w:rsidRPr="00B34407" w:rsidR="00AA3F14">
        <w:t>Accounts</w:t>
      </w:r>
      <w:r w:rsidRPr="00B34407">
        <w:t xml:space="preserve"> could result in the Trustee</w:t>
      </w:r>
      <w:r w:rsidR="00C34AEA">
        <w:t>’</w:t>
      </w:r>
      <w:r w:rsidRPr="00B34407">
        <w:t>s inability to pay interest on the Bonds.</w:t>
      </w:r>
    </w:p>
    <w:p w:rsidRPr="00B34407" w:rsidR="00AF72E5" w:rsidP="00AF72E5" w:rsidRDefault="00AF72E5" w14:paraId="71A97719" w14:textId="77777777">
      <w:pPr>
        <w:pStyle w:val="BodyTextFirstIndent"/>
      </w:pPr>
      <w:bookmarkStart w:name="_DV_M497" w:id="445"/>
      <w:bookmarkEnd w:id="445"/>
      <w:r w:rsidRPr="00B34407">
        <w:t>Changes in interest rates will also have an impact on the market value of the Investment Securities held by the Trustee under the Indenture, and such impact may be substantial.  Generally, increases in market interest rates will tend to reduce the market value of such Investment Securities, and decreases in market interest rates will tend to increase the market value of such Investment Securities.</w:t>
      </w:r>
    </w:p>
    <w:p w:rsidRPr="00B34407" w:rsidR="008403FE" w:rsidP="008403FE" w:rsidRDefault="00AF72E5" w14:paraId="0D4AF27F" w14:textId="32992AC9">
      <w:pPr>
        <w:pStyle w:val="BodyTextFirstIndent"/>
      </w:pPr>
      <w:bookmarkStart w:name="_DV_M498" w:id="446"/>
      <w:bookmarkEnd w:id="446"/>
      <w:r w:rsidRPr="00B34407">
        <w:lastRenderedPageBreak/>
        <w:t>The Authority makes no representations regarding (i) the ability of any Investment Security provider to make payments required under the Investment, (ii) the ability of any Investment</w:t>
      </w:r>
      <w:r w:rsidR="00E45995">
        <w:t xml:space="preserve"> Security</w:t>
      </w:r>
      <w:r w:rsidRPr="00B34407">
        <w:t xml:space="preserve"> provider to maintain its current ratings, (iii) the effect any downgrade in such ratings may have on the rating then assigned to the Bonds, including </w:t>
      </w:r>
      <w:bookmarkStart w:name="ElPgBr39" w:id="447"/>
      <w:bookmarkEnd w:id="447"/>
      <w:r w:rsidRPr="00B34407">
        <w:t xml:space="preserve">the </w:t>
      </w:r>
      <w:r w:rsidR="00C7294C">
        <w:t>2024 Series C</w:t>
      </w:r>
      <w:r w:rsidR="005B3036">
        <w:t xml:space="preserve"> Bond</w:t>
      </w:r>
      <w:r w:rsidR="006C550F">
        <w:t>s</w:t>
      </w:r>
      <w:r w:rsidRPr="00B34407">
        <w:t>, or (iv) the Trustee</w:t>
      </w:r>
      <w:r w:rsidR="00C34AEA">
        <w:t>’</w:t>
      </w:r>
      <w:r w:rsidRPr="00B34407">
        <w:t>s ability to recover amounts owed by an Investment Security provider in the event of a bankruptcy or other default under an Investment Security.</w:t>
      </w:r>
    </w:p>
    <w:p w:rsidRPr="00B34407" w:rsidR="003D26A1" w:rsidP="00F828E4" w:rsidRDefault="003D26A1" w14:paraId="0F45A1B8" w14:textId="6EF2B053">
      <w:pPr>
        <w:pStyle w:val="aHEADINGSUB"/>
      </w:pPr>
      <w:bookmarkStart w:name="_Toc534620353" w:id="448"/>
      <w:bookmarkStart w:name="_Toc534620463" w:id="449"/>
      <w:bookmarkStart w:name="_Toc534620581" w:id="450"/>
      <w:bookmarkStart w:name="_Toc534620902" w:id="451"/>
      <w:bookmarkStart w:name="_Toc534621133" w:id="452"/>
      <w:bookmarkStart w:name="_Toc172841952" w:id="453"/>
      <w:r w:rsidRPr="00B34407">
        <w:t>Derivative Transactions</w:t>
      </w:r>
      <w:bookmarkEnd w:id="448"/>
      <w:bookmarkEnd w:id="449"/>
      <w:bookmarkEnd w:id="450"/>
      <w:bookmarkEnd w:id="451"/>
      <w:bookmarkEnd w:id="452"/>
      <w:bookmarkEnd w:id="453"/>
      <w:r w:rsidRPr="00B34407" w:rsidR="0054042E">
        <w:t xml:space="preserve"> </w:t>
      </w:r>
    </w:p>
    <w:p w:rsidRPr="00767FBC" w:rsidR="003C7AD4" w:rsidP="003D26A1" w:rsidRDefault="003D26A1" w14:paraId="7D59D06E" w14:textId="7D3806F7">
      <w:pPr>
        <w:pStyle w:val="BodyTextFirstIndent"/>
      </w:pPr>
      <w:r w:rsidRPr="00B34407">
        <w:t xml:space="preserve">The Authority is specifically authorized to utilize certain derivative transactions, including interest rate swaps, in connection with its Single Family Program.  In connection with the issuance of certain prior bond issues, </w:t>
      </w:r>
      <w:r w:rsidRPr="00B34407" w:rsidR="008072BC">
        <w:t>two</w:t>
      </w:r>
      <w:r w:rsidRPr="00B34407" w:rsidR="00A826BB">
        <w:t xml:space="preserve"> of which </w:t>
      </w:r>
      <w:r w:rsidRPr="00B34407" w:rsidR="008072BC">
        <w:t>are</w:t>
      </w:r>
      <w:r w:rsidRPr="00B34407" w:rsidR="00A826BB">
        <w:t xml:space="preserve"> outstanding as of the date hereof, </w:t>
      </w:r>
      <w:r w:rsidRPr="00B34407">
        <w:t>th</w:t>
      </w:r>
      <w:r w:rsidRPr="00B34407" w:rsidR="00E07704">
        <w:t xml:space="preserve">e Authority has entered into </w:t>
      </w:r>
      <w:r w:rsidRPr="00B34407" w:rsidR="00931919">
        <w:t xml:space="preserve">an </w:t>
      </w:r>
      <w:r w:rsidRPr="00B34407">
        <w:t xml:space="preserve">ISDA Swap Agreement </w:t>
      </w:r>
      <w:r w:rsidRPr="00B34407" w:rsidR="00E07704">
        <w:t xml:space="preserve">(collectively the </w:t>
      </w:r>
      <w:r w:rsidR="00C34AEA">
        <w:t>“</w:t>
      </w:r>
      <w:r w:rsidRPr="00B34407" w:rsidR="00931919">
        <w:rPr>
          <w:i/>
        </w:rPr>
        <w:t>Swap</w:t>
      </w:r>
      <w:r w:rsidR="00C34AEA">
        <w:t>”</w:t>
      </w:r>
      <w:r w:rsidRPr="00B34407" w:rsidR="00E07704">
        <w:t xml:space="preserve">) </w:t>
      </w:r>
      <w:r w:rsidRPr="00B34407">
        <w:t>with</w:t>
      </w:r>
      <w:r w:rsidRPr="00B34407" w:rsidR="008E0C8C">
        <w:t xml:space="preserve"> The Bank of New York</w:t>
      </w:r>
      <w:r w:rsidR="00CC4E13">
        <w:t xml:space="preserve"> Mellon</w:t>
      </w:r>
      <w:r w:rsidRPr="00B34407" w:rsidR="008E0C8C">
        <w:t xml:space="preserve"> Trust Company, N.A., as</w:t>
      </w:r>
      <w:r w:rsidRPr="00B34407">
        <w:t xml:space="preserve"> counterpart</w:t>
      </w:r>
      <w:r w:rsidRPr="00B34407" w:rsidR="005177F0">
        <w:t>y</w:t>
      </w:r>
      <w:r w:rsidRPr="00B34407" w:rsidR="00E07704">
        <w:t xml:space="preserve"> (</w:t>
      </w:r>
      <w:r w:rsidRPr="00B34407" w:rsidR="005177F0">
        <w:t>the</w:t>
      </w:r>
      <w:r w:rsidRPr="00B34407" w:rsidR="00E07704">
        <w:t xml:space="preserve"> </w:t>
      </w:r>
      <w:r w:rsidR="00C34AEA">
        <w:t>“</w:t>
      </w:r>
      <w:r w:rsidRPr="00B34407" w:rsidR="00E07704">
        <w:rPr>
          <w:i/>
        </w:rPr>
        <w:t>Swap Counterparty</w:t>
      </w:r>
      <w:r w:rsidR="00C34AEA">
        <w:t>”</w:t>
      </w:r>
      <w:r w:rsidRPr="00B34407" w:rsidR="00E07704">
        <w:t xml:space="preserve">) </w:t>
      </w:r>
      <w:r w:rsidRPr="00B34407" w:rsidR="003C7AD4">
        <w:t>to reduce exposure to adverse fluctuations in interest rates and to lower the overall cost of financing</w:t>
      </w:r>
      <w:r w:rsidRPr="00B34407">
        <w:t xml:space="preserve"> </w:t>
      </w:r>
      <w:bookmarkStart w:name="_DV_C324" w:id="454"/>
      <w:r w:rsidRPr="00B34407">
        <w:t xml:space="preserve">as permitted by the Treasury </w:t>
      </w:r>
      <w:r w:rsidRPr="00767FBC">
        <w:t>Regulations</w:t>
      </w:r>
      <w:bookmarkStart w:name="_DV_M511" w:id="455"/>
      <w:bookmarkEnd w:id="454"/>
      <w:bookmarkEnd w:id="455"/>
      <w:r w:rsidRPr="00767FBC">
        <w:t xml:space="preserve">.  </w:t>
      </w:r>
    </w:p>
    <w:p w:rsidRPr="004348A9" w:rsidR="00473631" w:rsidP="00F828E4" w:rsidRDefault="00473631" w14:paraId="2986FE42" w14:textId="618B0FEB">
      <w:pPr>
        <w:pStyle w:val="BodyTextFirstIndent"/>
      </w:pPr>
      <w:r w:rsidRPr="00767FBC">
        <w:t>The following table sets forth certain information relating to the Authority</w:t>
      </w:r>
      <w:r w:rsidRPr="00767FBC" w:rsidR="00C34AEA">
        <w:t>’</w:t>
      </w:r>
      <w:r w:rsidRPr="00767FBC">
        <w:t xml:space="preserve">s </w:t>
      </w:r>
      <w:r w:rsidRPr="004348A9">
        <w:t>derivative tra</w:t>
      </w:r>
      <w:r w:rsidRPr="004348A9" w:rsidR="0084579E">
        <w:t xml:space="preserve">nsactions as of </w:t>
      </w:r>
      <w:r w:rsidR="004557E9">
        <w:t xml:space="preserve">July </w:t>
      </w:r>
      <w:r w:rsidRPr="004348A9" w:rsidR="006F4F6F">
        <w:t>1</w:t>
      </w:r>
      <w:r w:rsidR="00B120C4">
        <w:t>, 2024</w:t>
      </w:r>
      <w:r w:rsidRPr="004348A9" w:rsidR="00DB4DEE">
        <w:t>:</w:t>
      </w:r>
    </w:p>
    <w:tbl>
      <w:tblPr>
        <w:tblW w:w="9360" w:type="dxa"/>
        <w:tblInd w:w="114" w:type="dxa"/>
        <w:tblCellMar>
          <w:left w:w="0" w:type="dxa"/>
          <w:right w:w="0" w:type="dxa"/>
        </w:tblCellMar>
        <w:tblLook w:val="01E0" w:firstRow="1" w:lastRow="1" w:firstColumn="1" w:lastColumn="1" w:noHBand="0" w:noVBand="0"/>
      </w:tblPr>
      <w:tblGrid>
        <w:gridCol w:w="1488"/>
        <w:gridCol w:w="1245"/>
        <w:gridCol w:w="1161"/>
        <w:gridCol w:w="975"/>
        <w:gridCol w:w="2289"/>
        <w:gridCol w:w="989"/>
        <w:gridCol w:w="1213"/>
      </w:tblGrid>
      <w:tr w:rsidRPr="004557E9" w:rsidR="00473631" w:rsidTr="00F41691" w14:paraId="413B0712" w14:textId="77777777">
        <w:trPr>
          <w:cantSplit/>
        </w:trPr>
        <w:tc>
          <w:tcPr>
            <w:tcW w:w="1522" w:type="dxa"/>
            <w:tcBorders>
              <w:bottom w:val="single" w:color="auto" w:sz="4" w:space="0"/>
            </w:tcBorders>
            <w:vAlign w:val="bottom"/>
          </w:tcPr>
          <w:p w:rsidRPr="004557E9" w:rsidR="00473631" w:rsidP="00F828E4" w:rsidRDefault="00473631" w14:paraId="0D87E249" w14:textId="77777777">
            <w:pPr>
              <w:jc w:val="center"/>
            </w:pPr>
            <w:r w:rsidRPr="004557E9">
              <w:t>Bond</w:t>
            </w:r>
          </w:p>
          <w:p w:rsidRPr="004557E9" w:rsidR="00473631" w:rsidP="00F828E4" w:rsidRDefault="00473631" w14:paraId="3100D440" w14:textId="77777777">
            <w:pPr>
              <w:jc w:val="center"/>
            </w:pPr>
            <w:r w:rsidRPr="004557E9">
              <w:t>Series</w:t>
            </w:r>
          </w:p>
        </w:tc>
        <w:tc>
          <w:tcPr>
            <w:tcW w:w="1251" w:type="dxa"/>
            <w:tcBorders>
              <w:bottom w:val="single" w:color="auto" w:sz="4" w:space="0"/>
            </w:tcBorders>
            <w:vAlign w:val="bottom"/>
          </w:tcPr>
          <w:p w:rsidRPr="004557E9" w:rsidR="00473631" w:rsidP="00F828E4" w:rsidRDefault="00473631" w14:paraId="405635CD" w14:textId="77777777">
            <w:pPr>
              <w:jc w:val="center"/>
            </w:pPr>
            <w:r w:rsidRPr="004557E9">
              <w:t>Notional</w:t>
            </w:r>
          </w:p>
          <w:p w:rsidRPr="004557E9" w:rsidR="00473631" w:rsidP="00F828E4" w:rsidRDefault="00473631" w14:paraId="465AE179" w14:textId="77777777">
            <w:pPr>
              <w:jc w:val="center"/>
            </w:pPr>
            <w:r w:rsidRPr="004557E9">
              <w:t>Amounts</w:t>
            </w:r>
          </w:p>
        </w:tc>
        <w:tc>
          <w:tcPr>
            <w:tcW w:w="1176" w:type="dxa"/>
            <w:tcBorders>
              <w:bottom w:val="single" w:color="auto" w:sz="4" w:space="0"/>
            </w:tcBorders>
            <w:vAlign w:val="bottom"/>
          </w:tcPr>
          <w:p w:rsidRPr="004557E9" w:rsidR="00473631" w:rsidP="00F828E4" w:rsidRDefault="00473631" w14:paraId="0551127D" w14:textId="77777777">
            <w:pPr>
              <w:jc w:val="center"/>
            </w:pPr>
            <w:r w:rsidRPr="004557E9">
              <w:t>Effective Date</w:t>
            </w:r>
          </w:p>
        </w:tc>
        <w:tc>
          <w:tcPr>
            <w:tcW w:w="982" w:type="dxa"/>
            <w:tcBorders>
              <w:bottom w:val="single" w:color="auto" w:sz="4" w:space="0"/>
            </w:tcBorders>
            <w:vAlign w:val="bottom"/>
          </w:tcPr>
          <w:p w:rsidRPr="004557E9" w:rsidR="00473631" w:rsidP="00F828E4" w:rsidRDefault="00473631" w14:paraId="167FBB63" w14:textId="77777777">
            <w:pPr>
              <w:jc w:val="center"/>
            </w:pPr>
            <w:r w:rsidRPr="004557E9">
              <w:t>Fixed Rate Paid</w:t>
            </w:r>
          </w:p>
        </w:tc>
        <w:tc>
          <w:tcPr>
            <w:tcW w:w="2335" w:type="dxa"/>
            <w:tcBorders>
              <w:bottom w:val="single" w:color="auto" w:sz="4" w:space="0"/>
            </w:tcBorders>
            <w:vAlign w:val="bottom"/>
          </w:tcPr>
          <w:p w:rsidRPr="004557E9" w:rsidR="00473631" w:rsidP="00F828E4" w:rsidRDefault="00473631" w14:paraId="092BDD70" w14:textId="77777777">
            <w:pPr>
              <w:jc w:val="center"/>
            </w:pPr>
            <w:r w:rsidRPr="004557E9">
              <w:t>Variable</w:t>
            </w:r>
          </w:p>
          <w:p w:rsidRPr="004557E9" w:rsidR="00473631" w:rsidP="00F828E4" w:rsidRDefault="00473631" w14:paraId="72DAD186" w14:textId="57CAC7FC">
            <w:pPr>
              <w:jc w:val="center"/>
            </w:pPr>
            <w:r w:rsidRPr="004557E9">
              <w:t>Rate</w:t>
            </w:r>
          </w:p>
          <w:p w:rsidRPr="004557E9" w:rsidR="00473631" w:rsidP="00F828E4" w:rsidRDefault="00473631" w14:paraId="4FA4F897" w14:textId="77777777">
            <w:pPr>
              <w:jc w:val="center"/>
            </w:pPr>
            <w:r w:rsidRPr="004557E9">
              <w:t>Received</w:t>
            </w:r>
          </w:p>
        </w:tc>
        <w:tc>
          <w:tcPr>
            <w:tcW w:w="873" w:type="dxa"/>
            <w:tcBorders>
              <w:bottom w:val="single" w:color="auto" w:sz="4" w:space="0"/>
            </w:tcBorders>
            <w:vAlign w:val="bottom"/>
          </w:tcPr>
          <w:p w:rsidRPr="004557E9" w:rsidR="00473631" w:rsidP="00F828E4" w:rsidRDefault="00473631" w14:paraId="184C76C0" w14:textId="77777777">
            <w:pPr>
              <w:jc w:val="center"/>
            </w:pPr>
            <w:r w:rsidRPr="004557E9">
              <w:t>Swap</w:t>
            </w:r>
          </w:p>
          <w:p w:rsidRPr="004557E9" w:rsidR="00473631" w:rsidP="00F828E4" w:rsidRDefault="00473631" w14:paraId="487465C3" w14:textId="77777777">
            <w:pPr>
              <w:jc w:val="center"/>
            </w:pPr>
            <w:r w:rsidRPr="004557E9">
              <w:t>Termination Date</w:t>
            </w:r>
          </w:p>
        </w:tc>
        <w:tc>
          <w:tcPr>
            <w:tcW w:w="1221" w:type="dxa"/>
            <w:tcBorders>
              <w:bottom w:val="single" w:color="auto" w:sz="4" w:space="0"/>
            </w:tcBorders>
            <w:vAlign w:val="bottom"/>
          </w:tcPr>
          <w:p w:rsidRPr="004557E9" w:rsidR="00473631" w:rsidP="00F828E4" w:rsidRDefault="00473631" w14:paraId="3470C4A7" w14:textId="77777777">
            <w:pPr>
              <w:jc w:val="center"/>
            </w:pPr>
            <w:r w:rsidRPr="004557E9">
              <w:t>Optional</w:t>
            </w:r>
          </w:p>
          <w:p w:rsidRPr="004557E9" w:rsidR="00473631" w:rsidP="00F828E4" w:rsidRDefault="00473631" w14:paraId="65351A33" w14:textId="77777777">
            <w:pPr>
              <w:jc w:val="center"/>
            </w:pPr>
            <w:r w:rsidRPr="004557E9">
              <w:t>Early Termination Date</w:t>
            </w:r>
          </w:p>
        </w:tc>
      </w:tr>
      <w:tr w:rsidRPr="004557E9" w:rsidR="00F41691" w:rsidTr="00F41691" w14:paraId="65D6860B" w14:textId="77777777">
        <w:trPr>
          <w:cantSplit/>
        </w:trPr>
        <w:tc>
          <w:tcPr>
            <w:tcW w:w="1522" w:type="dxa"/>
            <w:tcBorders>
              <w:top w:val="single" w:color="auto" w:sz="4" w:space="0"/>
            </w:tcBorders>
          </w:tcPr>
          <w:p w:rsidRPr="004557E9" w:rsidR="00F41691" w:rsidP="00F41691" w:rsidRDefault="00F41691" w14:paraId="108B10A3" w14:textId="77777777">
            <w:r w:rsidRPr="004557E9">
              <w:t>2017 Series B-3</w:t>
            </w:r>
          </w:p>
        </w:tc>
        <w:tc>
          <w:tcPr>
            <w:tcW w:w="1251" w:type="dxa"/>
            <w:tcBorders>
              <w:top w:val="single" w:color="auto" w:sz="4" w:space="0"/>
            </w:tcBorders>
          </w:tcPr>
          <w:p w:rsidRPr="004557E9" w:rsidR="00F41691" w:rsidP="00F41691" w:rsidRDefault="00F41691" w14:paraId="420A018D" w14:textId="74DA9D62">
            <w:pPr>
              <w:tabs>
                <w:tab w:val="decimal" w:pos="1053"/>
              </w:tabs>
            </w:pPr>
            <w:r w:rsidRPr="004557E9">
              <w:t>$17,250,000</w:t>
            </w:r>
          </w:p>
        </w:tc>
        <w:tc>
          <w:tcPr>
            <w:tcW w:w="1176" w:type="dxa"/>
            <w:tcBorders>
              <w:top w:val="single" w:color="auto" w:sz="4" w:space="0"/>
            </w:tcBorders>
          </w:tcPr>
          <w:p w:rsidRPr="004557E9" w:rsidR="00F41691" w:rsidP="00F41691" w:rsidRDefault="00F41691" w14:paraId="14EA4AE1" w14:textId="17B3C564">
            <w:pPr>
              <w:jc w:val="center"/>
            </w:pPr>
            <w:r w:rsidRPr="004557E9">
              <w:t>1/1/2018</w:t>
            </w:r>
          </w:p>
        </w:tc>
        <w:tc>
          <w:tcPr>
            <w:tcW w:w="982" w:type="dxa"/>
            <w:tcBorders>
              <w:top w:val="single" w:color="auto" w:sz="4" w:space="0"/>
            </w:tcBorders>
          </w:tcPr>
          <w:p w:rsidRPr="004557E9" w:rsidR="00F41691" w:rsidP="00F41691" w:rsidRDefault="00F41691" w14:paraId="7B47463E" w14:textId="74AD101A">
            <w:pPr>
              <w:tabs>
                <w:tab w:val="decimal" w:pos="242"/>
              </w:tabs>
            </w:pPr>
            <w:r w:rsidRPr="004557E9">
              <w:t>2.420%</w:t>
            </w:r>
          </w:p>
        </w:tc>
        <w:tc>
          <w:tcPr>
            <w:tcW w:w="2335" w:type="dxa"/>
            <w:tcBorders>
              <w:top w:val="single" w:color="auto" w:sz="4" w:space="0"/>
            </w:tcBorders>
          </w:tcPr>
          <w:p w:rsidRPr="004557E9" w:rsidR="00F41691" w:rsidP="007D72FC" w:rsidRDefault="007D72FC" w14:paraId="785EB4AD" w14:textId="4EFC0E6D">
            <w:pPr>
              <w:jc w:val="center"/>
            </w:pPr>
            <w:r w:rsidRPr="004557E9">
              <w:t>70%</w:t>
            </w:r>
            <w:r w:rsidRPr="004557E9" w:rsidR="00F41691">
              <w:t xml:space="preserve"> SOFR +0.18313%</w:t>
            </w:r>
          </w:p>
        </w:tc>
        <w:tc>
          <w:tcPr>
            <w:tcW w:w="873" w:type="dxa"/>
            <w:tcBorders>
              <w:top w:val="single" w:color="auto" w:sz="4" w:space="0"/>
            </w:tcBorders>
          </w:tcPr>
          <w:p w:rsidRPr="004557E9" w:rsidR="00F41691" w:rsidP="00F41691" w:rsidRDefault="00F41691" w14:paraId="6446504C" w14:textId="77777777">
            <w:pPr>
              <w:jc w:val="center"/>
            </w:pPr>
            <w:r w:rsidRPr="004557E9">
              <w:t>7/1/2047</w:t>
            </w:r>
          </w:p>
        </w:tc>
        <w:tc>
          <w:tcPr>
            <w:tcW w:w="1221" w:type="dxa"/>
            <w:tcBorders>
              <w:top w:val="single" w:color="auto" w:sz="4" w:space="0"/>
            </w:tcBorders>
          </w:tcPr>
          <w:p w:rsidRPr="004557E9" w:rsidR="00F41691" w:rsidP="00F41691" w:rsidRDefault="00F41691" w14:paraId="788372C2" w14:textId="77777777">
            <w:pPr>
              <w:jc w:val="center"/>
            </w:pPr>
            <w:r w:rsidRPr="004557E9">
              <w:t>7/1/2024</w:t>
            </w:r>
          </w:p>
        </w:tc>
      </w:tr>
      <w:tr w:rsidRPr="004348A9" w:rsidR="00F41691" w:rsidTr="00F41691" w14:paraId="42FC3295" w14:textId="77777777">
        <w:trPr>
          <w:cantSplit/>
        </w:trPr>
        <w:tc>
          <w:tcPr>
            <w:tcW w:w="1522" w:type="dxa"/>
          </w:tcPr>
          <w:p w:rsidRPr="004557E9" w:rsidR="00F41691" w:rsidP="00F41691" w:rsidRDefault="00F41691" w14:paraId="71E140B7" w14:textId="77777777">
            <w:r w:rsidRPr="004557E9">
              <w:t>2017 Series C-3</w:t>
            </w:r>
          </w:p>
        </w:tc>
        <w:tc>
          <w:tcPr>
            <w:tcW w:w="1251" w:type="dxa"/>
          </w:tcPr>
          <w:p w:rsidRPr="004557E9" w:rsidR="00F41691" w:rsidP="00F41691" w:rsidRDefault="00F41691" w14:paraId="697C9BD2" w14:textId="78F4A12B">
            <w:pPr>
              <w:tabs>
                <w:tab w:val="decimal" w:pos="1053"/>
              </w:tabs>
            </w:pPr>
            <w:r w:rsidRPr="004557E9">
              <w:t>$15,525,000</w:t>
            </w:r>
          </w:p>
        </w:tc>
        <w:tc>
          <w:tcPr>
            <w:tcW w:w="1176" w:type="dxa"/>
          </w:tcPr>
          <w:p w:rsidRPr="004557E9" w:rsidR="00F41691" w:rsidP="00F41691" w:rsidRDefault="00F41691" w14:paraId="6C72C458" w14:textId="77777777">
            <w:pPr>
              <w:jc w:val="center"/>
            </w:pPr>
            <w:r w:rsidRPr="004557E9">
              <w:t>7/1/2018</w:t>
            </w:r>
          </w:p>
        </w:tc>
        <w:tc>
          <w:tcPr>
            <w:tcW w:w="982" w:type="dxa"/>
          </w:tcPr>
          <w:p w:rsidRPr="004557E9" w:rsidR="00F41691" w:rsidP="00F41691" w:rsidRDefault="00F41691" w14:paraId="09E343E1" w14:textId="2127E5C7">
            <w:pPr>
              <w:tabs>
                <w:tab w:val="decimal" w:pos="242"/>
              </w:tabs>
            </w:pPr>
            <w:r w:rsidRPr="004557E9">
              <w:t>2.495%</w:t>
            </w:r>
          </w:p>
        </w:tc>
        <w:tc>
          <w:tcPr>
            <w:tcW w:w="2335" w:type="dxa"/>
          </w:tcPr>
          <w:p w:rsidRPr="004557E9" w:rsidR="00F41691" w:rsidP="007D72FC" w:rsidRDefault="00F41691" w14:paraId="6EAFD565" w14:textId="7B664A06">
            <w:pPr>
              <w:jc w:val="center"/>
            </w:pPr>
            <w:r w:rsidRPr="004557E9">
              <w:t>70% SOFR +0.18313%</w:t>
            </w:r>
          </w:p>
        </w:tc>
        <w:tc>
          <w:tcPr>
            <w:tcW w:w="873" w:type="dxa"/>
          </w:tcPr>
          <w:p w:rsidRPr="004557E9" w:rsidR="00F41691" w:rsidP="00F41691" w:rsidRDefault="00F41691" w14:paraId="6A9A688B" w14:textId="77777777">
            <w:pPr>
              <w:jc w:val="center"/>
            </w:pPr>
            <w:r w:rsidRPr="004557E9">
              <w:t>7/1/2047</w:t>
            </w:r>
          </w:p>
        </w:tc>
        <w:tc>
          <w:tcPr>
            <w:tcW w:w="1221" w:type="dxa"/>
          </w:tcPr>
          <w:p w:rsidRPr="004348A9" w:rsidR="00F41691" w:rsidP="00F41691" w:rsidRDefault="00F41691" w14:paraId="40A98911" w14:textId="77777777">
            <w:pPr>
              <w:jc w:val="center"/>
            </w:pPr>
            <w:r w:rsidRPr="004557E9">
              <w:t>7/1/2025</w:t>
            </w:r>
          </w:p>
        </w:tc>
      </w:tr>
    </w:tbl>
    <w:p w:rsidRPr="004348A9" w:rsidR="008072BC" w:rsidP="00F828E4" w:rsidRDefault="008072BC" w14:paraId="643268AE" w14:textId="77777777"/>
    <w:p w:rsidRPr="00B34407" w:rsidR="003C7AD4" w:rsidP="003C7AD4" w:rsidRDefault="003C7AD4" w14:paraId="799DFBD3" w14:textId="77777777">
      <w:pPr>
        <w:pStyle w:val="BodyTextFirstIndent"/>
      </w:pPr>
      <w:r w:rsidRPr="004348A9">
        <w:t>The Authority may also</w:t>
      </w:r>
      <w:r w:rsidRPr="004348A9" w:rsidR="003706F7">
        <w:t xml:space="preserve"> in the future</w:t>
      </w:r>
      <w:r w:rsidRPr="004348A9">
        <w:t xml:space="preserve"> utilize additional interest rate swaps or other hedging instruments provided by other counterparties to reduce exposure to adverse fluctuations in interest rates and to</w:t>
      </w:r>
      <w:r w:rsidRPr="00B34407">
        <w:t xml:space="preserve"> lower the overall cost of financing.</w:t>
      </w:r>
    </w:p>
    <w:p w:rsidR="00A06955" w:rsidP="003D26A1" w:rsidRDefault="00931919" w14:paraId="70FBABE3" w14:textId="15BDAECD">
      <w:pPr>
        <w:pStyle w:val="BodyTextFirstIndent"/>
      </w:pPr>
      <w:r w:rsidRPr="00B34407">
        <w:t>The Swap</w:t>
      </w:r>
      <w:r w:rsidRPr="00B34407" w:rsidR="003D26A1">
        <w:t>, like a</w:t>
      </w:r>
      <w:r w:rsidRPr="00B34407">
        <w:t>ll derivative transactions, has</w:t>
      </w:r>
      <w:r w:rsidRPr="00B34407" w:rsidR="003D26A1">
        <w:t xml:space="preserve"> inherent risks associated with termination, collateral posting, counterparty failure and basis risk.  Specifically, the Authority may be obligated, if its </w:t>
      </w:r>
      <w:r w:rsidRPr="00B34407" w:rsidR="005177F0">
        <w:t>bond</w:t>
      </w:r>
      <w:r w:rsidRPr="00B34407" w:rsidR="003D26A1">
        <w:t xml:space="preserve"> credit rating deteriorates, to post collateral to secure its obligations to </w:t>
      </w:r>
      <w:r w:rsidRPr="00B34407" w:rsidR="005177F0">
        <w:t>the</w:t>
      </w:r>
      <w:r w:rsidRPr="00B34407" w:rsidR="003D26A1">
        <w:t xml:space="preserve"> Swap Counterparty</w:t>
      </w:r>
      <w:r w:rsidRPr="00B34407" w:rsidR="00E07704">
        <w:t xml:space="preserve"> or the Authority may owe a termination fee to </w:t>
      </w:r>
      <w:r w:rsidRPr="00B34407" w:rsidR="005177F0">
        <w:t>the</w:t>
      </w:r>
      <w:r w:rsidRPr="00B34407" w:rsidR="00E07704">
        <w:t xml:space="preserve"> Swap Counterparty upon termination of </w:t>
      </w:r>
      <w:r w:rsidRPr="00B34407" w:rsidR="005177F0">
        <w:t>the</w:t>
      </w:r>
      <w:r w:rsidRPr="00B34407" w:rsidR="00E07704">
        <w:t xml:space="preserve"> Swap</w:t>
      </w:r>
      <w:r w:rsidRPr="00B34407" w:rsidR="003D26A1">
        <w:t xml:space="preserve">.  </w:t>
      </w:r>
      <w:r w:rsidRPr="00B34407" w:rsidR="00E07704">
        <w:t>Also, if a Swap Counterparty fails to satisfy its obligations under a Swap, the Authority would be required to pay interest on unhedged variable rate debt.  In addition, while the interest index that forms the basis for determining what payments are owed to the Authority by a Swap Counterparty is designed to approximately equal</w:t>
      </w:r>
      <w:r w:rsidRPr="00B34407" w:rsidR="005177F0">
        <w:t xml:space="preserve"> a portion of</w:t>
      </w:r>
      <w:r w:rsidRPr="00B34407" w:rsidR="00E07704">
        <w:t xml:space="preserve"> the interest paid on the Authority</w:t>
      </w:r>
      <w:r w:rsidR="00C34AEA">
        <w:t>’</w:t>
      </w:r>
      <w:r w:rsidRPr="00B34407" w:rsidR="00E07704">
        <w:t>s related Bonds, there is no assurance that the payments receiv</w:t>
      </w:r>
      <w:r w:rsidRPr="00B34407" w:rsidR="00BF6603">
        <w:t>ed by the Authority on the Swap</w:t>
      </w:r>
      <w:r w:rsidRPr="00B34407" w:rsidR="00E07704">
        <w:t xml:space="preserve"> will in fact approximate the </w:t>
      </w:r>
      <w:r w:rsidRPr="00B34407" w:rsidR="003C7AD4">
        <w:t xml:space="preserve">portion of the </w:t>
      </w:r>
      <w:r w:rsidRPr="00B34407" w:rsidR="00E07704">
        <w:t xml:space="preserve">interest paid on </w:t>
      </w:r>
      <w:r w:rsidRPr="00B34407" w:rsidR="005177F0">
        <w:t>such</w:t>
      </w:r>
      <w:r w:rsidRPr="00B34407" w:rsidR="00E07704">
        <w:t xml:space="preserve"> Bonds, creating the potential for an effective higher or lower yield than was expected.  If the net actual hedged yield is less than expected, the Authority must either reduce payments due on the Mortgage Certificates or make a Yield Reduction Payment to the Internal Revenue Service to protect the tax exemption of the related Bonds. </w:t>
      </w:r>
    </w:p>
    <w:p w:rsidRPr="00B34407" w:rsidR="00AF72E5" w:rsidP="00F828E4" w:rsidRDefault="00AF72E5" w14:paraId="7F49CFA1" w14:textId="77777777">
      <w:pPr>
        <w:pStyle w:val="aHEADINGSUB"/>
      </w:pPr>
      <w:bookmarkStart w:name="_DV_M509" w:id="456"/>
      <w:bookmarkStart w:name="_DV_M510" w:id="457"/>
      <w:bookmarkStart w:name="_DV_M513" w:id="458"/>
      <w:bookmarkStart w:name="_Toc534620354" w:id="459"/>
      <w:bookmarkStart w:name="_Toc534620464" w:id="460"/>
      <w:bookmarkStart w:name="_Toc534620582" w:id="461"/>
      <w:bookmarkStart w:name="_Toc534620903" w:id="462"/>
      <w:bookmarkStart w:name="_Toc534621134" w:id="463"/>
      <w:bookmarkStart w:name="_Toc172841953" w:id="464"/>
      <w:bookmarkEnd w:id="456"/>
      <w:bookmarkEnd w:id="457"/>
      <w:bookmarkEnd w:id="458"/>
      <w:r w:rsidRPr="00B34407">
        <w:t>Program Expenses and Administrative Fee</w:t>
      </w:r>
      <w:bookmarkEnd w:id="459"/>
      <w:bookmarkEnd w:id="460"/>
      <w:bookmarkEnd w:id="461"/>
      <w:bookmarkEnd w:id="462"/>
      <w:bookmarkEnd w:id="463"/>
      <w:bookmarkEnd w:id="464"/>
    </w:p>
    <w:p w:rsidRPr="00B34407" w:rsidR="00AF72E5" w:rsidP="00AF72E5" w:rsidRDefault="00AF72E5" w14:paraId="4DAF45FA" w14:textId="20DC4467">
      <w:pPr>
        <w:pStyle w:val="BodyTextFirstIndent"/>
      </w:pPr>
      <w:bookmarkStart w:name="_DV_M514" w:id="465"/>
      <w:bookmarkEnd w:id="465"/>
      <w:r w:rsidRPr="00B34407">
        <w:t>The Indenture permits the Trustee to transfer at any time, upon the written direction of an Authorized Officer, any amounts on deposit in the Revenue Account to the general operating funds of the Authority for the purpose of paying reasonable and necessary Program Expenses for the then current Fiscal Year.  The Indenture places no limitation on the amount of Program Expenses which may be withdrawn from the Revenue Account by the Authority.  In addition, the Indenture permits the payment of a fee to the Authority for administering the Program</w:t>
      </w:r>
      <w:r w:rsidRPr="00B34407" w:rsidR="003C7AD4">
        <w:t>s</w:t>
      </w:r>
      <w:r w:rsidRPr="00B34407">
        <w:t xml:space="preserve">, which Administrative Fee will be as provided in </w:t>
      </w:r>
      <w:r w:rsidRPr="00B34407" w:rsidR="00970245">
        <w:t>the Supplemental Indenture for ea</w:t>
      </w:r>
      <w:r w:rsidRPr="00B34407">
        <w:t xml:space="preserve">ch series of Bonds.  See </w:t>
      </w:r>
      <w:r w:rsidR="00C34AEA">
        <w:t>“</w:t>
      </w:r>
      <w:r w:rsidRPr="00B34407">
        <w:t>SINGLE FAMILY MORTGAGE PROGRAM—Program Expenses and Administrative Fee</w:t>
      </w:r>
      <w:r w:rsidR="00C34AEA">
        <w:t>”</w:t>
      </w:r>
      <w:r w:rsidRPr="00B34407" w:rsidR="003C7AD4">
        <w:t xml:space="preserve"> herein</w:t>
      </w:r>
      <w:r w:rsidRPr="00B34407">
        <w:t xml:space="preserve"> and </w:t>
      </w:r>
      <w:r w:rsidR="00C34AEA">
        <w:t>“</w:t>
      </w:r>
      <w:r w:rsidRPr="00B34407">
        <w:t>APPENDIX D: SUMMARY OF CERTAIN PROVISIONS OF INDENTURE—Revenue Account</w:t>
      </w:r>
      <w:r w:rsidR="00C34AEA">
        <w:t>”</w:t>
      </w:r>
      <w:r w:rsidRPr="00B34407" w:rsidR="003C7AD4">
        <w:t xml:space="preserve"> attached hereto.</w:t>
      </w:r>
    </w:p>
    <w:p w:rsidRPr="00B34407" w:rsidR="00BA1616" w:rsidP="00473631" w:rsidRDefault="003C7AD4" w14:paraId="07EB3445" w14:textId="7E19782C">
      <w:pPr>
        <w:pStyle w:val="BodyTextFirstIndent"/>
      </w:pPr>
      <w:r w:rsidRPr="00B34407">
        <w:t xml:space="preserve">Pursuant to the Indenture, the Authority is permitted to transfer moneys from the Revenue Account to the Swap Payment Account so long as the remaining amounts in the Revenue Account, together with investments held in </w:t>
      </w:r>
      <w:bookmarkStart w:name="ElPgBr41" w:id="466"/>
      <w:bookmarkEnd w:id="466"/>
      <w:r w:rsidRPr="00B34407">
        <w:t xml:space="preserve">the Loan Account, exceed 103% of the principal amount of outstanding Bonds.  See </w:t>
      </w:r>
      <w:r w:rsidR="00C34AEA">
        <w:t>“</w:t>
      </w:r>
      <w:r w:rsidRPr="00B34407">
        <w:t xml:space="preserve">APPENDIX </w:t>
      </w:r>
      <w:r w:rsidRPr="00B34407" w:rsidR="00872C7B">
        <w:t>D</w:t>
      </w:r>
      <w:r w:rsidRPr="00B34407">
        <w:t xml:space="preserve">:  </w:t>
      </w:r>
      <w:r w:rsidRPr="00B34407" w:rsidR="00872C7B">
        <w:t>SUMMARY OF CERTAIN PROVISIONS OF INDENTURE</w:t>
      </w:r>
      <w:r w:rsidR="00C34AEA">
        <w:t>”</w:t>
      </w:r>
      <w:r w:rsidRPr="00B34407" w:rsidR="00CB661F">
        <w:t xml:space="preserve"> attached hereto.</w:t>
      </w:r>
      <w:bookmarkStart w:name="_DV_M515" w:id="467"/>
      <w:bookmarkEnd w:id="467"/>
    </w:p>
    <w:p w:rsidRPr="00B34407" w:rsidR="00AF72E5" w:rsidP="00F828E4" w:rsidRDefault="00AF72E5" w14:paraId="57003DDB" w14:textId="77777777">
      <w:pPr>
        <w:pStyle w:val="aHEADINGSUB"/>
      </w:pPr>
      <w:bookmarkStart w:name="_Toc534620355" w:id="468"/>
      <w:bookmarkStart w:name="_Toc534620465" w:id="469"/>
      <w:bookmarkStart w:name="_Toc534620583" w:id="470"/>
      <w:bookmarkStart w:name="_Toc534620904" w:id="471"/>
      <w:bookmarkStart w:name="_Toc534621135" w:id="472"/>
      <w:bookmarkStart w:name="_Toc172841954" w:id="473"/>
      <w:r w:rsidRPr="00B34407">
        <w:lastRenderedPageBreak/>
        <w:t>Non-Origination</w:t>
      </w:r>
      <w:bookmarkEnd w:id="468"/>
      <w:bookmarkEnd w:id="469"/>
      <w:bookmarkEnd w:id="470"/>
      <w:bookmarkEnd w:id="471"/>
      <w:bookmarkEnd w:id="472"/>
      <w:bookmarkEnd w:id="473"/>
    </w:p>
    <w:p w:rsidRPr="00B34407" w:rsidR="00AF72E5" w:rsidP="00AF72E5" w:rsidRDefault="00AF72E5" w14:paraId="3F51D0F4" w14:textId="687AA9F8">
      <w:pPr>
        <w:pStyle w:val="BodyTextFirstIndent"/>
      </w:pPr>
      <w:bookmarkStart w:name="_DV_M516" w:id="474"/>
      <w:bookmarkEnd w:id="474"/>
      <w:r w:rsidRPr="00B34407">
        <w:t>There can be no assurance that the Le</w:t>
      </w:r>
      <w:r w:rsidRPr="00B34407" w:rsidR="00BF6603">
        <w:t xml:space="preserve">nders will be able to originate </w:t>
      </w:r>
      <w:r w:rsidR="00C7294C">
        <w:t>2024 Series C</w:t>
      </w:r>
      <w:r w:rsidR="00C635EB">
        <w:t xml:space="preserve"> Mortgage Loans</w:t>
      </w:r>
      <w:r w:rsidRPr="00B34407">
        <w:t xml:space="preserve"> or that the Servicer will be able to purchase </w:t>
      </w:r>
      <w:r w:rsidR="00C7294C">
        <w:t>2024 Series C</w:t>
      </w:r>
      <w:r w:rsidR="00C635EB">
        <w:t xml:space="preserve"> Mortgage Loans</w:t>
      </w:r>
      <w:r w:rsidRPr="00B34407">
        <w:t xml:space="preserve"> from Lenders or to sell </w:t>
      </w:r>
      <w:r w:rsidR="00C7294C">
        <w:t>2024 Series C</w:t>
      </w:r>
      <w:r w:rsidR="00AE3D2B">
        <w:t xml:space="preserve"> Mortgage</w:t>
      </w:r>
      <w:r w:rsidRPr="00B34407">
        <w:t xml:space="preserve"> Certificates backed by Mortgage Loans</w:t>
      </w:r>
      <w:r w:rsidRPr="00B34407" w:rsidR="003C7AD4">
        <w:t xml:space="preserve"> </w:t>
      </w:r>
      <w:r w:rsidRPr="00B34407">
        <w:t xml:space="preserve">to the Trustee in the amounts and by the times contemplated by this financing.  Under the Origination Agreements, the Lenders are not committed to originate any </w:t>
      </w:r>
      <w:r w:rsidR="00C7294C">
        <w:t>2024 Series C</w:t>
      </w:r>
      <w:r w:rsidR="00C635EB">
        <w:t xml:space="preserve"> Mortgage Loans</w:t>
      </w:r>
      <w:r w:rsidRPr="00B34407">
        <w:t>.  Rather, the Origination Agreements provide for a first-come, first-served reservation procedure, which does not require Lenders to pay any reservation fee, or c</w:t>
      </w:r>
      <w:r w:rsidRPr="00B34407" w:rsidR="00BF6603">
        <w:t xml:space="preserve">ommit to the origination of any </w:t>
      </w:r>
      <w:r w:rsidR="00C7294C">
        <w:t>2024 Series C</w:t>
      </w:r>
      <w:r w:rsidR="00C635EB">
        <w:t xml:space="preserve"> Mortgage Loans</w:t>
      </w:r>
      <w:r w:rsidRPr="00B34407">
        <w:t xml:space="preserve">, until the Lender has received a completed </w:t>
      </w:r>
      <w:r w:rsidR="00C7294C">
        <w:t>2024 Series C</w:t>
      </w:r>
      <w:r w:rsidR="00AE3D2B">
        <w:t xml:space="preserve"> Mortgage</w:t>
      </w:r>
      <w:r w:rsidR="006B5AC6">
        <w:t xml:space="preserve"> Loan</w:t>
      </w:r>
      <w:r w:rsidRPr="00B34407">
        <w:t xml:space="preserve"> application.  Each Lender</w:t>
      </w:r>
      <w:r w:rsidR="00C34AEA">
        <w:t>’</w:t>
      </w:r>
      <w:r w:rsidRPr="00B34407">
        <w:t>s competition in making real estate loans in the State normally comes primarily from savings and loan associations, commercial banks, mortgage bankers and qualifying lenders in the area.  One of the principal factors in competing for such real estate loan business is the interest rate charged in combination with the discount</w:t>
      </w:r>
      <w:r w:rsidR="00CB6980">
        <w:t>,</w:t>
      </w:r>
      <w:r w:rsidRPr="00B34407">
        <w:t xml:space="preserve"> origination fees to be </w:t>
      </w:r>
      <w:r w:rsidR="00D043EE">
        <w:t>charged and the amount of down payment assistance provided</w:t>
      </w:r>
      <w:r w:rsidRPr="00B34407">
        <w:t>.  Although the Authority may change the fixed interest rate at which</w:t>
      </w:r>
      <w:r w:rsidRPr="00B34407" w:rsidR="00437C74">
        <w:t xml:space="preserve"> </w:t>
      </w:r>
      <w:r w:rsidR="00C7294C">
        <w:t>2024 Series C</w:t>
      </w:r>
      <w:r w:rsidR="00C635EB">
        <w:t xml:space="preserve"> Mortgage Loans</w:t>
      </w:r>
      <w:r w:rsidRPr="00B34407">
        <w:t xml:space="preserve"> are originated in order to maintain rates at competitive levels as described below, economic and financial considerations of the Authority, requirements of the Indenture and federal tax laws and regulations </w:t>
      </w:r>
      <w:r w:rsidRPr="009513BD">
        <w:t>may limit the ability of the Authority to maintain competitive interest rates.</w:t>
      </w:r>
      <w:r w:rsidRPr="009513BD" w:rsidR="00264B8D">
        <w:t xml:space="preserve">  </w:t>
      </w:r>
      <w:r w:rsidRPr="009513BD" w:rsidR="00F502B9">
        <w:t xml:space="preserve">As </w:t>
      </w:r>
      <w:r w:rsidRPr="00F41691" w:rsidR="00F502B9">
        <w:t xml:space="preserve">of </w:t>
      </w:r>
      <w:r w:rsidR="00787B4D">
        <w:t>July 11</w:t>
      </w:r>
      <w:r w:rsidRPr="00F41691" w:rsidR="00824C61">
        <w:t>, 202</w:t>
      </w:r>
      <w:r w:rsidR="00D8182D">
        <w:t>4</w:t>
      </w:r>
      <w:r w:rsidRPr="00F41691" w:rsidR="00F502B9">
        <w:t xml:space="preserve">, the Authority had approximately </w:t>
      </w:r>
      <w:r w:rsidRPr="00F41691" w:rsidR="001D6BDE">
        <w:rPr>
          <w:bCs/>
        </w:rPr>
        <w:t>$</w:t>
      </w:r>
      <w:r w:rsidR="00787B4D">
        <w:t>105,200,000</w:t>
      </w:r>
      <w:r w:rsidR="00D8182D">
        <w:t xml:space="preserve"> </w:t>
      </w:r>
      <w:r w:rsidRPr="00F41691" w:rsidR="00953CF9">
        <w:t xml:space="preserve">in unexpended </w:t>
      </w:r>
      <w:r w:rsidRPr="00F41691" w:rsidR="00E63693">
        <w:t>202</w:t>
      </w:r>
      <w:r w:rsidR="00D8182D">
        <w:t>4</w:t>
      </w:r>
      <w:r w:rsidRPr="00F41691" w:rsidR="00E63693">
        <w:t xml:space="preserve"> Series </w:t>
      </w:r>
      <w:r w:rsidR="00D8182D">
        <w:t>B</w:t>
      </w:r>
      <w:r w:rsidRPr="00F41691" w:rsidR="00953CF9">
        <w:t xml:space="preserve"> proceeds</w:t>
      </w:r>
      <w:r w:rsidRPr="00F41691" w:rsidR="00934CA1">
        <w:t xml:space="preserve"> and other lendable</w:t>
      </w:r>
      <w:r w:rsidRPr="00F41691" w:rsidR="001D6BDE">
        <w:t xml:space="preserve"> and recycling</w:t>
      </w:r>
      <w:r w:rsidRPr="00F41691" w:rsidR="00934CA1">
        <w:t xml:space="preserve"> proceeds</w:t>
      </w:r>
      <w:r w:rsidRPr="00F41691" w:rsidR="00953CF9">
        <w:t xml:space="preserve">, however, the Authority has accepted approximately </w:t>
      </w:r>
      <w:r w:rsidRPr="00F41691" w:rsidR="000B3100">
        <w:rPr>
          <w:bCs/>
        </w:rPr>
        <w:t>$</w:t>
      </w:r>
      <w:r w:rsidR="00787B4D">
        <w:t>202,810,000</w:t>
      </w:r>
      <w:r w:rsidRPr="00F41691" w:rsidR="00953CF9">
        <w:t xml:space="preserve"> of reservations for Mortgage Loans</w:t>
      </w:r>
      <w:r w:rsidRPr="00F41691" w:rsidR="00F17AA3">
        <w:t xml:space="preserve"> </w:t>
      </w:r>
      <w:r w:rsidRPr="00F41691" w:rsidR="002474FB">
        <w:t>a substantial portion of which are</w:t>
      </w:r>
      <w:r w:rsidRPr="00F41691" w:rsidR="00953CF9">
        <w:t xml:space="preserve"> intended to be purchased in the form of Mortgage Certificates</w:t>
      </w:r>
      <w:r w:rsidRPr="009513BD" w:rsidR="00953CF9">
        <w:t xml:space="preserve"> and down payment assistance loans.</w:t>
      </w:r>
      <w:r w:rsidRPr="00610281" w:rsidR="00953CF9">
        <w:t xml:space="preserve"> </w:t>
      </w:r>
      <w:r w:rsidR="00505B87">
        <w:t xml:space="preserve"> </w:t>
      </w:r>
    </w:p>
    <w:p w:rsidRPr="00F828E4" w:rsidR="007B1D29" w:rsidP="00F828E4" w:rsidRDefault="00AF72E5" w14:paraId="40C9E4AD" w14:textId="7A42FC6D">
      <w:pPr>
        <w:pStyle w:val="BodyTextFirstIndent"/>
      </w:pPr>
      <w:bookmarkStart w:name="_DV_M517" w:id="475"/>
      <w:bookmarkEnd w:id="475"/>
      <w:r w:rsidRPr="00B34407">
        <w:t xml:space="preserve">The Authority anticipates </w:t>
      </w:r>
      <w:r w:rsidRPr="00B34407" w:rsidR="00473631">
        <w:t xml:space="preserve">originating FHA/VA/USDA insured </w:t>
      </w:r>
      <w:r w:rsidR="00C7294C">
        <w:t>2024 Series C</w:t>
      </w:r>
      <w:r w:rsidR="00C635EB">
        <w:t xml:space="preserve"> Mortgage Loans</w:t>
      </w:r>
      <w:r w:rsidRPr="00B34407">
        <w:t xml:space="preserve"> which will be financed through the purchase of GNMA Certificates by the Trustee</w:t>
      </w:r>
      <w:r w:rsidRPr="00B34407" w:rsidR="00970245">
        <w:t xml:space="preserve">.  The </w:t>
      </w:r>
      <w:r w:rsidRPr="00B34407" w:rsidR="003C7AD4">
        <w:t>weighted average fixed</w:t>
      </w:r>
      <w:r w:rsidRPr="00B34407">
        <w:t xml:space="preserve"> interest rate on the </w:t>
      </w:r>
      <w:r w:rsidR="00C7294C">
        <w:t>2024 Series C</w:t>
      </w:r>
      <w:r w:rsidR="00C635EB">
        <w:t xml:space="preserve"> Mortgage Loans</w:t>
      </w:r>
      <w:r w:rsidRPr="00F828E4">
        <w:t xml:space="preserve"> is </w:t>
      </w:r>
      <w:r w:rsidRPr="00F828E4" w:rsidR="00970245">
        <w:t xml:space="preserve">initially </w:t>
      </w:r>
      <w:r w:rsidR="006268EB">
        <w:t>e</w:t>
      </w:r>
      <w:r w:rsidR="0026759C">
        <w:t xml:space="preserve">xpected to be </w:t>
      </w:r>
      <w:r w:rsidRPr="00976BD5" w:rsidR="0026759C">
        <w:t>approximately</w:t>
      </w:r>
      <w:r w:rsidRPr="00976BD5" w:rsidR="000A2695">
        <w:t xml:space="preserve"> </w:t>
      </w:r>
      <w:r w:rsidR="000C2E0E">
        <w:t>7.285</w:t>
      </w:r>
      <w:r w:rsidRPr="00976BD5" w:rsidR="008C15F1">
        <w:t>%</w:t>
      </w:r>
      <w:r w:rsidRPr="00976BD5">
        <w:t xml:space="preserve"> per</w:t>
      </w:r>
      <w:r w:rsidRPr="000A2695">
        <w:t xml:space="preserve"> annum</w:t>
      </w:r>
      <w:r w:rsidRPr="00F828E4">
        <w:t xml:space="preserve">, and the average discount and origination fees for </w:t>
      </w:r>
      <w:r w:rsidRPr="00F828E4" w:rsidR="00473631">
        <w:t xml:space="preserve">the </w:t>
      </w:r>
      <w:r w:rsidR="00C7294C">
        <w:t>2024 Series C</w:t>
      </w:r>
      <w:r w:rsidR="00C635EB">
        <w:t xml:space="preserve"> Mortgage Loans</w:t>
      </w:r>
      <w:r w:rsidRPr="00F828E4">
        <w:t xml:space="preserve"> are expected to be</w:t>
      </w:r>
      <w:r w:rsidR="00102FD5">
        <w:t xml:space="preserve"> </w:t>
      </w:r>
      <w:r w:rsidRPr="008A110A" w:rsidR="00102FD5">
        <w:t>1</w:t>
      </w:r>
      <w:r w:rsidRPr="008A110A">
        <w:t>%</w:t>
      </w:r>
      <w:r w:rsidRPr="00F828E4">
        <w:t xml:space="preserve"> of such Mortgage Loan (plus a minimal loan processing fee).  However, the fixed interest rate may change from time to time pursuant to the Program.  The Authority expects to evaluate interest rates weekly and to change the fixed interest rates as appropriate </w:t>
      </w:r>
      <w:r w:rsidR="007A2011">
        <w:t xml:space="preserve">considering </w:t>
      </w:r>
      <w:r w:rsidRPr="00F828E4">
        <w:t xml:space="preserve">rates in the residential mortgage market generally and economic and financial considerations of the Authority and within the limitations established by federal tax laws and regulations.  See </w:t>
      </w:r>
      <w:r w:rsidR="00C34AEA">
        <w:t>“</w:t>
      </w:r>
      <w:r w:rsidRPr="00F828E4">
        <w:t>SINGLE FAMILY MORTGAGE PROGRAM</w:t>
      </w:r>
      <w:r w:rsidR="00C34AEA">
        <w:t>”</w:t>
      </w:r>
      <w:r w:rsidRPr="00F828E4" w:rsidR="00863D54">
        <w:t xml:space="preserve"> </w:t>
      </w:r>
      <w:r w:rsidRPr="00F828E4" w:rsidR="00CB661F">
        <w:t>herein</w:t>
      </w:r>
      <w:r w:rsidRPr="00F828E4" w:rsidR="00DD2E74">
        <w:t>.</w:t>
      </w:r>
    </w:p>
    <w:p w:rsidRPr="00B34407" w:rsidR="00863D54" w:rsidP="0026759C" w:rsidRDefault="00D06403" w14:paraId="4111A844" w14:textId="2ABE27F0">
      <w:pPr>
        <w:pStyle w:val="BodyTextFirstIndent"/>
      </w:pPr>
      <w:r w:rsidRPr="00F828E4">
        <w:t>In order to provide down payment assistance to qualified borrowers, the Authority expects to use a portion of the proceeds of the</w:t>
      </w:r>
      <w:r w:rsidRPr="00B34407">
        <w:t xml:space="preserve"> </w:t>
      </w:r>
      <w:r w:rsidR="00C7294C">
        <w:t>2024 Series C</w:t>
      </w:r>
      <w:r>
        <w:t xml:space="preserve"> Bonds</w:t>
      </w:r>
      <w:r w:rsidRPr="00A06955">
        <w:t xml:space="preserve"> to finance the </w:t>
      </w:r>
      <w:r>
        <w:t>First Place</w:t>
      </w:r>
      <w:r w:rsidR="00440AB2">
        <w:t>,</w:t>
      </w:r>
      <w:r>
        <w:t xml:space="preserve"> First Step </w:t>
      </w:r>
      <w:r w:rsidR="00440AB2">
        <w:t>and Next Step Programs</w:t>
      </w:r>
      <w:r>
        <w:t xml:space="preserve">.  </w:t>
      </w:r>
      <w:r w:rsidR="00F41691">
        <w:t>The First Place</w:t>
      </w:r>
      <w:r w:rsidR="00440AB2">
        <w:t>,</w:t>
      </w:r>
      <w:r w:rsidR="00F41691">
        <w:t xml:space="preserve"> First Step </w:t>
      </w:r>
      <w:r w:rsidR="00440AB2">
        <w:t xml:space="preserve">and Next Step </w:t>
      </w:r>
      <w:r w:rsidR="00F41691">
        <w:t>Programs</w:t>
      </w:r>
      <w:r w:rsidR="00A47E08">
        <w:t xml:space="preserve"> provide</w:t>
      </w:r>
      <w:r>
        <w:t xml:space="preserve"> down payment assistance loans equal to </w:t>
      </w:r>
      <w:r w:rsidRPr="00767FBC">
        <w:t xml:space="preserve">approximately </w:t>
      </w:r>
      <w:r w:rsidR="000C2E0E">
        <w:t>6.0</w:t>
      </w:r>
      <w:r w:rsidRPr="00767FBC">
        <w:t>%</w:t>
      </w:r>
      <w:r w:rsidRPr="007202DF">
        <w:t xml:space="preserve"> of the </w:t>
      </w:r>
      <w:r>
        <w:t>home’s purchase price</w:t>
      </w:r>
      <w:r w:rsidRPr="00B34407">
        <w:t xml:space="preserve">.  </w:t>
      </w:r>
      <w:r>
        <w:t xml:space="preserve">Additionally, the Authority expects to use a portion of the proceeds of the </w:t>
      </w:r>
      <w:r w:rsidR="00C7294C">
        <w:t>2024 Series C</w:t>
      </w:r>
      <w:r>
        <w:t xml:space="preserve"> Bonds to finance the Step Down Program that offers no down payment assistance. However, the Authority may modify the current down payment assistance program and may develop new down payment assistance programs as part of its homeownership lending programs.</w:t>
      </w:r>
    </w:p>
    <w:p w:rsidRPr="00F828E4" w:rsidR="007A1C85" w:rsidP="00F828E4" w:rsidRDefault="00AF72E5" w14:paraId="5861014F" w14:textId="2DF5D46B">
      <w:pPr>
        <w:pStyle w:val="BodyTextFirstIndent"/>
      </w:pPr>
      <w:bookmarkStart w:name="_DV_M518" w:id="476"/>
      <w:bookmarkEnd w:id="476"/>
      <w:r w:rsidRPr="00B34407">
        <w:t>Each series of Bonds issued by the Authority bears interest at different rate</w:t>
      </w:r>
      <w:r w:rsidRPr="00B34407" w:rsidR="003C7AD4">
        <w:t>s</w:t>
      </w:r>
      <w:r w:rsidRPr="00B34407">
        <w:t xml:space="preserve"> and accordingly the Mortgage </w:t>
      </w:r>
      <w:r w:rsidRPr="00F828E4">
        <w:t xml:space="preserve">Loans originated with proceeds of each series of Bonds may have different interest rates and other characteristics. </w:t>
      </w:r>
    </w:p>
    <w:p w:rsidRPr="00B34407" w:rsidR="00AF72E5" w:rsidP="00F828E4" w:rsidRDefault="00970245" w14:paraId="1C7C1DE0" w14:textId="724486EB">
      <w:pPr>
        <w:pStyle w:val="BodyTextFirstIndent"/>
      </w:pPr>
      <w:r w:rsidRPr="00F828E4">
        <w:t>T</w:t>
      </w:r>
      <w:r w:rsidRPr="00F828E4" w:rsidR="00AF72E5">
        <w:t xml:space="preserve">he Authority </w:t>
      </w:r>
      <w:r w:rsidRPr="00F828E4">
        <w:t>has</w:t>
      </w:r>
      <w:r w:rsidRPr="00F828E4" w:rsidR="00AF72E5">
        <w:t xml:space="preserve"> a continuous lending program which permits the Authority to change the fixed interest rate </w:t>
      </w:r>
      <w:r w:rsidR="007A2011">
        <w:t>at which</w:t>
      </w:r>
      <w:r w:rsidRPr="00F828E4" w:rsidR="00AF72E5">
        <w:t xml:space="preserve"> Mortgage Loans</w:t>
      </w:r>
      <w:r w:rsidR="007A2011">
        <w:t xml:space="preserve"> are originated</w:t>
      </w:r>
      <w:r w:rsidRPr="00F828E4" w:rsidR="00AF72E5">
        <w:t xml:space="preserve"> from time to time.  As a result, the Authority may blend proceeds of two or more series of Bonds, may accept reservations for Mortgage Loans from one or more series of Bonds at the same time and may determine to allocate reserved amounts to one or more different series of Bonds upon origination and purchase of Mortgage Certificates</w:t>
      </w:r>
      <w:r w:rsidRPr="00B34407" w:rsidR="00AF72E5">
        <w:t>.  Accordingly, it is impossible for the Authority to predict accurately the sequence and rate that Mortgage Loans will be originated from any particular series of Bonds.</w:t>
      </w:r>
    </w:p>
    <w:p w:rsidRPr="00F828E4" w:rsidR="00473631" w:rsidP="00F828E4" w:rsidRDefault="00AF72E5" w14:paraId="793CCE4B" w14:textId="60ECC1BD">
      <w:pPr>
        <w:pStyle w:val="BodyTextFirstIndent"/>
      </w:pPr>
      <w:bookmarkStart w:name="_DV_M519" w:id="477"/>
      <w:bookmarkStart w:name="_DV_M526" w:id="478"/>
      <w:bookmarkEnd w:id="477"/>
      <w:bookmarkEnd w:id="478"/>
      <w:r w:rsidRPr="00F828E4">
        <w:t xml:space="preserve">Prevailing interest rates for conventional mortgages in the State could fall to a point which would make the interest rate on </w:t>
      </w:r>
      <w:r w:rsidR="00C7294C">
        <w:t>2024 Series C</w:t>
      </w:r>
      <w:r w:rsidR="00C635EB">
        <w:t xml:space="preserve"> Mortgage Loans</w:t>
      </w:r>
      <w:r w:rsidRPr="00F828E4">
        <w:t xml:space="preserve"> uncompetitive, and as a result the Authority might not be able to finance</w:t>
      </w:r>
      <w:r w:rsidRPr="00F828E4" w:rsidR="00970245">
        <w:t xml:space="preserve"> all</w:t>
      </w:r>
      <w:r w:rsidRPr="00F828E4">
        <w:t xml:space="preserve"> </w:t>
      </w:r>
      <w:r w:rsidRPr="00F828E4" w:rsidR="00CF75F9">
        <w:t xml:space="preserve">of </w:t>
      </w:r>
      <w:r w:rsidRPr="00F828E4" w:rsidR="00BF6603">
        <w:t xml:space="preserve">such </w:t>
      </w:r>
      <w:r w:rsidR="00C7294C">
        <w:t>2024 Series C</w:t>
      </w:r>
      <w:r w:rsidR="00C635EB">
        <w:t xml:space="preserve"> Mortgage Loans</w:t>
      </w:r>
      <w:r w:rsidRPr="00F828E4">
        <w:t xml:space="preserve">.  </w:t>
      </w:r>
    </w:p>
    <w:p w:rsidRPr="00B34407" w:rsidR="00AF72E5" w:rsidP="00AF72E5" w:rsidRDefault="003C7AD4" w14:paraId="6092DC9C" w14:textId="790904A7">
      <w:pPr>
        <w:pStyle w:val="BodyTextFirstIndent"/>
      </w:pPr>
      <w:bookmarkStart w:name="ElPgBr42" w:id="479"/>
      <w:bookmarkEnd w:id="479"/>
      <w:r w:rsidRPr="00F828E4">
        <w:t>The</w:t>
      </w:r>
      <w:r w:rsidRPr="00F828E4" w:rsidR="00AF72E5">
        <w:t xml:space="preserve"> Authority may in the future issue Bonds under the Indenture, or bonds under separate trust indentures, which make available mortgage loans at interest rates below, and/or discount and origination fees less than, the respective rates and discount and origination fees provided for </w:t>
      </w:r>
      <w:r w:rsidR="00C7294C">
        <w:t>2024 Series C</w:t>
      </w:r>
      <w:r w:rsidR="00C635EB">
        <w:t xml:space="preserve"> Mortgage Loans</w:t>
      </w:r>
      <w:r w:rsidRPr="00F828E4" w:rsidR="00AF72E5">
        <w:t xml:space="preserve">.  Loans carrying higher interest rates and/or higher discount and origination fees may be more difficult to originate than other mortgage loans </w:t>
      </w:r>
      <w:r w:rsidRPr="00F828E4" w:rsidR="00AF72E5">
        <w:lastRenderedPageBreak/>
        <w:t>available from</w:t>
      </w:r>
      <w:r w:rsidRPr="00B34407" w:rsidR="00AF72E5">
        <w:t xml:space="preserve"> the Authority.  In addition, the Authority has a Mortgage Credit Certificate Program which provides federal tax credits to qualified </w:t>
      </w:r>
      <w:r w:rsidRPr="00B34407" w:rsidR="009657CF">
        <w:t>homebuyers</w:t>
      </w:r>
      <w:r w:rsidRPr="00B34407" w:rsidR="00AF72E5">
        <w:t xml:space="preserve">, which credits reduce the effective borrowing cost.  </w:t>
      </w:r>
      <w:r w:rsidR="00885D76">
        <w:t xml:space="preserve">Mortgage Credit Certificates cannot be combined with Mortgage Loans originated with the proceeds of Bonds. </w:t>
      </w:r>
      <w:r w:rsidR="00B11929">
        <w:t xml:space="preserve"> </w:t>
      </w:r>
      <w:r w:rsidRPr="00B34407" w:rsidR="00AF72E5">
        <w:t xml:space="preserve">The qualifications mirror those of the Program and, therefore, Lenders throughout the State may market Mortgage Credit Certificates to the same group of </w:t>
      </w:r>
      <w:r w:rsidRPr="00B34407" w:rsidR="009657CF">
        <w:t>homebuyers</w:t>
      </w:r>
      <w:r w:rsidRPr="00B34407" w:rsidR="00AF72E5">
        <w:t xml:space="preserve"> to whom the Program</w:t>
      </w:r>
      <w:r w:rsidRPr="00B34407">
        <w:t>s</w:t>
      </w:r>
      <w:r w:rsidRPr="00B34407" w:rsidR="00AF72E5">
        <w:t xml:space="preserve"> </w:t>
      </w:r>
      <w:r w:rsidRPr="00B34407">
        <w:t>are</w:t>
      </w:r>
      <w:r w:rsidRPr="00B34407" w:rsidR="00AF72E5">
        <w:t xml:space="preserve"> directed.  </w:t>
      </w:r>
      <w:r w:rsidRPr="00B34407" w:rsidR="009657CF">
        <w:t>Homebuyers</w:t>
      </w:r>
      <w:r w:rsidRPr="00B34407" w:rsidR="00AF72E5">
        <w:t xml:space="preserve"> in higher marginal income tax brackets may find Mortgage Credit Certificates more attractive than Mortgage Loans under the Program.  See </w:t>
      </w:r>
      <w:r w:rsidR="00C34AEA">
        <w:t>“</w:t>
      </w:r>
      <w:r w:rsidRPr="00B34407" w:rsidR="00AF72E5">
        <w:t>AUTHORITY—Other Activities of Authority—</w:t>
      </w:r>
      <w:r w:rsidRPr="00B34407" w:rsidR="00AF72E5">
        <w:rPr>
          <w:i/>
        </w:rPr>
        <w:t>Mortgage Credit Certificate Program</w:t>
      </w:r>
      <w:r w:rsidR="00C34AEA">
        <w:t>”</w:t>
      </w:r>
      <w:r w:rsidRPr="00B34407" w:rsidR="00C45647">
        <w:t xml:space="preserve"> herein.</w:t>
      </w:r>
    </w:p>
    <w:p w:rsidRPr="00B34407" w:rsidR="00AF72E5" w:rsidP="00AF72E5" w:rsidRDefault="00AF72E5" w14:paraId="7D263C63" w14:textId="2FDF2F0D">
      <w:pPr>
        <w:pStyle w:val="BodyTextFirstIndent"/>
      </w:pPr>
      <w:bookmarkStart w:name="_DV_M527" w:id="480"/>
      <w:bookmarkEnd w:id="480"/>
      <w:r w:rsidRPr="00B34407">
        <w:t xml:space="preserve">The Authority is required to keep 20% of proceeds of the </w:t>
      </w:r>
      <w:r w:rsidR="00C7294C">
        <w:t>2024 Series C</w:t>
      </w:r>
      <w:r w:rsidR="00BE72D6">
        <w:t>-1</w:t>
      </w:r>
      <w:r w:rsidR="00147E80">
        <w:t xml:space="preserve"> Bond</w:t>
      </w:r>
      <w:r w:rsidRPr="00B34407" w:rsidR="0089533B">
        <w:t>s</w:t>
      </w:r>
      <w:r w:rsidRPr="00B34407">
        <w:t xml:space="preserve"> </w:t>
      </w:r>
      <w:r w:rsidR="00A744BD">
        <w:t xml:space="preserve">constituting new money </w:t>
      </w:r>
      <w:r w:rsidR="00EA3E2C">
        <w:t xml:space="preserve">tax-exempt </w:t>
      </w:r>
      <w:r w:rsidRPr="009513BD" w:rsidR="00A744BD">
        <w:t xml:space="preserve">bonds </w:t>
      </w:r>
      <w:r w:rsidRPr="009513BD">
        <w:t>(</w:t>
      </w:r>
      <w:r w:rsidR="00AF3A7C">
        <w:t>$19,999,840</w:t>
      </w:r>
      <w:r w:rsidR="00710F73">
        <w:t>.00</w:t>
      </w:r>
      <w:r w:rsidRPr="009513BD">
        <w:t>)</w:t>
      </w:r>
      <w:r w:rsidRPr="009513BD" w:rsidR="001C799F">
        <w:t xml:space="preserve"> o</w:t>
      </w:r>
      <w:r w:rsidRPr="009513BD" w:rsidR="001E6D19">
        <w:t>r</w:t>
      </w:r>
      <w:r w:rsidRPr="00B34407" w:rsidR="001E6D19">
        <w:t xml:space="preserve"> other </w:t>
      </w:r>
      <w:r w:rsidRPr="00B34407" w:rsidR="00C27F76">
        <w:t>moneys</w:t>
      </w:r>
      <w:r w:rsidRPr="00B34407" w:rsidR="001E6D19">
        <w:t xml:space="preserve"> of</w:t>
      </w:r>
      <w:r w:rsidRPr="00B34407" w:rsidR="00E7045C">
        <w:t xml:space="preserve"> the Authority</w:t>
      </w:r>
      <w:r w:rsidRPr="00B34407">
        <w:t xml:space="preserve"> available for 12 months for origination of</w:t>
      </w:r>
      <w:r w:rsidRPr="00B34407" w:rsidR="007E4BC4">
        <w:t xml:space="preserve"> </w:t>
      </w:r>
      <w:r w:rsidR="00C7294C">
        <w:t>2024 Series C</w:t>
      </w:r>
      <w:r w:rsidR="00C635EB">
        <w:t xml:space="preserve"> Mortgage Loans</w:t>
      </w:r>
      <w:r w:rsidRPr="00B34407">
        <w:t xml:space="preserve"> in targeted areas.  Further, the Authority may from time to time withhold from the first-come, first-served reservation procedure a portion of the proceeds of any series of Bonds, including the </w:t>
      </w:r>
      <w:r w:rsidR="00C7294C">
        <w:t>2024 Series C</w:t>
      </w:r>
      <w:r w:rsidR="005B3036">
        <w:t xml:space="preserve"> Bond</w:t>
      </w:r>
      <w:r w:rsidR="006C550F">
        <w:t>s</w:t>
      </w:r>
      <w:r w:rsidRPr="00B34407">
        <w:t>, and devote such amounts to the origination of Mortgage Loans containing additional restrictions or features which may permit the Authority to focus its origination of Mortgage Loans on certain locations or among borrowers meeting certain eligibility requirements.  Special programs established by the Authority, such as a down payment assistance program, may have certain eligibility requirements and other features that may cause Mortgage Loans under such program or programs to be more difficult to originate than</w:t>
      </w:r>
      <w:r w:rsidRPr="00B34407" w:rsidR="003C7AD4">
        <w:t xml:space="preserve"> other</w:t>
      </w:r>
      <w:r w:rsidRPr="00B34407">
        <w:t xml:space="preserve"> Mortgage Loans under the Single Family Mortgage Program.  </w:t>
      </w:r>
    </w:p>
    <w:p w:rsidRPr="00B34407" w:rsidR="003C7AD4" w:rsidP="003C7AD4" w:rsidRDefault="003C7AD4" w14:paraId="3EE79B80" w14:textId="59031171">
      <w:pPr>
        <w:pStyle w:val="BodyTextFirstIndent"/>
      </w:pPr>
      <w:bookmarkStart w:name="_DV_M528" w:id="481"/>
      <w:bookmarkStart w:name="_DV_M529" w:id="482"/>
      <w:bookmarkEnd w:id="481"/>
      <w:bookmarkEnd w:id="482"/>
      <w:r w:rsidRPr="00B34407">
        <w:t xml:space="preserve">The Authority intends to finance the </w:t>
      </w:r>
      <w:r w:rsidR="00C7294C">
        <w:t>2024 Series C</w:t>
      </w:r>
      <w:r w:rsidR="00C635EB">
        <w:t xml:space="preserve"> Mortgage Loans</w:t>
      </w:r>
      <w:r w:rsidRPr="00B34407">
        <w:t xml:space="preserve"> from amounts deposited to the </w:t>
      </w:r>
      <w:r w:rsidR="00C7294C">
        <w:t>2024 Series C</w:t>
      </w:r>
      <w:r w:rsidR="00911C24">
        <w:t xml:space="preserve"> Subaccount</w:t>
      </w:r>
      <w:r w:rsidR="00EC290E">
        <w:t xml:space="preserve"> </w:t>
      </w:r>
      <w:r w:rsidR="00D75E12">
        <w:t xml:space="preserve">of the Loan Account </w:t>
      </w:r>
      <w:r w:rsidRPr="00B34407">
        <w:t xml:space="preserve">upon issuance of the </w:t>
      </w:r>
      <w:r w:rsidR="00C7294C">
        <w:t>2024 Series C</w:t>
      </w:r>
      <w:r w:rsidR="005B3036">
        <w:t xml:space="preserve"> Bond</w:t>
      </w:r>
      <w:r w:rsidR="006C550F">
        <w:t>s</w:t>
      </w:r>
      <w:r w:rsidRPr="00B34407">
        <w:t xml:space="preserve">.  See </w:t>
      </w:r>
      <w:r w:rsidR="00C34AEA">
        <w:t>“</w:t>
      </w:r>
      <w:r w:rsidRPr="00B34407">
        <w:t>FINANCING PLAN,</w:t>
      </w:r>
      <w:r w:rsidR="00C34AEA">
        <w:t>”</w:t>
      </w:r>
      <w:r w:rsidRPr="00B34407">
        <w:t xml:space="preserve"> </w:t>
      </w:r>
      <w:r w:rsidR="00C34AEA">
        <w:t>“</w:t>
      </w:r>
      <w:r w:rsidRPr="00B34407">
        <w:t>SOURCES AND USES OF FUNDS</w:t>
      </w:r>
      <w:r w:rsidR="00C34AEA">
        <w:t>”</w:t>
      </w:r>
      <w:r w:rsidRPr="00B34407">
        <w:t xml:space="preserve"> and </w:t>
      </w:r>
      <w:r w:rsidR="00C34AEA">
        <w:t>“</w:t>
      </w:r>
      <w:r w:rsidRPr="00B34407">
        <w:t>SINGLE FAMILY MORTGAGE PROGRAM</w:t>
      </w:r>
      <w:r w:rsidR="00C34AEA">
        <w:t>”</w:t>
      </w:r>
      <w:r w:rsidRPr="00B34407" w:rsidR="00202C6C">
        <w:t xml:space="preserve"> herein.</w:t>
      </w:r>
      <w:r w:rsidRPr="00B34407">
        <w:t xml:space="preserve">  To finance the purchase of such Mortgage Loans, the Trustee, on behalf of the Authority, will purchase Mortgage Certificates backed by Mortgage Loans from the Servicer.  The Mortgage Certificates, if any, must consist of (i) GNMA Certificates, the timely payment of principal of and interest on which is guaranteed by GNMA</w:t>
      </w:r>
      <w:r w:rsidR="00F0568D">
        <w:t>,</w:t>
      </w:r>
      <w:r w:rsidRPr="00B34407">
        <w:t xml:space="preserve"> (ii) </w:t>
      </w:r>
      <w:r w:rsidR="008D253D">
        <w:t>UMBS</w:t>
      </w:r>
      <w:r w:rsidRPr="00B34407">
        <w:t>, the timely payment of principal of and interest on which is guaranteed by Fan</w:t>
      </w:r>
      <w:r w:rsidR="007C24A0">
        <w:t xml:space="preserve">nie Mae or (iii) </w:t>
      </w:r>
      <w:r w:rsidR="008D253D">
        <w:t>UMBS</w:t>
      </w:r>
      <w:r w:rsidRPr="00B34407">
        <w:t>, the timely payment of principal of and interest on which is guaranteed by Freddie Mac</w:t>
      </w:r>
      <w:r w:rsidR="007D72FC">
        <w:t>.</w:t>
      </w:r>
      <w:r w:rsidRPr="00D0586A">
        <w:t xml:space="preserve">  See </w:t>
      </w:r>
      <w:r w:rsidR="00C34AEA">
        <w:t>“</w:t>
      </w:r>
      <w:r w:rsidRPr="00D0586A">
        <w:t>APPENDIX A: SUMMARY OF MORTGAGE CERTIFICATE PROGRAM</w:t>
      </w:r>
      <w:r w:rsidR="00C34AEA">
        <w:t>”</w:t>
      </w:r>
      <w:r w:rsidRPr="00D0586A">
        <w:t xml:space="preserve"> attached hereto for further discussion of GNMA, Fan</w:t>
      </w:r>
      <w:r w:rsidRPr="00B34407">
        <w:t>nie Mae and Freddie Mac programs.</w:t>
      </w:r>
    </w:p>
    <w:p w:rsidRPr="00B34407" w:rsidR="000003D5" w:rsidP="000003D5" w:rsidRDefault="000003D5" w14:paraId="564548F4" w14:textId="10C8D5B7">
      <w:pPr>
        <w:pStyle w:val="BodyTextFirstIndent"/>
      </w:pPr>
      <w:bookmarkStart w:name="_DV_M530" w:id="483"/>
      <w:bookmarkEnd w:id="483"/>
      <w:r w:rsidRPr="00B34407">
        <w:t>The dollar amount of commitments to guarantee securities that GNMA can approve and the dollar amount that FHA can insure in any federal fiscal year are limited by federal statute and certain applicable administrative procedures.  If an appropriation act is not passed in any federal fiscal year or if GNMA or FHA reaches the limits of its authority, or if GNMA in its sole discretion, or the federal government, alters or amends the GNMA Certific</w:t>
      </w:r>
      <w:r w:rsidR="007C24A0">
        <w:t xml:space="preserve">ates program, or if </w:t>
      </w:r>
      <w:r w:rsidR="009E1952">
        <w:t xml:space="preserve">the </w:t>
      </w:r>
      <w:r w:rsidR="003F7517">
        <w:t xml:space="preserve">Federal Housing Finance Agency, </w:t>
      </w:r>
      <w:r w:rsidR="007C24A0">
        <w:t xml:space="preserve">Fannie Mae, or Freddie Mac, in  their </w:t>
      </w:r>
      <w:r w:rsidRPr="00B34407">
        <w:t>sole discretion, alters or amends the</w:t>
      </w:r>
      <w:r w:rsidR="007C24A0">
        <w:t xml:space="preserve"> </w:t>
      </w:r>
      <w:r w:rsidR="008D253D">
        <w:t>UMBS</w:t>
      </w:r>
      <w:r w:rsidR="007C24A0">
        <w:t xml:space="preserve"> </w:t>
      </w:r>
      <w:r w:rsidRPr="00B34407">
        <w:t xml:space="preserve">program in such a way as to prevent the Lenders from originating Mortgage Loans or the Servicer </w:t>
      </w:r>
      <w:r w:rsidR="00820E16">
        <w:t xml:space="preserve">from issuing GNMA Certificates or </w:t>
      </w:r>
      <w:r w:rsidR="008D253D">
        <w:t>UMBS</w:t>
      </w:r>
      <w:r w:rsidRPr="00B34407">
        <w:t>, the Lenders might not be able to originate Mortgage Loans</w:t>
      </w:r>
      <w:r w:rsidR="001E330F">
        <w:t>,</w:t>
      </w:r>
      <w:r w:rsidRPr="00B34407">
        <w:t xml:space="preserve"> or the Servicer might not be </w:t>
      </w:r>
      <w:r w:rsidR="001E330F">
        <w:t>able to issue GNMA Certificates</w:t>
      </w:r>
      <w:r w:rsidRPr="00B34407">
        <w:t xml:space="preserve"> </w:t>
      </w:r>
      <w:r w:rsidR="007C24A0">
        <w:t xml:space="preserve">or </w:t>
      </w:r>
      <w:r w:rsidR="008D253D">
        <w:t>UMBS</w:t>
      </w:r>
      <w:r w:rsidR="007C24A0">
        <w:t xml:space="preserve"> </w:t>
      </w:r>
      <w:r w:rsidRPr="00B34407">
        <w:t>in the amounts contemplated by this financing.</w:t>
      </w:r>
    </w:p>
    <w:p w:rsidRPr="00B34407" w:rsidR="00AF72E5" w:rsidP="00CF75F9" w:rsidRDefault="0063290C" w14:paraId="3B0C8F1C" w14:textId="7D9D41EC">
      <w:pPr>
        <w:pStyle w:val="BodyTextFirstIndent"/>
      </w:pPr>
      <w:r w:rsidRPr="00B34407">
        <w:t xml:space="preserve">If and to the extent that </w:t>
      </w:r>
      <w:r w:rsidR="00C7294C">
        <w:t>2024 Series C</w:t>
      </w:r>
      <w:r w:rsidR="00C635EB">
        <w:t xml:space="preserve"> Mortgage Loans</w:t>
      </w:r>
      <w:r w:rsidRPr="00B34407" w:rsidR="00AF72E5">
        <w:t xml:space="preserve"> are not originated by the Lenders or the Servicer fails to purchase such Mortgage Loans from the Lenders or the Servicer fails to sell such Mortgage Certificates to the Trustee in the amounts and by the times contemplated by this financing, the Authority may, and in certain circumstances will be required to, apply the amounts remaining unexpended in the Loan Account to the redemption of </w:t>
      </w:r>
      <w:r w:rsidR="00C7294C">
        <w:t>2024 Series C</w:t>
      </w:r>
      <w:r w:rsidR="005B3036">
        <w:t xml:space="preserve"> Bond</w:t>
      </w:r>
      <w:r w:rsidR="006C550F">
        <w:t>s</w:t>
      </w:r>
      <w:r w:rsidRPr="00B34407" w:rsidR="00AF72E5">
        <w:t>, without any premium</w:t>
      </w:r>
      <w:r w:rsidRPr="00B34407" w:rsidR="005618B3">
        <w:t xml:space="preserve"> (except with respect to the </w:t>
      </w:r>
      <w:r w:rsidR="00B17A40">
        <w:t xml:space="preserve">premium due on the </w:t>
      </w:r>
      <w:r w:rsidR="00A1322C">
        <w:t>2024C-2</w:t>
      </w:r>
      <w:r w:rsidR="00A6413E">
        <w:t xml:space="preserve"> PAC</w:t>
      </w:r>
      <w:r w:rsidR="00F86774">
        <w:t xml:space="preserve"> Bonds</w:t>
      </w:r>
      <w:r w:rsidRPr="00B34407" w:rsidR="005618B3">
        <w:t>)</w:t>
      </w:r>
      <w:r w:rsidRPr="00B34407" w:rsidR="00AF72E5">
        <w:t xml:space="preserve">.  </w:t>
      </w:r>
      <w:r w:rsidRPr="00DE2B19" w:rsidR="00D840ED">
        <w:t xml:space="preserve">The Authority shall instruct the Trustee to use </w:t>
      </w:r>
      <w:r w:rsidR="00C7294C">
        <w:t>2024 Series C</w:t>
      </w:r>
      <w:r w:rsidR="00B4438E">
        <w:t>-1 Bond</w:t>
      </w:r>
      <w:r w:rsidRPr="00DE2B19" w:rsidR="00D840ED">
        <w:t xml:space="preserve"> proceeds to redeem the </w:t>
      </w:r>
      <w:r w:rsidR="00C7294C">
        <w:t>2024 Series C</w:t>
      </w:r>
      <w:r w:rsidR="00B4438E">
        <w:t>-1 Bond</w:t>
      </w:r>
      <w:r w:rsidRPr="00DE2B19" w:rsidR="00D840ED">
        <w:t xml:space="preserve">s under this provision and shall instruct the Trustee to use </w:t>
      </w:r>
      <w:r w:rsidR="00C7294C">
        <w:t>2024 Series C</w:t>
      </w:r>
      <w:r w:rsidR="00B4438E">
        <w:t>-2 Bond</w:t>
      </w:r>
      <w:r w:rsidRPr="00DE2B19" w:rsidR="00D840ED">
        <w:t xml:space="preserve"> proceeds to redeem the </w:t>
      </w:r>
      <w:r w:rsidR="00C7294C">
        <w:t>2024 Series C</w:t>
      </w:r>
      <w:r w:rsidR="00B4438E">
        <w:t>-2 Bond</w:t>
      </w:r>
      <w:r w:rsidRPr="00DE2B19" w:rsidR="00D840ED">
        <w:t>s under this provision</w:t>
      </w:r>
      <w:r w:rsidR="00F93CC3">
        <w:t>.</w:t>
      </w:r>
      <w:r w:rsidR="00D840ED">
        <w:t xml:space="preserve">  </w:t>
      </w:r>
      <w:r w:rsidRPr="00B34407" w:rsidR="00AF72E5">
        <w:t xml:space="preserve">See </w:t>
      </w:r>
      <w:r w:rsidR="00C34AEA">
        <w:t>“</w:t>
      </w:r>
      <w:r w:rsidRPr="00B34407" w:rsidR="00AF72E5">
        <w:t xml:space="preserve">REDEMPTION OF </w:t>
      </w:r>
      <w:r w:rsidR="00C7294C">
        <w:t xml:space="preserve">2024 </w:t>
      </w:r>
      <w:r w:rsidR="00A36853">
        <w:t>SERIES</w:t>
      </w:r>
      <w:r w:rsidR="00C7294C">
        <w:t xml:space="preserve"> C</w:t>
      </w:r>
      <w:r w:rsidR="00425D7D">
        <w:t xml:space="preserve"> BONDS</w:t>
      </w:r>
      <w:r w:rsidRPr="00B34407" w:rsidR="00AF72E5">
        <w:t>—Special Redemption from Unexpended Proceeds</w:t>
      </w:r>
      <w:r w:rsidR="00C34AEA">
        <w:t>”</w:t>
      </w:r>
      <w:bookmarkStart w:name="_DV_M531" w:id="484"/>
      <w:bookmarkEnd w:id="484"/>
      <w:r w:rsidRPr="00B34407" w:rsidR="00E14D3A">
        <w:t xml:space="preserve"> herein.</w:t>
      </w:r>
    </w:p>
    <w:p w:rsidRPr="00B34407" w:rsidR="00AF72E5" w:rsidP="00F828E4" w:rsidRDefault="00AF72E5" w14:paraId="6BDAF02C" w14:textId="77777777">
      <w:pPr>
        <w:pStyle w:val="aHEADINGSUB"/>
      </w:pPr>
      <w:bookmarkStart w:name="_DV_M532" w:id="485"/>
      <w:bookmarkStart w:name="ElPgBr43" w:id="486"/>
      <w:bookmarkStart w:name="_Toc534620356" w:id="487"/>
      <w:bookmarkStart w:name="_Toc534620466" w:id="488"/>
      <w:bookmarkStart w:name="_Toc534620584" w:id="489"/>
      <w:bookmarkStart w:name="_Toc534620905" w:id="490"/>
      <w:bookmarkStart w:name="_Toc534621136" w:id="491"/>
      <w:bookmarkStart w:name="_Toc172841955" w:id="492"/>
      <w:bookmarkEnd w:id="485"/>
      <w:bookmarkEnd w:id="486"/>
      <w:r w:rsidRPr="00B34407">
        <w:t>Federal Soldiers and Sailors Civil Relief Act</w:t>
      </w:r>
      <w:bookmarkEnd w:id="487"/>
      <w:bookmarkEnd w:id="488"/>
      <w:bookmarkEnd w:id="489"/>
      <w:bookmarkEnd w:id="490"/>
      <w:bookmarkEnd w:id="491"/>
      <w:bookmarkEnd w:id="492"/>
    </w:p>
    <w:p w:rsidRPr="00B34407" w:rsidR="004E7994" w:rsidP="0063290C" w:rsidRDefault="00AF72E5" w14:paraId="696F2EC5" w14:textId="6607CEB0">
      <w:pPr>
        <w:pStyle w:val="BodyTextFirstIndent"/>
      </w:pPr>
      <w:bookmarkStart w:name="_DV_M533" w:id="493"/>
      <w:bookmarkEnd w:id="493"/>
      <w:r w:rsidRPr="00B34407">
        <w:t xml:space="preserve">Under provisions of the Federal Soldiers and Sailors Civil Relief Act of 1940, as amended (the </w:t>
      </w:r>
      <w:r w:rsidR="00C34AEA">
        <w:t>“</w:t>
      </w:r>
      <w:r w:rsidRPr="00B34407">
        <w:rPr>
          <w:i/>
        </w:rPr>
        <w:t>Relief Act</w:t>
      </w:r>
      <w:r w:rsidR="00C34AEA">
        <w:t>”</w:t>
      </w:r>
      <w:r w:rsidRPr="00B34407">
        <w:t xml:space="preserve">), no obligation or liability </w:t>
      </w:r>
      <w:r w:rsidR="00C34AEA">
        <w:t>“</w:t>
      </w:r>
      <w:r w:rsidRPr="00B34407">
        <w:t>incurred by a person in military service prior to his entry into such service shall, during any part of the period of military service . . . bear an interest rate in excess of 6 per centum per annum . . .</w:t>
      </w:r>
      <w:r w:rsidR="00C34AEA">
        <w:t>”</w:t>
      </w:r>
      <w:r w:rsidRPr="00B34407">
        <w:t xml:space="preserve">  The Authority cannot predict what number, if any, of the Mortgage Loans to be purchased under its programs may become subject to the provisions of the Relief Act, but the Authority does not anticipate, based on the information presently available to it, that the application of the Relief Act will have any material adverse effect on the ability to the Authority to pay debt service on the </w:t>
      </w:r>
      <w:r w:rsidR="00C7294C">
        <w:t>2024 Series C</w:t>
      </w:r>
      <w:r w:rsidR="005B3036">
        <w:t xml:space="preserve"> Bond</w:t>
      </w:r>
      <w:r w:rsidR="006C550F">
        <w:t>s</w:t>
      </w:r>
      <w:r w:rsidRPr="00B34407">
        <w:t>.</w:t>
      </w:r>
      <w:bookmarkStart w:name="_DV_M534" w:id="494"/>
      <w:bookmarkEnd w:id="494"/>
      <w:r w:rsidRPr="007C24A0" w:rsidR="007C24A0">
        <w:rPr>
          <w:rFonts w:eastAsiaTheme="minorEastAsia"/>
          <w:iCs/>
        </w:rPr>
        <w:t xml:space="preserve"> </w:t>
      </w:r>
      <w:r w:rsidR="00B915D3">
        <w:rPr>
          <w:rFonts w:eastAsiaTheme="minorEastAsia"/>
          <w:iCs/>
        </w:rPr>
        <w:t xml:space="preserve"> </w:t>
      </w:r>
      <w:r w:rsidRPr="007C24A0" w:rsidR="007C24A0">
        <w:rPr>
          <w:iCs/>
        </w:rPr>
        <w:t xml:space="preserve">Fannie Mae has indicated that it will follow the requirement of the Relief </w:t>
      </w:r>
      <w:r w:rsidRPr="007C24A0" w:rsidR="007C24A0">
        <w:rPr>
          <w:iCs/>
        </w:rPr>
        <w:lastRenderedPageBreak/>
        <w:t xml:space="preserve">Act and forgive interest in excess of 6%; however, Fannie Mae requires the Master Servicer to advance the interest differential between the 6% collected from the borrower and the pass through rate on the </w:t>
      </w:r>
      <w:r w:rsidR="008D253D">
        <w:rPr>
          <w:iCs/>
        </w:rPr>
        <w:t>UMBS</w:t>
      </w:r>
      <w:r w:rsidRPr="007C24A0" w:rsidR="007C24A0">
        <w:rPr>
          <w:iCs/>
        </w:rPr>
        <w:t>.  Fannie Mae will reimburse the Master Servicer for the interest differential amount they advance in connection with loans subject to the Relief Act.  GNMA has indicated that, in the event the Relief Act causes a deficiency in amounts received on the</w:t>
      </w:r>
      <w:r w:rsidR="00BC798D">
        <w:rPr>
          <w:iCs/>
        </w:rPr>
        <w:t xml:space="preserve"> Mortgage</w:t>
      </w:r>
      <w:r w:rsidRPr="007C24A0" w:rsidR="007C24A0">
        <w:rPr>
          <w:iCs/>
        </w:rPr>
        <w:t xml:space="preserve"> Loans backing GNMA Certificates, the Master Servicer, and not GNMA, would be responsible for paying such deficiency.  There can be no assurance that the Master Servicer would be willing or able to pay any such deficiency.  If any such deficiency is not paid by the Servicer, GNMA will pay such deficiency, to the extent required by its guaranty of the GNMA Certificate.  The Authority is unable to determine whether the provisions of the Relief Act will affect the willingness of Lenders to originate Mortgage Loans, or the willingness of the Master Servicer to perform its obligations under the Mortgage Origination and Sale Agreement.</w:t>
      </w:r>
    </w:p>
    <w:p w:rsidRPr="00B34407" w:rsidR="00AF72E5" w:rsidP="00F828E4" w:rsidRDefault="00AF72E5" w14:paraId="3AD316E1" w14:textId="77777777">
      <w:pPr>
        <w:pStyle w:val="aHEADINGSUB"/>
      </w:pPr>
      <w:bookmarkStart w:name="_Toc534620357" w:id="495"/>
      <w:bookmarkStart w:name="_Toc534620467" w:id="496"/>
      <w:bookmarkStart w:name="_Toc534620585" w:id="497"/>
      <w:bookmarkStart w:name="_Toc534620906" w:id="498"/>
      <w:bookmarkStart w:name="_Toc534621137" w:id="499"/>
      <w:bookmarkStart w:name="_Toc172841956" w:id="500"/>
      <w:r w:rsidRPr="00B34407">
        <w:t>Tax Compliance</w:t>
      </w:r>
      <w:bookmarkEnd w:id="495"/>
      <w:bookmarkEnd w:id="496"/>
      <w:bookmarkEnd w:id="497"/>
      <w:bookmarkEnd w:id="498"/>
      <w:bookmarkEnd w:id="499"/>
      <w:bookmarkEnd w:id="500"/>
    </w:p>
    <w:p w:rsidRPr="00B34407" w:rsidR="00AF72E5" w:rsidP="00AF72E5" w:rsidRDefault="00AF72E5" w14:paraId="4F218683" w14:textId="4540194E">
      <w:pPr>
        <w:pStyle w:val="BodyTextFirstIndent"/>
      </w:pPr>
      <w:bookmarkStart w:name="_DV_M535" w:id="501"/>
      <w:bookmarkEnd w:id="501"/>
      <w:r w:rsidRPr="00B34407">
        <w:t xml:space="preserve">The Code provides that interest on obligations such as the </w:t>
      </w:r>
      <w:r w:rsidR="00C7294C">
        <w:t>2024 Series C</w:t>
      </w:r>
      <w:r w:rsidR="00B4438E">
        <w:t>-1 Bond</w:t>
      </w:r>
      <w:r w:rsidRPr="00B34407" w:rsidR="0089533B">
        <w:t>s</w:t>
      </w:r>
      <w:r w:rsidRPr="00B34407">
        <w:t xml:space="preserve"> is excludable from gross income for federal income tax purposes if certain requirements are met with respect to the terms, amount and purpose of the obligations, the use of funds generated by the issuance of the obligations, the nature of the residence and the mortgage, the eligibility of the borrower executing the mortgage, and the submission of periodic and annual information reports compiled by the Authority.  Failure to comply with such requirements could cause interest on the </w:t>
      </w:r>
      <w:r w:rsidR="00C7294C">
        <w:t>2024 Series C</w:t>
      </w:r>
      <w:r w:rsidRPr="00576FC9" w:rsidR="00B4438E">
        <w:t>-1 Bond</w:t>
      </w:r>
      <w:r w:rsidRPr="00576FC9" w:rsidR="0089533B">
        <w:t>s</w:t>
      </w:r>
      <w:r w:rsidRPr="00576FC9">
        <w:t xml:space="preserve"> to become includable in gross income for federal income tax purposes retroactive to their date of issue.  </w:t>
      </w:r>
      <w:r w:rsidRPr="00576FC9" w:rsidR="00B8130C">
        <w:t xml:space="preserve">Although the </w:t>
      </w:r>
      <w:r w:rsidR="00C7294C">
        <w:t>2024 Series C</w:t>
      </w:r>
      <w:r w:rsidRPr="00576FC9" w:rsidR="00AE3D2B">
        <w:t xml:space="preserve"> Mortgage</w:t>
      </w:r>
      <w:r w:rsidRPr="00576FC9" w:rsidR="00B8130C">
        <w:t xml:space="preserve"> Loan</w:t>
      </w:r>
      <w:r w:rsidRPr="00576FC9" w:rsidR="00D57BBF">
        <w:t>s</w:t>
      </w:r>
      <w:r w:rsidRPr="00576FC9" w:rsidR="00B8130C">
        <w:t xml:space="preserve"> funded with the proceeds of the </w:t>
      </w:r>
      <w:r w:rsidR="00C7294C">
        <w:t>2024 Series C</w:t>
      </w:r>
      <w:r w:rsidRPr="00576FC9" w:rsidR="00B4438E">
        <w:t>-2 Bond</w:t>
      </w:r>
      <w:r w:rsidRPr="00576FC9" w:rsidR="00B8130C">
        <w:t xml:space="preserve">s need not comply with the tax provisions required for the </w:t>
      </w:r>
      <w:r w:rsidR="00C7294C">
        <w:t>2024 Series C</w:t>
      </w:r>
      <w:r w:rsidRPr="00576FC9" w:rsidR="00B4438E">
        <w:t>-1 Bond</w:t>
      </w:r>
      <w:r w:rsidRPr="00576FC9" w:rsidR="00B8130C">
        <w:t xml:space="preserve">s, the Authority has elected to comply with the same </w:t>
      </w:r>
      <w:r w:rsidRPr="00576FC9" w:rsidR="00824C61">
        <w:t>tax provisions for each</w:t>
      </w:r>
      <w:r w:rsidRPr="00576FC9" w:rsidR="00B8130C">
        <w:t xml:space="preserve"> series.  </w:t>
      </w:r>
      <w:r w:rsidRPr="00576FC9">
        <w:t xml:space="preserve">See </w:t>
      </w:r>
      <w:r w:rsidRPr="00576FC9" w:rsidR="00C34AEA">
        <w:t>“</w:t>
      </w:r>
      <w:r w:rsidRPr="00576FC9">
        <w:t>FEDERAL TAX LAW</w:t>
      </w:r>
      <w:r w:rsidRPr="00B34407">
        <w:t xml:space="preserve"> REQUIREMENTS</w:t>
      </w:r>
      <w:r w:rsidR="00C34AEA">
        <w:t>”</w:t>
      </w:r>
      <w:r w:rsidRPr="00B34407" w:rsidR="00E14D3A">
        <w:t xml:space="preserve"> herein.</w:t>
      </w:r>
    </w:p>
    <w:p w:rsidRPr="00B34407" w:rsidR="00AF72E5" w:rsidP="00F828E4" w:rsidRDefault="00AF72E5" w14:paraId="54322216" w14:textId="77777777">
      <w:pPr>
        <w:pStyle w:val="aHEADINGSUB"/>
      </w:pPr>
      <w:bookmarkStart w:name="_DV_M536" w:id="502"/>
      <w:bookmarkStart w:name="_Toc534620358" w:id="503"/>
      <w:bookmarkStart w:name="_Toc534620468" w:id="504"/>
      <w:bookmarkStart w:name="_Toc534620586" w:id="505"/>
      <w:bookmarkStart w:name="_Toc534620907" w:id="506"/>
      <w:bookmarkStart w:name="_Toc534621138" w:id="507"/>
      <w:bookmarkStart w:name="_Toc172841957" w:id="508"/>
      <w:bookmarkEnd w:id="502"/>
      <w:r w:rsidRPr="00B34407">
        <w:t>Release of Funds from Indenture</w:t>
      </w:r>
      <w:bookmarkEnd w:id="503"/>
      <w:bookmarkEnd w:id="504"/>
      <w:bookmarkEnd w:id="505"/>
      <w:bookmarkEnd w:id="506"/>
      <w:bookmarkEnd w:id="507"/>
      <w:bookmarkEnd w:id="508"/>
    </w:p>
    <w:p w:rsidRPr="00B34407" w:rsidR="00AF72E5" w:rsidP="00AF72E5" w:rsidRDefault="00AF72E5" w14:paraId="22527F4F" w14:textId="6D32B918">
      <w:pPr>
        <w:pStyle w:val="BodyTextFirstIndent"/>
      </w:pPr>
      <w:bookmarkStart w:name="_DV_M537" w:id="509"/>
      <w:bookmarkEnd w:id="509"/>
      <w:r w:rsidRPr="00B34407">
        <w:t xml:space="preserve">The Indenture permits the Trustee to transfer to the Authority, free and clear of the lien of the Indenture, any amount in the Revenue Account by which the principal amount of Mortgage Loans, together with investments in the Loan Account, exceeds 103% of the Principal Asset Bonds (as defined in APPENDIX </w:t>
      </w:r>
      <w:r w:rsidRPr="00B34407" w:rsidR="00115BE4">
        <w:t>F</w:t>
      </w:r>
      <w:r w:rsidRPr="00B34407">
        <w:t xml:space="preserve">).  See </w:t>
      </w:r>
      <w:r w:rsidR="00C34AEA">
        <w:t>“</w:t>
      </w:r>
      <w:r w:rsidRPr="00B34407">
        <w:t>APPENDIX D: SUMMARY OF CERTAIN PROVISIONS OF INDENTURE—Revenue Account</w:t>
      </w:r>
      <w:r w:rsidR="00C34AEA">
        <w:t>”</w:t>
      </w:r>
      <w:r w:rsidRPr="00B34407" w:rsidR="00E14D3A">
        <w:t xml:space="preserve"> </w:t>
      </w:r>
      <w:r w:rsidRPr="00B34407" w:rsidR="000003D5">
        <w:t xml:space="preserve">and </w:t>
      </w:r>
      <w:r w:rsidR="00C34AEA">
        <w:t>“</w:t>
      </w:r>
      <w:r w:rsidRPr="00B34407" w:rsidR="000003D5">
        <w:t>APPENDIX F: CERTAIN DEFINITIONS</w:t>
      </w:r>
      <w:r w:rsidR="00C34AEA">
        <w:t>”</w:t>
      </w:r>
      <w:r w:rsidRPr="00B34407" w:rsidR="000003D5">
        <w:t xml:space="preserve"> </w:t>
      </w:r>
      <w:r w:rsidRPr="00B34407" w:rsidR="00E14D3A">
        <w:t>attached hereto.</w:t>
      </w:r>
      <w:r w:rsidRPr="00B34407">
        <w:t xml:space="preserve">  For a summary of Revenue Account balances and asset to liability ratios, see </w:t>
      </w:r>
      <w:r w:rsidR="00C34AEA">
        <w:t>“</w:t>
      </w:r>
      <w:r w:rsidRPr="00B34407">
        <w:t>SINGLE FAMILY MORTGAGE PROGRAM—Summary of Revenues, Expenses and Program Balances</w:t>
      </w:r>
      <w:r w:rsidR="00C34AEA">
        <w:t>”</w:t>
      </w:r>
      <w:r w:rsidRPr="00B34407" w:rsidR="00E14D3A">
        <w:t xml:space="preserve"> herein.</w:t>
      </w:r>
    </w:p>
    <w:p w:rsidRPr="00B34407" w:rsidR="00AF72E5" w:rsidP="00F828E4" w:rsidRDefault="00AF72E5" w14:paraId="51EAC0F5" w14:textId="77777777">
      <w:pPr>
        <w:pStyle w:val="aHEADINGSUB"/>
      </w:pPr>
      <w:bookmarkStart w:name="_DV_M538" w:id="510"/>
      <w:bookmarkStart w:name="_Toc534620359" w:id="511"/>
      <w:bookmarkStart w:name="_Toc534620469" w:id="512"/>
      <w:bookmarkStart w:name="_Toc534620587" w:id="513"/>
      <w:bookmarkStart w:name="_Toc534620908" w:id="514"/>
      <w:bookmarkStart w:name="_Toc534621139" w:id="515"/>
      <w:bookmarkStart w:name="_Toc172841958" w:id="516"/>
      <w:bookmarkEnd w:id="510"/>
      <w:r w:rsidRPr="00B34407">
        <w:t>Ratings Downgrade</w:t>
      </w:r>
      <w:bookmarkEnd w:id="511"/>
      <w:bookmarkEnd w:id="512"/>
      <w:bookmarkEnd w:id="513"/>
      <w:bookmarkEnd w:id="514"/>
      <w:bookmarkEnd w:id="515"/>
      <w:bookmarkEnd w:id="516"/>
    </w:p>
    <w:p w:rsidR="00AF72E5" w:rsidP="00AF72E5" w:rsidRDefault="00AF72E5" w14:paraId="35F946E1" w14:textId="5FC6B53A">
      <w:pPr>
        <w:pStyle w:val="BodyTextFirstIndent"/>
      </w:pPr>
      <w:bookmarkStart w:name="_DV_M539" w:id="517"/>
      <w:bookmarkEnd w:id="517"/>
      <w:r w:rsidRPr="00B34407">
        <w:t xml:space="preserve">The ratings awarded to the </w:t>
      </w:r>
      <w:r w:rsidR="00C7294C">
        <w:t>2024 Series C</w:t>
      </w:r>
      <w:r w:rsidR="005B3036">
        <w:t xml:space="preserve"> Bond</w:t>
      </w:r>
      <w:r w:rsidR="006C550F">
        <w:t>s</w:t>
      </w:r>
      <w:r w:rsidRPr="00B34407">
        <w:t xml:space="preserve"> by the Rating Agencies are based on various factors, including the credit of GNMA, Fannie Mae, Freddie Mac, and the providers of </w:t>
      </w:r>
      <w:r w:rsidRPr="00B34407" w:rsidR="00467A83">
        <w:t>any</w:t>
      </w:r>
      <w:r w:rsidRPr="00B34407">
        <w:t xml:space="preserve"> Investment </w:t>
      </w:r>
      <w:r w:rsidRPr="00B34407" w:rsidR="00CF75F9">
        <w:t>Securities</w:t>
      </w:r>
      <w:r w:rsidRPr="00B34407">
        <w:t xml:space="preserve"> pertaining to the Bonds.  If the rating awarded to the securities issued or guaranteed by GNMA, Fannie Mae and Freddie Mac is reduced, or if the rating awarded to the providers of such Investment </w:t>
      </w:r>
      <w:r w:rsidRPr="00B34407" w:rsidR="00257D96">
        <w:t>Securities</w:t>
      </w:r>
      <w:r w:rsidRPr="00B34407">
        <w:t xml:space="preserve"> are reduced, the ratings on the </w:t>
      </w:r>
      <w:r w:rsidR="00C7294C">
        <w:t>2024 Series C</w:t>
      </w:r>
      <w:r w:rsidR="005B3036">
        <w:t xml:space="preserve"> Bond</w:t>
      </w:r>
      <w:r w:rsidR="006C550F">
        <w:t>s</w:t>
      </w:r>
      <w:r w:rsidRPr="00B34407">
        <w:t xml:space="preserve"> may be reduced.  Any reduction of the ratings in effect for the </w:t>
      </w:r>
      <w:r w:rsidR="00C7294C">
        <w:t>2024 Series C</w:t>
      </w:r>
      <w:r w:rsidR="005B3036">
        <w:t xml:space="preserve"> Bond</w:t>
      </w:r>
      <w:r w:rsidR="006C550F">
        <w:t>s</w:t>
      </w:r>
      <w:r w:rsidRPr="00B34407">
        <w:t xml:space="preserve"> </w:t>
      </w:r>
      <w:r w:rsidRPr="00B34407" w:rsidR="00863D54">
        <w:t>is</w:t>
      </w:r>
      <w:r w:rsidRPr="00B34407" w:rsidR="00970245">
        <w:t xml:space="preserve"> expected to</w:t>
      </w:r>
      <w:r w:rsidRPr="00B34407">
        <w:t xml:space="preserve"> adversely affect the market price of the </w:t>
      </w:r>
      <w:r w:rsidR="00C7294C">
        <w:t>2024 Series C</w:t>
      </w:r>
      <w:r w:rsidR="005B3036">
        <w:t xml:space="preserve"> Bond</w:t>
      </w:r>
      <w:r w:rsidR="006C550F">
        <w:t>s</w:t>
      </w:r>
      <w:r w:rsidRPr="00B34407">
        <w:t xml:space="preserve">.  See </w:t>
      </w:r>
      <w:r w:rsidR="00C34AEA">
        <w:t>“</w:t>
      </w:r>
      <w:r w:rsidRPr="00B34407">
        <w:t>RATINGS</w:t>
      </w:r>
      <w:r w:rsidR="00C34AEA">
        <w:t>”</w:t>
      </w:r>
      <w:r w:rsidRPr="00B34407">
        <w:t xml:space="preserve"> herein. </w:t>
      </w:r>
    </w:p>
    <w:p w:rsidRPr="005809F5" w:rsidR="005809F5" w:rsidP="00A97E57" w:rsidRDefault="005809F5" w14:paraId="7C4DB53C" w14:textId="77777777">
      <w:pPr>
        <w:pStyle w:val="aHEADINGSUB"/>
      </w:pPr>
      <w:bookmarkStart w:name="_Toc172841959" w:id="518"/>
      <w:r w:rsidRPr="005809F5">
        <w:t>Enforceability of Remedies; Bankruptcy</w:t>
      </w:r>
      <w:bookmarkEnd w:id="518"/>
    </w:p>
    <w:p w:rsidR="005809F5" w:rsidP="005809F5" w:rsidRDefault="005809F5" w14:paraId="23F53AF4" w14:textId="2BBB827D">
      <w:pPr>
        <w:pStyle w:val="BodyTextFirstIndent"/>
        <w:rPr>
          <w:iCs/>
        </w:rPr>
      </w:pPr>
      <w:r w:rsidRPr="005809F5">
        <w:rPr>
          <w:iCs/>
        </w:rPr>
        <w:t xml:space="preserve">The remedies available to the Trustee and holders of the </w:t>
      </w:r>
      <w:r w:rsidR="00C7294C">
        <w:rPr>
          <w:iCs/>
        </w:rPr>
        <w:t>2024 Series C</w:t>
      </w:r>
      <w:r w:rsidR="005B3036">
        <w:rPr>
          <w:iCs/>
        </w:rPr>
        <w:t xml:space="preserve"> Bond</w:t>
      </w:r>
      <w:r w:rsidR="006C550F">
        <w:rPr>
          <w:iCs/>
        </w:rPr>
        <w:t>s</w:t>
      </w:r>
      <w:r w:rsidRPr="005809F5">
        <w:rPr>
          <w:iCs/>
        </w:rPr>
        <w:t xml:space="preserve"> upon an Event of Default under the Indenture or an event of default under the other documents described herein are in many respects dependent upon regulatory and judicial actions, which are often subject to discretion and delay.  Under existing laws and judicial decisions, the remedies provided under the aforesaid documents may not readily be available or may be limited by bankruptcy protection provided to borrowers, insurers or other participants described herein.  The various legal </w:t>
      </w:r>
      <w:bookmarkStart w:name="ElPgBr44" w:id="519"/>
      <w:bookmarkEnd w:id="519"/>
      <w:r w:rsidRPr="005809F5">
        <w:rPr>
          <w:iCs/>
        </w:rPr>
        <w:t xml:space="preserve">opinions to be delivered concurrently with the delivery of the </w:t>
      </w:r>
      <w:r w:rsidR="00C7294C">
        <w:rPr>
          <w:iCs/>
        </w:rPr>
        <w:t>2024 Series C</w:t>
      </w:r>
      <w:r w:rsidR="005B3036">
        <w:rPr>
          <w:iCs/>
        </w:rPr>
        <w:t xml:space="preserve"> Bond</w:t>
      </w:r>
      <w:r w:rsidR="006C550F">
        <w:rPr>
          <w:iCs/>
        </w:rPr>
        <w:t>s</w:t>
      </w:r>
      <w:r w:rsidRPr="005809F5">
        <w:rPr>
          <w:iCs/>
        </w:rPr>
        <w:t xml:space="preserve"> will be qualified as to the enforceability of the various legal instruments by limitations imposed by bankruptcy, reorganization, insolvency or other similar laws affecting the rights of creditors generally and by the appli</w:t>
      </w:r>
      <w:r>
        <w:rPr>
          <w:iCs/>
        </w:rPr>
        <w:t>cation of equitable principles.</w:t>
      </w:r>
    </w:p>
    <w:p w:rsidR="008C2F9A" w:rsidP="008C2F9A" w:rsidRDefault="008C2F9A" w14:paraId="7DC75E8B" w14:textId="77777777">
      <w:pPr>
        <w:pStyle w:val="aHEADINGSUB"/>
      </w:pPr>
      <w:bookmarkStart w:name="_Toc84413072" w:id="520"/>
      <w:bookmarkStart w:name="_Toc172841960" w:id="521"/>
      <w:r>
        <w:t>Cyber Security and Cyber Risks</w:t>
      </w:r>
      <w:bookmarkEnd w:id="520"/>
      <w:bookmarkEnd w:id="521"/>
    </w:p>
    <w:p w:rsidRPr="003A1EAA" w:rsidR="008C2F9A" w:rsidP="008C2F9A" w:rsidRDefault="008C2F9A" w14:paraId="6482F082" w14:textId="073E16B5">
      <w:pPr>
        <w:pStyle w:val="BodyText"/>
        <w:ind w:firstLine="720"/>
        <w:rPr>
          <w:b/>
        </w:rPr>
      </w:pPr>
      <w:r w:rsidRPr="004D0BED">
        <w:t xml:space="preserve">The Authority, like other public and private entities, relies on computer and other digital networks and systems to conduct its operations.  As a recipient and provider of personal, private or other electronic sensitive information, the Authority may be the subject of cyber threats including, but not limited to, hacking, viruses, malware </w:t>
      </w:r>
      <w:r w:rsidRPr="004D0BED">
        <w:lastRenderedPageBreak/>
        <w:t>and other attacks on computer and other sensitive digital networks and systems.  Entities or individuals may attempt to gain unauthorized remote access to the Authority</w:t>
      </w:r>
      <w:r w:rsidR="00C34AEA">
        <w:t>’</w:t>
      </w:r>
      <w:r w:rsidRPr="004D0BED">
        <w:t>s systems for the purposes of misappropriating assets or information or causing operational disruption or damage, or demanding ransom for restored access to files or information</w:t>
      </w:r>
      <w:r w:rsidRPr="008572E2">
        <w:t>.  In the last five years, the Authority has not had a major cyber breach that resulted in a financial loss.</w:t>
      </w:r>
      <w:r>
        <w:t xml:space="preserve"> </w:t>
      </w:r>
      <w:r w:rsidRPr="004D0BED">
        <w:t xml:space="preserve"> No assurance can be given that the Authority</w:t>
      </w:r>
      <w:r w:rsidR="00C34AEA">
        <w:t>’</w:t>
      </w:r>
      <w:r w:rsidRPr="004D0BED">
        <w:t>s current efforts to manage cyber threats and security will, in all cases, be successful.  The Authority cannot predict what future cyber security events may occur and what impact said events could have on its operations or finances.</w:t>
      </w:r>
      <w:r>
        <w:t xml:space="preserve"> </w:t>
      </w:r>
    </w:p>
    <w:p w:rsidRPr="004D0BED" w:rsidR="008C2F9A" w:rsidP="008C2F9A" w:rsidRDefault="008C2F9A" w14:paraId="0E51885E" w14:textId="51ECEDEA">
      <w:pPr>
        <w:pStyle w:val="BodyText"/>
        <w:ind w:firstLine="720"/>
      </w:pPr>
      <w:r w:rsidRPr="004D0BED">
        <w:t xml:space="preserve">The Authority relies on other entities and service providers in the course of operating the Authority, as well as other trustees, fiscal agents and dissemination agents.  No assurance can be given that future cyber threats and attacks against other third party entities or service providers will not impact the Authority and the owners of the </w:t>
      </w:r>
      <w:r w:rsidR="00C7294C">
        <w:t>2024 Series C</w:t>
      </w:r>
      <w:r w:rsidR="005B3036">
        <w:t xml:space="preserve"> Bond</w:t>
      </w:r>
      <w:r w:rsidR="006C550F">
        <w:t>s</w:t>
      </w:r>
      <w:r w:rsidRPr="004D0BED">
        <w:t xml:space="preserve">, including the possibility of impacting the timely payments of debt service on the </w:t>
      </w:r>
      <w:r w:rsidR="00C7294C">
        <w:t>2024 Series C</w:t>
      </w:r>
      <w:r w:rsidR="005B3036">
        <w:t xml:space="preserve"> Bond</w:t>
      </w:r>
      <w:r w:rsidR="006C550F">
        <w:t>s</w:t>
      </w:r>
      <w:r w:rsidRPr="004D0BED">
        <w:t xml:space="preserve"> or timely filings pursuant to the </w:t>
      </w:r>
      <w:r>
        <w:t>Undertaking (defined herein)</w:t>
      </w:r>
      <w:r w:rsidRPr="004D0BED">
        <w:t>.</w:t>
      </w:r>
    </w:p>
    <w:p w:rsidRPr="00B34407" w:rsidR="00AF72E5" w:rsidP="00F828E4" w:rsidRDefault="00295C91" w14:paraId="3720F157" w14:textId="6C3291B9">
      <w:pPr>
        <w:pStyle w:val="aHEADING"/>
      </w:pPr>
      <w:bookmarkStart w:name="_DV_M540" w:id="522"/>
      <w:bookmarkStart w:name="_Toc212948802" w:id="523"/>
      <w:bookmarkStart w:name="_Toc3865664" w:id="524"/>
      <w:bookmarkStart w:name="_Toc85337908" w:id="525"/>
      <w:bookmarkStart w:name="_Toc534620360" w:id="526"/>
      <w:bookmarkStart w:name="_Toc534620470" w:id="527"/>
      <w:bookmarkStart w:name="_Toc534620588" w:id="528"/>
      <w:bookmarkStart w:name="_Toc534620909" w:id="529"/>
      <w:bookmarkStart w:name="_Toc534621140" w:id="530"/>
      <w:bookmarkStart w:name="_Toc172841961" w:id="531"/>
      <w:bookmarkEnd w:id="522"/>
      <w:r>
        <w:t xml:space="preserve">THE </w:t>
      </w:r>
      <w:r w:rsidRPr="00F828E4" w:rsidR="00AF72E5">
        <w:t>AUTHORITY</w:t>
      </w:r>
      <w:bookmarkEnd w:id="523"/>
      <w:bookmarkEnd w:id="524"/>
      <w:bookmarkEnd w:id="525"/>
      <w:bookmarkEnd w:id="526"/>
      <w:bookmarkEnd w:id="527"/>
      <w:bookmarkEnd w:id="528"/>
      <w:bookmarkEnd w:id="529"/>
      <w:bookmarkEnd w:id="530"/>
      <w:bookmarkEnd w:id="531"/>
    </w:p>
    <w:p w:rsidRPr="00B34407" w:rsidR="00AF72E5" w:rsidP="00F828E4" w:rsidRDefault="00AF72E5" w14:paraId="05D77B03" w14:textId="77777777">
      <w:pPr>
        <w:pStyle w:val="aHEADINGSUB"/>
      </w:pPr>
      <w:bookmarkStart w:name="_DV_M541" w:id="532"/>
      <w:bookmarkStart w:name="_Toc534620361" w:id="533"/>
      <w:bookmarkStart w:name="_Toc534620471" w:id="534"/>
      <w:bookmarkStart w:name="_Toc534620589" w:id="535"/>
      <w:bookmarkStart w:name="_Toc534620910" w:id="536"/>
      <w:bookmarkStart w:name="_Toc534621141" w:id="537"/>
      <w:bookmarkStart w:name="_Toc172841962" w:id="538"/>
      <w:bookmarkEnd w:id="532"/>
      <w:r w:rsidRPr="00B34407">
        <w:t>Purpose and Powers</w:t>
      </w:r>
      <w:bookmarkEnd w:id="533"/>
      <w:bookmarkEnd w:id="534"/>
      <w:bookmarkEnd w:id="535"/>
      <w:bookmarkEnd w:id="536"/>
      <w:bookmarkEnd w:id="537"/>
      <w:bookmarkEnd w:id="538"/>
    </w:p>
    <w:p w:rsidRPr="00B34407" w:rsidR="00AF72E5" w:rsidP="00AF72E5" w:rsidRDefault="00AF72E5" w14:paraId="3696E4DA" w14:textId="77777777">
      <w:pPr>
        <w:pStyle w:val="BodyTextFirstIndent"/>
      </w:pPr>
      <w:bookmarkStart w:name="_DV_M542" w:id="539"/>
      <w:bookmarkStart w:name="_Hlk521662796" w:id="540"/>
      <w:bookmarkEnd w:id="539"/>
      <w:r w:rsidRPr="00B34407">
        <w:t>The Indiana Housing and Community Development Authority (formerly The Indiana Housing Finance Authority) was created in 1978 pursuant to the Act, as a public body corporate and politic of the State.  The Authority has been given certain powers under the Act, including the power to enter into contracts and agreements, acquire, hold and convey property and issue notes and bonds, for the purpose of financing residential housing for persons and families of low and moderate income.  The Authority was reorganized and renamed in May 2005, pursuant to Public Law 235-2005.</w:t>
      </w:r>
    </w:p>
    <w:p w:rsidRPr="00B34407" w:rsidR="00AF72E5" w:rsidP="00AF72E5" w:rsidRDefault="00AF72E5" w14:paraId="55D652F7" w14:textId="77777777">
      <w:pPr>
        <w:pStyle w:val="BodyTextFirstIndent"/>
      </w:pPr>
      <w:bookmarkStart w:name="_DV_M543" w:id="541"/>
      <w:bookmarkEnd w:id="541"/>
      <w:r w:rsidRPr="00B34407">
        <w:t>In establishing the Authority, the General Assembly of the State determined that there existed a need for decent, safe and sanitary housing in the State which is within the financial means of low and moderate income persons and families, that private enterprise and investment should be encouraged to sponsor, build and rehabilitate residential housing for such persons and families, and that the provision of decent, safe and sanitary housing for persons and families of low and moderate income who would otherwise be unable to obtain adequate housing at costs which they could afford is a valid public purpose for which public money may be spent.  In order to effect its purposes, the Act empowers the Authority to (i) make or participate in the making of construction loans and mortgage loans to sponsors of federally assisted multi</w:t>
      </w:r>
      <w:r w:rsidRPr="00B34407">
        <w:noBreakHyphen/>
        <w:t>family residential housing, (ii) purchase or participate in the purchase from mortgage lenders of mortgage loans made to persons of low and moderate income for residential housing from mortgage lenders and (iii) make loans to mortgage lenders in order that such mortgage lenders may make mortgage loans to persons and families of low and moderate income.  The Act authorizes the Authority, w</w:t>
      </w:r>
      <w:r w:rsidRPr="00B34407" w:rsidR="005757C5">
        <w:t>ith the approval of the Public Finance Director of the State of Indiana</w:t>
      </w:r>
      <w:r w:rsidRPr="00B34407">
        <w:t>, to issue its bonds and notes to carry out its purposes, and to issue its refunding obligations to refund any obligations then outstanding which have been issued under the Act, including the payment of any redemption premium thereon and any interest accrued or to accrue to the date of redemption of such obligations.  The Act was amended in 2005 to specifically permit the Authority to enter into any rate swap, basis swap, forward rate agreement, interest rate option, rate cap agreement, rate floor agreement, rate collar agreement, or other similar agreement.  The constitutionality of the Act was upheld by the Supreme Court of Indiana in 1980.</w:t>
      </w:r>
    </w:p>
    <w:p w:rsidRPr="00B34407" w:rsidR="00AF72E5" w:rsidP="00F828E4" w:rsidRDefault="00AF72E5" w14:paraId="1A39AA6B" w14:textId="77777777">
      <w:pPr>
        <w:pStyle w:val="aHEADINGSUB"/>
      </w:pPr>
      <w:bookmarkStart w:name="_DV_M544" w:id="542"/>
      <w:bookmarkStart w:name="_Toc534620362" w:id="543"/>
      <w:bookmarkStart w:name="_Toc534620472" w:id="544"/>
      <w:bookmarkStart w:name="_Toc534620590" w:id="545"/>
      <w:bookmarkStart w:name="_Toc534620911" w:id="546"/>
      <w:bookmarkStart w:name="_Toc534621142" w:id="547"/>
      <w:bookmarkStart w:name="_Toc172841963" w:id="548"/>
      <w:bookmarkEnd w:id="540"/>
      <w:bookmarkEnd w:id="542"/>
      <w:r w:rsidRPr="00B34407">
        <w:t>Organization and Membership</w:t>
      </w:r>
      <w:bookmarkEnd w:id="543"/>
      <w:bookmarkEnd w:id="544"/>
      <w:bookmarkEnd w:id="545"/>
      <w:bookmarkEnd w:id="546"/>
      <w:bookmarkEnd w:id="547"/>
      <w:bookmarkEnd w:id="548"/>
    </w:p>
    <w:p w:rsidRPr="00B34407" w:rsidR="00AF72E5" w:rsidP="00192F3D" w:rsidRDefault="00AF72E5" w14:paraId="314B98CC" w14:textId="3FE532D1">
      <w:pPr>
        <w:pStyle w:val="BodyTextFirstIndent"/>
      </w:pPr>
      <w:bookmarkStart w:name="_DV_M545" w:id="549"/>
      <w:bookmarkEnd w:id="549"/>
      <w:r w:rsidRPr="00B34407">
        <w:t xml:space="preserve">The powers of the Authority are vested by the Act in seven members, four of whom are appointed by the Governor </w:t>
      </w:r>
      <w:r w:rsidR="00192F3D">
        <w:t>of the State of Indiana (the “</w:t>
      </w:r>
      <w:r w:rsidRPr="00192F3D" w:rsidR="00192F3D">
        <w:rPr>
          <w:i/>
        </w:rPr>
        <w:t>Governor</w:t>
      </w:r>
      <w:r w:rsidR="00192F3D">
        <w:t xml:space="preserve">”) </w:t>
      </w:r>
      <w:r w:rsidRPr="00192F3D">
        <w:t>and</w:t>
      </w:r>
      <w:r w:rsidRPr="00B34407">
        <w:t xml:space="preserve"> three of whom serve by virtue of holding other State offices.  The three </w:t>
      </w:r>
      <w:r w:rsidRPr="00B34407" w:rsidR="00375FA1">
        <w:t xml:space="preserve">(3) </w:t>
      </w:r>
      <w:r w:rsidRPr="00B34407">
        <w:t>ex officio members are the Lieutenant Governor, or the Lieutenant Governor</w:t>
      </w:r>
      <w:r w:rsidR="00C34AEA">
        <w:t>’</w:t>
      </w:r>
      <w:r w:rsidRPr="00B34407">
        <w:t xml:space="preserve">s assignee, the Treasurer </w:t>
      </w:r>
      <w:bookmarkStart w:name="ElPgBr46" w:id="550"/>
      <w:bookmarkEnd w:id="550"/>
      <w:r w:rsidRPr="00B34407">
        <w:t>of State, or the Treasurer of State</w:t>
      </w:r>
      <w:r w:rsidR="00C34AEA">
        <w:t>’</w:t>
      </w:r>
      <w:r w:rsidRPr="00B34407">
        <w:t>s assignee, and the Public Finance Director of the Indiana Financing Authority or the Public Finance Director</w:t>
      </w:r>
      <w:r w:rsidR="00C34AEA">
        <w:t>’</w:t>
      </w:r>
      <w:r w:rsidRPr="00B34407">
        <w:t>s designee.  No more than three of the Governor</w:t>
      </w:r>
      <w:r w:rsidR="00C34AEA">
        <w:t>’</w:t>
      </w:r>
      <w:r w:rsidRPr="00B34407">
        <w:t>s four appointees may be members of the same political party.  The Chair and Vice Chair of the Authority are appointed from among its members by the Governor.  Authority members are entitled to reimbursement of necessary expenses incurred in connection with their duties but otherwise receive no compensation.  Each appointed member holds office for a four-year term or until his or her successor has been appointed and qualified.</w:t>
      </w:r>
      <w:bookmarkStart w:name="_DV_M546" w:id="551"/>
      <w:bookmarkEnd w:id="551"/>
    </w:p>
    <w:p w:rsidR="006C64CE" w:rsidP="00416817" w:rsidRDefault="003E5669" w14:paraId="56E17928" w14:textId="0B8E448F">
      <w:pPr>
        <w:pStyle w:val="BodyTextFirstIndent"/>
        <w:spacing w:after="120"/>
      </w:pPr>
      <w:bookmarkStart w:name="_DV_M547" w:id="552"/>
      <w:bookmarkStart w:name="_DV_M548" w:id="553"/>
      <w:bookmarkEnd w:id="552"/>
      <w:bookmarkEnd w:id="553"/>
      <w:r w:rsidRPr="00B34407">
        <w:t>The present members of the Authority, their State office or private affiliation, and the dates of expiration of their t</w:t>
      </w:r>
      <w:r w:rsidR="00A67B6B">
        <w:t xml:space="preserve">erms of office are as follows: </w:t>
      </w:r>
    </w:p>
    <w:p w:rsidR="00A560B6" w:rsidP="00416817" w:rsidRDefault="00A560B6" w14:paraId="6BE8DE0A" w14:textId="15E11145">
      <w:pPr>
        <w:pStyle w:val="BodyTextFirstIndent"/>
        <w:spacing w:after="120"/>
      </w:pPr>
    </w:p>
    <w:p w:rsidRPr="00A67B6B" w:rsidR="00A560B6" w:rsidP="00416817" w:rsidRDefault="00A560B6" w14:paraId="766053B6" w14:textId="77777777">
      <w:pPr>
        <w:pStyle w:val="BodyTextFirstIndent"/>
        <w:spacing w:after="120"/>
      </w:pPr>
    </w:p>
    <w:tbl>
      <w:tblPr>
        <w:tblW w:w="9810" w:type="dxa"/>
        <w:tblLayout w:type="fixed"/>
        <w:tblCellMar>
          <w:left w:w="0" w:type="dxa"/>
          <w:right w:w="0" w:type="dxa"/>
        </w:tblCellMar>
        <w:tblLook w:val="0000" w:firstRow="0" w:lastRow="0" w:firstColumn="0" w:lastColumn="0" w:noHBand="0" w:noVBand="0"/>
      </w:tblPr>
      <w:tblGrid>
        <w:gridCol w:w="2340"/>
        <w:gridCol w:w="180"/>
        <w:gridCol w:w="2520"/>
        <w:gridCol w:w="216"/>
        <w:gridCol w:w="4554"/>
      </w:tblGrid>
      <w:tr w:rsidRPr="00B34407" w:rsidR="003E5669" w:rsidTr="00415E94" w14:paraId="6D2A3107" w14:textId="77777777">
        <w:trPr>
          <w:cantSplit/>
        </w:trPr>
        <w:tc>
          <w:tcPr>
            <w:tcW w:w="2340" w:type="dxa"/>
            <w:tcBorders>
              <w:top w:val="nil"/>
              <w:left w:val="nil"/>
              <w:bottom w:val="nil"/>
              <w:right w:val="nil"/>
            </w:tcBorders>
          </w:tcPr>
          <w:p w:rsidRPr="00B34407" w:rsidR="003E5669" w:rsidP="00415E94" w:rsidRDefault="003E5669" w14:paraId="22F1D2EB" w14:textId="77777777">
            <w:pPr>
              <w:widowControl/>
              <w:rPr>
                <w:u w:val="single"/>
              </w:rPr>
            </w:pPr>
            <w:r w:rsidRPr="00B34407">
              <w:rPr>
                <w:u w:val="single"/>
              </w:rPr>
              <w:t>Name</w:t>
            </w:r>
          </w:p>
        </w:tc>
        <w:tc>
          <w:tcPr>
            <w:tcW w:w="180" w:type="dxa"/>
            <w:tcBorders>
              <w:top w:val="nil"/>
              <w:left w:val="nil"/>
              <w:bottom w:val="nil"/>
              <w:right w:val="nil"/>
            </w:tcBorders>
          </w:tcPr>
          <w:p w:rsidRPr="00B34407" w:rsidR="003E5669" w:rsidP="00415E94" w:rsidRDefault="003E5669" w14:paraId="32353D9D" w14:textId="77777777">
            <w:pPr>
              <w:widowControl/>
              <w:rPr>
                <w:u w:val="single"/>
              </w:rPr>
            </w:pPr>
          </w:p>
        </w:tc>
        <w:tc>
          <w:tcPr>
            <w:tcW w:w="2520" w:type="dxa"/>
            <w:tcBorders>
              <w:top w:val="nil"/>
              <w:left w:val="nil"/>
              <w:bottom w:val="nil"/>
              <w:right w:val="nil"/>
            </w:tcBorders>
          </w:tcPr>
          <w:p w:rsidRPr="00B34407" w:rsidR="003E5669" w:rsidP="00415E94" w:rsidRDefault="003E5669" w14:paraId="3F898B60" w14:textId="77777777">
            <w:pPr>
              <w:widowControl/>
              <w:rPr>
                <w:u w:val="single"/>
              </w:rPr>
            </w:pPr>
            <w:r w:rsidRPr="00B34407">
              <w:rPr>
                <w:u w:val="single"/>
              </w:rPr>
              <w:t>Term Expires</w:t>
            </w:r>
          </w:p>
        </w:tc>
        <w:tc>
          <w:tcPr>
            <w:tcW w:w="216" w:type="dxa"/>
            <w:tcBorders>
              <w:top w:val="nil"/>
              <w:left w:val="nil"/>
              <w:bottom w:val="nil"/>
              <w:right w:val="nil"/>
            </w:tcBorders>
          </w:tcPr>
          <w:p w:rsidRPr="00B34407" w:rsidR="003E5669" w:rsidP="00415E94" w:rsidRDefault="003E5669" w14:paraId="1AB4A577" w14:textId="77777777">
            <w:pPr>
              <w:widowControl/>
              <w:rPr>
                <w:u w:val="single"/>
              </w:rPr>
            </w:pPr>
          </w:p>
        </w:tc>
        <w:tc>
          <w:tcPr>
            <w:tcW w:w="4554" w:type="dxa"/>
            <w:tcBorders>
              <w:top w:val="nil"/>
              <w:left w:val="nil"/>
              <w:bottom w:val="nil"/>
              <w:right w:val="nil"/>
            </w:tcBorders>
          </w:tcPr>
          <w:p w:rsidRPr="00B34407" w:rsidR="003E5669" w:rsidP="00415E94" w:rsidRDefault="003E5669" w14:paraId="1F3C7390" w14:textId="77777777">
            <w:pPr>
              <w:widowControl/>
              <w:rPr>
                <w:u w:val="single"/>
              </w:rPr>
            </w:pPr>
            <w:r w:rsidRPr="00B34407">
              <w:rPr>
                <w:u w:val="single"/>
              </w:rPr>
              <w:t>Occupation</w:t>
            </w:r>
          </w:p>
        </w:tc>
      </w:tr>
      <w:tr w:rsidRPr="00B34407" w:rsidR="003E5669" w:rsidTr="00771C02" w14:paraId="431D4BB6" w14:textId="77777777">
        <w:trPr>
          <w:cantSplit/>
          <w:trHeight w:val="351"/>
        </w:trPr>
        <w:tc>
          <w:tcPr>
            <w:tcW w:w="2340" w:type="dxa"/>
            <w:tcBorders>
              <w:top w:val="nil"/>
              <w:left w:val="nil"/>
              <w:bottom w:val="nil"/>
              <w:right w:val="nil"/>
            </w:tcBorders>
          </w:tcPr>
          <w:p w:rsidRPr="00B34407" w:rsidR="003E5669" w:rsidP="00415E94" w:rsidRDefault="003E5669" w14:paraId="06A7D1F5" w14:textId="77777777">
            <w:pPr>
              <w:widowControl/>
              <w:rPr>
                <w:u w:val="single"/>
              </w:rPr>
            </w:pPr>
          </w:p>
        </w:tc>
        <w:tc>
          <w:tcPr>
            <w:tcW w:w="180" w:type="dxa"/>
            <w:tcBorders>
              <w:top w:val="nil"/>
              <w:left w:val="nil"/>
              <w:bottom w:val="nil"/>
              <w:right w:val="nil"/>
            </w:tcBorders>
          </w:tcPr>
          <w:p w:rsidRPr="00B34407" w:rsidR="003E5669" w:rsidP="00415E94" w:rsidRDefault="003E5669" w14:paraId="6F2E5395" w14:textId="77777777">
            <w:pPr>
              <w:widowControl/>
            </w:pPr>
          </w:p>
        </w:tc>
        <w:tc>
          <w:tcPr>
            <w:tcW w:w="2520" w:type="dxa"/>
            <w:tcBorders>
              <w:top w:val="nil"/>
              <w:left w:val="nil"/>
              <w:bottom w:val="nil"/>
              <w:right w:val="nil"/>
            </w:tcBorders>
          </w:tcPr>
          <w:p w:rsidRPr="00B34407" w:rsidR="003E5669" w:rsidP="00415E94" w:rsidRDefault="003E5669" w14:paraId="5F496214" w14:textId="77777777">
            <w:pPr>
              <w:widowControl/>
            </w:pPr>
          </w:p>
        </w:tc>
        <w:tc>
          <w:tcPr>
            <w:tcW w:w="216" w:type="dxa"/>
            <w:tcBorders>
              <w:top w:val="nil"/>
              <w:left w:val="nil"/>
              <w:bottom w:val="nil"/>
              <w:right w:val="nil"/>
            </w:tcBorders>
          </w:tcPr>
          <w:p w:rsidRPr="00B34407" w:rsidR="003E5669" w:rsidP="00415E94" w:rsidRDefault="003E5669" w14:paraId="1D448949" w14:textId="77777777">
            <w:pPr>
              <w:widowControl/>
            </w:pPr>
          </w:p>
        </w:tc>
        <w:tc>
          <w:tcPr>
            <w:tcW w:w="4554" w:type="dxa"/>
            <w:tcBorders>
              <w:top w:val="nil"/>
              <w:left w:val="nil"/>
              <w:bottom w:val="nil"/>
              <w:right w:val="nil"/>
            </w:tcBorders>
          </w:tcPr>
          <w:p w:rsidRPr="00B34407" w:rsidR="003E5669" w:rsidP="00415E94" w:rsidRDefault="003E5669" w14:paraId="69537E33" w14:textId="77777777">
            <w:pPr>
              <w:widowControl/>
            </w:pPr>
          </w:p>
        </w:tc>
      </w:tr>
      <w:tr w:rsidRPr="00B34407" w:rsidR="003E5669" w:rsidTr="00415E94" w14:paraId="0C02A491" w14:textId="77777777">
        <w:trPr>
          <w:cantSplit/>
        </w:trPr>
        <w:tc>
          <w:tcPr>
            <w:tcW w:w="2340" w:type="dxa"/>
            <w:tcBorders>
              <w:top w:val="nil"/>
              <w:left w:val="nil"/>
              <w:bottom w:val="nil"/>
              <w:right w:val="nil"/>
            </w:tcBorders>
          </w:tcPr>
          <w:p w:rsidRPr="001E57C9" w:rsidR="003E5669" w:rsidP="00415E94" w:rsidRDefault="003E5669" w14:paraId="55EE4F25" w14:textId="0A36297D">
            <w:pPr>
              <w:widowControl/>
            </w:pPr>
            <w:r w:rsidRPr="001E57C9">
              <w:t>Suzanne Crouch, Chair</w:t>
            </w:r>
            <w:r w:rsidRPr="001E57C9" w:rsidR="00771C02">
              <w:rPr>
                <w:rStyle w:val="FootnoteReference"/>
              </w:rPr>
              <w:footnoteReference w:id="5"/>
            </w:r>
          </w:p>
        </w:tc>
        <w:tc>
          <w:tcPr>
            <w:tcW w:w="180" w:type="dxa"/>
            <w:tcBorders>
              <w:top w:val="nil"/>
              <w:left w:val="nil"/>
              <w:bottom w:val="nil"/>
              <w:right w:val="nil"/>
            </w:tcBorders>
          </w:tcPr>
          <w:p w:rsidRPr="001E57C9" w:rsidR="003E5669" w:rsidP="00415E94" w:rsidRDefault="003E5669" w14:paraId="325F29F7" w14:textId="77777777">
            <w:pPr>
              <w:widowControl/>
            </w:pPr>
          </w:p>
        </w:tc>
        <w:tc>
          <w:tcPr>
            <w:tcW w:w="2520" w:type="dxa"/>
            <w:tcBorders>
              <w:top w:val="nil"/>
              <w:left w:val="nil"/>
              <w:bottom w:val="nil"/>
              <w:right w:val="nil"/>
            </w:tcBorders>
          </w:tcPr>
          <w:p w:rsidRPr="001E57C9" w:rsidR="003E5669" w:rsidP="00611FB7" w:rsidRDefault="00D9571E" w14:paraId="07D9B550" w14:textId="2D6CD2EC">
            <w:pPr>
              <w:widowControl/>
            </w:pPr>
            <w:r w:rsidRPr="001E57C9">
              <w:t xml:space="preserve">January </w:t>
            </w:r>
            <w:r w:rsidR="00611FB7">
              <w:t>13</w:t>
            </w:r>
            <w:r w:rsidRPr="001E57C9">
              <w:t>, 202</w:t>
            </w:r>
            <w:r w:rsidR="00611FB7">
              <w:t>5</w:t>
            </w:r>
          </w:p>
        </w:tc>
        <w:tc>
          <w:tcPr>
            <w:tcW w:w="216" w:type="dxa"/>
            <w:tcBorders>
              <w:top w:val="nil"/>
              <w:left w:val="nil"/>
              <w:bottom w:val="nil"/>
              <w:right w:val="nil"/>
            </w:tcBorders>
          </w:tcPr>
          <w:p w:rsidRPr="00B34407" w:rsidR="003E5669" w:rsidP="00415E94" w:rsidRDefault="003E5669" w14:paraId="460D639A" w14:textId="77777777">
            <w:pPr>
              <w:widowControl/>
            </w:pPr>
          </w:p>
        </w:tc>
        <w:tc>
          <w:tcPr>
            <w:tcW w:w="4554" w:type="dxa"/>
            <w:tcBorders>
              <w:top w:val="nil"/>
              <w:left w:val="nil"/>
              <w:bottom w:val="nil"/>
              <w:right w:val="nil"/>
            </w:tcBorders>
          </w:tcPr>
          <w:p w:rsidRPr="00B34407" w:rsidR="003E5669" w:rsidP="00415E94" w:rsidRDefault="003E5669" w14:paraId="0AB2E4DD" w14:textId="77777777">
            <w:pPr>
              <w:widowControl/>
            </w:pPr>
            <w:r w:rsidRPr="00B34407">
              <w:t>Lieutenant Governor, State of Indiana</w:t>
            </w:r>
          </w:p>
        </w:tc>
      </w:tr>
      <w:tr w:rsidRPr="00B34407" w:rsidR="003E5669" w:rsidTr="00415E94" w14:paraId="4FC6A5F7" w14:textId="77777777">
        <w:trPr>
          <w:cantSplit/>
        </w:trPr>
        <w:tc>
          <w:tcPr>
            <w:tcW w:w="2340" w:type="dxa"/>
            <w:tcBorders>
              <w:top w:val="nil"/>
              <w:left w:val="nil"/>
              <w:bottom w:val="nil"/>
              <w:right w:val="nil"/>
            </w:tcBorders>
          </w:tcPr>
          <w:p w:rsidRPr="00B34407" w:rsidR="003E5669" w:rsidP="00415E94" w:rsidRDefault="003E5669" w14:paraId="5C6FFD94" w14:textId="77777777">
            <w:pPr>
              <w:widowControl/>
            </w:pPr>
          </w:p>
        </w:tc>
        <w:tc>
          <w:tcPr>
            <w:tcW w:w="180" w:type="dxa"/>
            <w:tcBorders>
              <w:top w:val="nil"/>
              <w:left w:val="nil"/>
              <w:bottom w:val="nil"/>
              <w:right w:val="nil"/>
            </w:tcBorders>
          </w:tcPr>
          <w:p w:rsidRPr="00B34407" w:rsidR="003E5669" w:rsidP="00415E94" w:rsidRDefault="003E5669" w14:paraId="4F600BBA" w14:textId="77777777">
            <w:pPr>
              <w:widowControl/>
            </w:pPr>
          </w:p>
        </w:tc>
        <w:tc>
          <w:tcPr>
            <w:tcW w:w="2520" w:type="dxa"/>
            <w:tcBorders>
              <w:top w:val="nil"/>
              <w:left w:val="nil"/>
              <w:bottom w:val="nil"/>
              <w:right w:val="nil"/>
            </w:tcBorders>
          </w:tcPr>
          <w:p w:rsidRPr="003D3D86" w:rsidR="003E5669" w:rsidP="00415E94" w:rsidRDefault="003E5669" w14:paraId="32AECD2A" w14:textId="77777777">
            <w:pPr>
              <w:widowControl/>
              <w:rPr>
                <w:highlight w:val="yellow"/>
              </w:rPr>
            </w:pPr>
          </w:p>
        </w:tc>
        <w:tc>
          <w:tcPr>
            <w:tcW w:w="216" w:type="dxa"/>
            <w:tcBorders>
              <w:top w:val="nil"/>
              <w:left w:val="nil"/>
              <w:bottom w:val="nil"/>
              <w:right w:val="nil"/>
            </w:tcBorders>
          </w:tcPr>
          <w:p w:rsidRPr="00B34407" w:rsidR="003E5669" w:rsidP="00415E94" w:rsidRDefault="003E5669" w14:paraId="7701A1FD" w14:textId="77777777">
            <w:pPr>
              <w:widowControl/>
            </w:pPr>
          </w:p>
        </w:tc>
        <w:tc>
          <w:tcPr>
            <w:tcW w:w="4554" w:type="dxa"/>
            <w:tcBorders>
              <w:top w:val="nil"/>
              <w:left w:val="nil"/>
              <w:bottom w:val="nil"/>
              <w:right w:val="nil"/>
            </w:tcBorders>
          </w:tcPr>
          <w:p w:rsidRPr="00B34407" w:rsidR="003E5669" w:rsidP="00415E94" w:rsidRDefault="003E5669" w14:paraId="14B07008" w14:textId="77777777">
            <w:pPr>
              <w:widowControl/>
            </w:pPr>
          </w:p>
        </w:tc>
      </w:tr>
      <w:tr w:rsidRPr="00B34407" w:rsidR="003E5669" w:rsidTr="0081528A" w14:paraId="6C27D6AE" w14:textId="77777777">
        <w:trPr>
          <w:cantSplit/>
          <w:trHeight w:val="216"/>
        </w:trPr>
        <w:tc>
          <w:tcPr>
            <w:tcW w:w="2340" w:type="dxa"/>
            <w:tcBorders>
              <w:top w:val="nil"/>
              <w:left w:val="nil"/>
              <w:bottom w:val="nil"/>
              <w:right w:val="nil"/>
            </w:tcBorders>
          </w:tcPr>
          <w:p w:rsidRPr="00B34407" w:rsidR="003E5669" w:rsidP="00063AC6" w:rsidRDefault="00D80246" w14:paraId="12D9E460" w14:textId="37E2F8EB">
            <w:pPr>
              <w:widowControl/>
            </w:pPr>
            <w:r w:rsidRPr="00D80246">
              <w:rPr>
                <w:bCs/>
              </w:rPr>
              <w:t>Daniel Elliott</w:t>
            </w:r>
            <w:r w:rsidRPr="00B34407" w:rsidR="003E5669">
              <w:t xml:space="preserve">, </w:t>
            </w:r>
            <w:r w:rsidRPr="001E57C9" w:rsidR="003E5669">
              <w:t>Vice Chair</w:t>
            </w:r>
            <w:r w:rsidR="00B57103">
              <w:t>*</w:t>
            </w:r>
            <w:r w:rsidR="001E57C9">
              <w:t xml:space="preserve"> </w:t>
            </w:r>
          </w:p>
        </w:tc>
        <w:tc>
          <w:tcPr>
            <w:tcW w:w="180" w:type="dxa"/>
            <w:tcBorders>
              <w:top w:val="nil"/>
              <w:left w:val="nil"/>
              <w:bottom w:val="nil"/>
              <w:right w:val="nil"/>
            </w:tcBorders>
          </w:tcPr>
          <w:p w:rsidRPr="00B34407" w:rsidR="003E5669" w:rsidP="00415E94" w:rsidRDefault="00771C02" w14:paraId="4C1B0314" w14:textId="7AD08DBD">
            <w:pPr>
              <w:widowControl/>
            </w:pPr>
            <w:r>
              <w:t xml:space="preserve"> </w:t>
            </w:r>
          </w:p>
        </w:tc>
        <w:tc>
          <w:tcPr>
            <w:tcW w:w="2520" w:type="dxa"/>
            <w:tcBorders>
              <w:top w:val="nil"/>
              <w:left w:val="nil"/>
              <w:bottom w:val="nil"/>
              <w:right w:val="nil"/>
            </w:tcBorders>
          </w:tcPr>
          <w:p w:rsidRPr="003D3D86" w:rsidR="003E5669" w:rsidP="00415E94" w:rsidRDefault="00D80246" w14:paraId="4351E5B1" w14:textId="7448CC16">
            <w:pPr>
              <w:widowControl/>
              <w:rPr>
                <w:highlight w:val="yellow"/>
              </w:rPr>
            </w:pPr>
            <w:r w:rsidRPr="00D80246">
              <w:t>December 31, 2026</w:t>
            </w:r>
          </w:p>
        </w:tc>
        <w:tc>
          <w:tcPr>
            <w:tcW w:w="216" w:type="dxa"/>
            <w:tcBorders>
              <w:top w:val="nil"/>
              <w:left w:val="nil"/>
              <w:bottom w:val="nil"/>
              <w:right w:val="nil"/>
            </w:tcBorders>
          </w:tcPr>
          <w:p w:rsidRPr="00B34407" w:rsidR="003E5669" w:rsidP="00415E94" w:rsidRDefault="003E5669" w14:paraId="37E57F75" w14:textId="77777777">
            <w:pPr>
              <w:widowControl/>
            </w:pPr>
          </w:p>
        </w:tc>
        <w:tc>
          <w:tcPr>
            <w:tcW w:w="4554" w:type="dxa"/>
            <w:tcBorders>
              <w:top w:val="nil"/>
              <w:left w:val="nil"/>
              <w:bottom w:val="nil"/>
              <w:right w:val="nil"/>
            </w:tcBorders>
          </w:tcPr>
          <w:p w:rsidRPr="00B34407" w:rsidR="003E5669" w:rsidP="0081528A" w:rsidRDefault="00F828E4" w14:paraId="71BC9EDF" w14:textId="2D43819B">
            <w:pPr>
              <w:widowControl/>
            </w:pPr>
            <w:r>
              <w:t>Treasurer of State</w:t>
            </w:r>
          </w:p>
        </w:tc>
      </w:tr>
      <w:tr w:rsidRPr="00B34407" w:rsidR="0081528A" w:rsidTr="00415E94" w14:paraId="596E531B" w14:textId="77777777">
        <w:trPr>
          <w:cantSplit/>
        </w:trPr>
        <w:tc>
          <w:tcPr>
            <w:tcW w:w="2340" w:type="dxa"/>
            <w:tcBorders>
              <w:top w:val="nil"/>
              <w:left w:val="nil"/>
              <w:bottom w:val="nil"/>
              <w:right w:val="nil"/>
            </w:tcBorders>
          </w:tcPr>
          <w:p w:rsidRPr="00B34407" w:rsidR="0081528A" w:rsidP="00415E94" w:rsidRDefault="0081528A" w14:paraId="7A00B039" w14:textId="77777777">
            <w:pPr>
              <w:widowControl/>
            </w:pPr>
          </w:p>
        </w:tc>
        <w:tc>
          <w:tcPr>
            <w:tcW w:w="180" w:type="dxa"/>
            <w:tcBorders>
              <w:top w:val="nil"/>
              <w:left w:val="nil"/>
              <w:bottom w:val="nil"/>
              <w:right w:val="nil"/>
            </w:tcBorders>
          </w:tcPr>
          <w:p w:rsidRPr="00B34407" w:rsidR="0081528A" w:rsidP="00415E94" w:rsidRDefault="0081528A" w14:paraId="077572BF" w14:textId="77777777">
            <w:pPr>
              <w:widowControl/>
            </w:pPr>
          </w:p>
        </w:tc>
        <w:tc>
          <w:tcPr>
            <w:tcW w:w="2520" w:type="dxa"/>
            <w:tcBorders>
              <w:top w:val="nil"/>
              <w:left w:val="nil"/>
              <w:bottom w:val="nil"/>
              <w:right w:val="nil"/>
            </w:tcBorders>
          </w:tcPr>
          <w:p w:rsidRPr="003D3D86" w:rsidR="0081528A" w:rsidP="00415E94" w:rsidRDefault="0081528A" w14:paraId="3FBFBC90" w14:textId="77777777">
            <w:pPr>
              <w:widowControl/>
              <w:rPr>
                <w:highlight w:val="yellow"/>
              </w:rPr>
            </w:pPr>
          </w:p>
        </w:tc>
        <w:tc>
          <w:tcPr>
            <w:tcW w:w="216" w:type="dxa"/>
            <w:tcBorders>
              <w:top w:val="nil"/>
              <w:left w:val="nil"/>
              <w:bottom w:val="nil"/>
              <w:right w:val="nil"/>
            </w:tcBorders>
          </w:tcPr>
          <w:p w:rsidRPr="00B34407" w:rsidR="0081528A" w:rsidP="00415E94" w:rsidRDefault="0081528A" w14:paraId="39B1BC7A" w14:textId="77777777">
            <w:pPr>
              <w:widowControl/>
            </w:pPr>
          </w:p>
        </w:tc>
        <w:tc>
          <w:tcPr>
            <w:tcW w:w="4554" w:type="dxa"/>
            <w:tcBorders>
              <w:top w:val="nil"/>
              <w:left w:val="nil"/>
              <w:bottom w:val="nil"/>
              <w:right w:val="nil"/>
            </w:tcBorders>
          </w:tcPr>
          <w:p w:rsidRPr="00B34407" w:rsidR="0081528A" w:rsidP="00415E94" w:rsidRDefault="0081528A" w14:paraId="729857D4" w14:textId="77777777">
            <w:pPr>
              <w:widowControl/>
            </w:pPr>
          </w:p>
        </w:tc>
      </w:tr>
      <w:tr w:rsidRPr="00B34407" w:rsidR="003E5669" w:rsidTr="00415E94" w14:paraId="58094E4A" w14:textId="77777777">
        <w:trPr>
          <w:cantSplit/>
        </w:trPr>
        <w:tc>
          <w:tcPr>
            <w:tcW w:w="2340" w:type="dxa"/>
            <w:tcBorders>
              <w:top w:val="nil"/>
              <w:left w:val="nil"/>
              <w:bottom w:val="nil"/>
              <w:right w:val="nil"/>
            </w:tcBorders>
          </w:tcPr>
          <w:p w:rsidRPr="00B34407" w:rsidR="003E5669" w:rsidP="00AD2B7F" w:rsidRDefault="003E5669" w14:paraId="1D22E237" w14:textId="4F9DCFDF">
            <w:pPr>
              <w:widowControl/>
            </w:pPr>
            <w:r w:rsidRPr="00B34407">
              <w:t>Dan Huge</w:t>
            </w:r>
            <w:r w:rsidR="00AD2B7F">
              <w:t>*</w:t>
            </w:r>
          </w:p>
        </w:tc>
        <w:tc>
          <w:tcPr>
            <w:tcW w:w="180" w:type="dxa"/>
            <w:tcBorders>
              <w:top w:val="nil"/>
              <w:left w:val="nil"/>
              <w:bottom w:val="nil"/>
              <w:right w:val="nil"/>
            </w:tcBorders>
          </w:tcPr>
          <w:p w:rsidRPr="00B34407" w:rsidR="003E5669" w:rsidP="00415E94" w:rsidRDefault="003E5669" w14:paraId="5E4D0769" w14:textId="77777777">
            <w:pPr>
              <w:widowControl/>
            </w:pPr>
          </w:p>
        </w:tc>
        <w:tc>
          <w:tcPr>
            <w:tcW w:w="2520" w:type="dxa"/>
            <w:tcBorders>
              <w:top w:val="nil"/>
              <w:left w:val="nil"/>
              <w:bottom w:val="nil"/>
              <w:right w:val="nil"/>
            </w:tcBorders>
          </w:tcPr>
          <w:p w:rsidRPr="00E31645" w:rsidR="003E5669" w:rsidP="00415E94" w:rsidRDefault="003E5669" w14:paraId="4C222029" w14:textId="77777777">
            <w:pPr>
              <w:widowControl/>
            </w:pPr>
            <w:r w:rsidRPr="00E31645">
              <w:t>Serves at pleasure of Governor</w:t>
            </w:r>
          </w:p>
        </w:tc>
        <w:tc>
          <w:tcPr>
            <w:tcW w:w="216" w:type="dxa"/>
            <w:tcBorders>
              <w:top w:val="nil"/>
              <w:left w:val="nil"/>
              <w:bottom w:val="nil"/>
              <w:right w:val="nil"/>
            </w:tcBorders>
          </w:tcPr>
          <w:p w:rsidRPr="00E31645" w:rsidR="003E5669" w:rsidP="00415E94" w:rsidRDefault="003E5669" w14:paraId="543896A4" w14:textId="77777777">
            <w:pPr>
              <w:widowControl/>
            </w:pPr>
          </w:p>
        </w:tc>
        <w:tc>
          <w:tcPr>
            <w:tcW w:w="4554" w:type="dxa"/>
            <w:tcBorders>
              <w:top w:val="nil"/>
              <w:left w:val="nil"/>
              <w:bottom w:val="nil"/>
              <w:right w:val="nil"/>
            </w:tcBorders>
          </w:tcPr>
          <w:p w:rsidRPr="00E31645" w:rsidR="003E5669" w:rsidP="00415E94" w:rsidRDefault="003E5669" w14:paraId="19F7F1F0" w14:textId="77777777">
            <w:pPr>
              <w:widowControl/>
            </w:pPr>
            <w:r w:rsidRPr="00E31645">
              <w:t>Public Finance Director of the State of Indiana</w:t>
            </w:r>
          </w:p>
        </w:tc>
      </w:tr>
      <w:tr w:rsidRPr="00B34407" w:rsidR="003E5669" w:rsidTr="00415E94" w14:paraId="5B125670" w14:textId="77777777">
        <w:trPr>
          <w:cantSplit/>
        </w:trPr>
        <w:tc>
          <w:tcPr>
            <w:tcW w:w="2340" w:type="dxa"/>
            <w:tcBorders>
              <w:top w:val="nil"/>
              <w:left w:val="nil"/>
              <w:bottom w:val="nil"/>
              <w:right w:val="nil"/>
            </w:tcBorders>
          </w:tcPr>
          <w:p w:rsidRPr="00B34407" w:rsidR="003E5669" w:rsidP="00415E94" w:rsidRDefault="003E5669" w14:paraId="780D5F5F" w14:textId="77777777">
            <w:pPr>
              <w:widowControl/>
            </w:pPr>
          </w:p>
        </w:tc>
        <w:tc>
          <w:tcPr>
            <w:tcW w:w="180" w:type="dxa"/>
            <w:tcBorders>
              <w:top w:val="nil"/>
              <w:left w:val="nil"/>
              <w:bottom w:val="nil"/>
              <w:right w:val="nil"/>
            </w:tcBorders>
          </w:tcPr>
          <w:p w:rsidRPr="00B34407" w:rsidR="003E5669" w:rsidP="00415E94" w:rsidRDefault="003E5669" w14:paraId="3410AE55" w14:textId="77777777">
            <w:pPr>
              <w:widowControl/>
            </w:pPr>
          </w:p>
        </w:tc>
        <w:tc>
          <w:tcPr>
            <w:tcW w:w="2520" w:type="dxa"/>
            <w:tcBorders>
              <w:top w:val="nil"/>
              <w:left w:val="nil"/>
              <w:bottom w:val="nil"/>
              <w:right w:val="nil"/>
            </w:tcBorders>
          </w:tcPr>
          <w:p w:rsidRPr="003D3D86" w:rsidR="003E5669" w:rsidP="00415E94" w:rsidRDefault="003E5669" w14:paraId="7EFCBF3A" w14:textId="77777777">
            <w:pPr>
              <w:widowControl/>
              <w:rPr>
                <w:highlight w:val="yellow"/>
              </w:rPr>
            </w:pPr>
          </w:p>
        </w:tc>
        <w:tc>
          <w:tcPr>
            <w:tcW w:w="216" w:type="dxa"/>
            <w:tcBorders>
              <w:top w:val="nil"/>
              <w:left w:val="nil"/>
              <w:bottom w:val="nil"/>
              <w:right w:val="nil"/>
            </w:tcBorders>
          </w:tcPr>
          <w:p w:rsidRPr="00B34407" w:rsidR="003E5669" w:rsidP="00415E94" w:rsidRDefault="003E5669" w14:paraId="414117CB" w14:textId="77777777">
            <w:pPr>
              <w:widowControl/>
            </w:pPr>
          </w:p>
        </w:tc>
        <w:tc>
          <w:tcPr>
            <w:tcW w:w="4554" w:type="dxa"/>
            <w:tcBorders>
              <w:top w:val="nil"/>
              <w:left w:val="nil"/>
              <w:bottom w:val="nil"/>
              <w:right w:val="nil"/>
            </w:tcBorders>
          </w:tcPr>
          <w:p w:rsidRPr="00B34407" w:rsidR="003E5669" w:rsidP="00415E94" w:rsidRDefault="003E5669" w14:paraId="793AAD2B" w14:textId="77777777">
            <w:pPr>
              <w:widowControl/>
            </w:pPr>
          </w:p>
        </w:tc>
      </w:tr>
      <w:tr w:rsidRPr="00B34407" w:rsidR="00733A44" w:rsidTr="00415E94" w14:paraId="0763A4AF" w14:textId="77777777">
        <w:trPr>
          <w:cantSplit/>
        </w:trPr>
        <w:tc>
          <w:tcPr>
            <w:tcW w:w="2340" w:type="dxa"/>
            <w:tcBorders>
              <w:top w:val="nil"/>
              <w:left w:val="nil"/>
              <w:bottom w:val="nil"/>
              <w:right w:val="nil"/>
            </w:tcBorders>
          </w:tcPr>
          <w:p w:rsidRPr="00B34407" w:rsidR="00733A44" w:rsidP="00EC290E" w:rsidRDefault="00EC290E" w14:paraId="698ADE6D" w14:textId="36E18066">
            <w:pPr>
              <w:widowControl/>
            </w:pPr>
            <w:r>
              <w:t xml:space="preserve">G. Michael </w:t>
            </w:r>
            <w:r w:rsidRPr="00EC290E">
              <w:rPr>
                <w:iCs/>
              </w:rPr>
              <w:t>Schopmeyer</w:t>
            </w:r>
          </w:p>
        </w:tc>
        <w:tc>
          <w:tcPr>
            <w:tcW w:w="180" w:type="dxa"/>
            <w:tcBorders>
              <w:top w:val="nil"/>
              <w:left w:val="nil"/>
              <w:bottom w:val="nil"/>
              <w:right w:val="nil"/>
            </w:tcBorders>
          </w:tcPr>
          <w:p w:rsidRPr="00B34407" w:rsidR="00733A44" w:rsidP="00733A44" w:rsidRDefault="00733A44" w14:paraId="0F83F057" w14:textId="77777777">
            <w:pPr>
              <w:widowControl/>
            </w:pPr>
          </w:p>
        </w:tc>
        <w:tc>
          <w:tcPr>
            <w:tcW w:w="2520" w:type="dxa"/>
            <w:tcBorders>
              <w:top w:val="nil"/>
              <w:left w:val="nil"/>
              <w:bottom w:val="nil"/>
              <w:right w:val="nil"/>
            </w:tcBorders>
          </w:tcPr>
          <w:p w:rsidRPr="003D3D86" w:rsidR="00733A44" w:rsidP="008E2F2E" w:rsidRDefault="008E2F2E" w14:paraId="53A7ECEE" w14:textId="07075452">
            <w:pPr>
              <w:widowControl/>
              <w:rPr>
                <w:highlight w:val="yellow"/>
              </w:rPr>
            </w:pPr>
            <w:r w:rsidRPr="008E2F2E">
              <w:t>September</w:t>
            </w:r>
            <w:r w:rsidRPr="008E2F2E" w:rsidR="0099099A">
              <w:t xml:space="preserve"> 30, 202</w:t>
            </w:r>
            <w:r w:rsidRPr="008E2F2E">
              <w:t>6</w:t>
            </w:r>
          </w:p>
        </w:tc>
        <w:tc>
          <w:tcPr>
            <w:tcW w:w="216" w:type="dxa"/>
            <w:tcBorders>
              <w:top w:val="nil"/>
              <w:left w:val="nil"/>
              <w:bottom w:val="nil"/>
              <w:right w:val="nil"/>
            </w:tcBorders>
          </w:tcPr>
          <w:p w:rsidRPr="00B34407" w:rsidR="00733A44" w:rsidP="00733A44" w:rsidRDefault="00733A44" w14:paraId="6C39508F" w14:textId="77777777">
            <w:pPr>
              <w:widowControl/>
            </w:pPr>
          </w:p>
        </w:tc>
        <w:tc>
          <w:tcPr>
            <w:tcW w:w="4554" w:type="dxa"/>
            <w:tcBorders>
              <w:top w:val="nil"/>
              <w:left w:val="nil"/>
              <w:bottom w:val="nil"/>
              <w:right w:val="nil"/>
            </w:tcBorders>
          </w:tcPr>
          <w:p w:rsidRPr="00B34407" w:rsidR="00733A44" w:rsidP="00733A44" w:rsidRDefault="00FC7CD0" w14:paraId="6DD45F94" w14:textId="74929647">
            <w:pPr>
              <w:widowControl/>
            </w:pPr>
            <w:r>
              <w:t>Kahn, Dees, Donovan &amp; Kahn, LLP</w:t>
            </w:r>
          </w:p>
        </w:tc>
      </w:tr>
      <w:tr w:rsidRPr="00B34407" w:rsidR="00733A44" w:rsidTr="00415E94" w14:paraId="529263EE" w14:textId="77777777">
        <w:trPr>
          <w:cantSplit/>
        </w:trPr>
        <w:tc>
          <w:tcPr>
            <w:tcW w:w="2340" w:type="dxa"/>
            <w:tcBorders>
              <w:top w:val="nil"/>
              <w:left w:val="nil"/>
              <w:bottom w:val="nil"/>
              <w:right w:val="nil"/>
            </w:tcBorders>
          </w:tcPr>
          <w:p w:rsidRPr="00B34407" w:rsidR="00733A44" w:rsidP="00733A44" w:rsidRDefault="00733A44" w14:paraId="14B1810E" w14:textId="77777777">
            <w:pPr>
              <w:widowControl/>
            </w:pPr>
          </w:p>
        </w:tc>
        <w:tc>
          <w:tcPr>
            <w:tcW w:w="180" w:type="dxa"/>
            <w:tcBorders>
              <w:top w:val="nil"/>
              <w:left w:val="nil"/>
              <w:bottom w:val="nil"/>
              <w:right w:val="nil"/>
            </w:tcBorders>
          </w:tcPr>
          <w:p w:rsidRPr="00B34407" w:rsidR="00733A44" w:rsidP="00733A44" w:rsidRDefault="00733A44" w14:paraId="78B0A164" w14:textId="77777777">
            <w:pPr>
              <w:widowControl/>
            </w:pPr>
          </w:p>
        </w:tc>
        <w:tc>
          <w:tcPr>
            <w:tcW w:w="2520" w:type="dxa"/>
            <w:tcBorders>
              <w:top w:val="nil"/>
              <w:left w:val="nil"/>
              <w:bottom w:val="nil"/>
              <w:right w:val="nil"/>
            </w:tcBorders>
          </w:tcPr>
          <w:p w:rsidRPr="003D3D86" w:rsidR="00733A44" w:rsidP="00733A44" w:rsidRDefault="00733A44" w14:paraId="2B2C7915" w14:textId="77777777">
            <w:pPr>
              <w:widowControl/>
              <w:rPr>
                <w:highlight w:val="yellow"/>
              </w:rPr>
            </w:pPr>
          </w:p>
        </w:tc>
        <w:tc>
          <w:tcPr>
            <w:tcW w:w="216" w:type="dxa"/>
            <w:tcBorders>
              <w:top w:val="nil"/>
              <w:left w:val="nil"/>
              <w:bottom w:val="nil"/>
              <w:right w:val="nil"/>
            </w:tcBorders>
          </w:tcPr>
          <w:p w:rsidRPr="00B34407" w:rsidR="00733A44" w:rsidP="00733A44" w:rsidRDefault="00733A44" w14:paraId="642DE8ED" w14:textId="77777777">
            <w:pPr>
              <w:widowControl/>
            </w:pPr>
          </w:p>
        </w:tc>
        <w:tc>
          <w:tcPr>
            <w:tcW w:w="4554" w:type="dxa"/>
            <w:tcBorders>
              <w:top w:val="nil"/>
              <w:left w:val="nil"/>
              <w:bottom w:val="nil"/>
              <w:right w:val="nil"/>
            </w:tcBorders>
          </w:tcPr>
          <w:p w:rsidRPr="00B34407" w:rsidR="00733A44" w:rsidP="00733A44" w:rsidRDefault="00733A44" w14:paraId="504DC52E" w14:textId="77777777">
            <w:pPr>
              <w:widowControl/>
            </w:pPr>
          </w:p>
        </w:tc>
      </w:tr>
      <w:tr w:rsidRPr="00B34407" w:rsidR="00733A44" w:rsidTr="00415E94" w14:paraId="130F66E7" w14:textId="77777777">
        <w:trPr>
          <w:cantSplit/>
        </w:trPr>
        <w:tc>
          <w:tcPr>
            <w:tcW w:w="2340" w:type="dxa"/>
            <w:tcBorders>
              <w:top w:val="nil"/>
              <w:left w:val="nil"/>
              <w:bottom w:val="nil"/>
              <w:right w:val="nil"/>
            </w:tcBorders>
          </w:tcPr>
          <w:p w:rsidRPr="00B34407" w:rsidR="00733A44" w:rsidP="00733A44" w:rsidRDefault="00733A44" w14:paraId="551082B8" w14:textId="77777777">
            <w:pPr>
              <w:widowControl/>
            </w:pPr>
            <w:r w:rsidRPr="00B34407">
              <w:t>Thomas K. McGowan</w:t>
            </w:r>
          </w:p>
        </w:tc>
        <w:tc>
          <w:tcPr>
            <w:tcW w:w="180" w:type="dxa"/>
            <w:tcBorders>
              <w:top w:val="nil"/>
              <w:left w:val="nil"/>
              <w:bottom w:val="nil"/>
              <w:right w:val="nil"/>
            </w:tcBorders>
          </w:tcPr>
          <w:p w:rsidRPr="00B34407" w:rsidR="00733A44" w:rsidP="00733A44" w:rsidRDefault="00733A44" w14:paraId="75739DD7" w14:textId="77777777">
            <w:pPr>
              <w:widowControl/>
            </w:pPr>
          </w:p>
        </w:tc>
        <w:tc>
          <w:tcPr>
            <w:tcW w:w="2520" w:type="dxa"/>
            <w:tcBorders>
              <w:top w:val="nil"/>
              <w:left w:val="nil"/>
              <w:bottom w:val="nil"/>
              <w:right w:val="nil"/>
            </w:tcBorders>
          </w:tcPr>
          <w:p w:rsidRPr="003D3D86" w:rsidR="00733A44" w:rsidP="00733A44" w:rsidRDefault="00CD33B6" w14:paraId="6F7B2881" w14:textId="5D022E7A">
            <w:pPr>
              <w:widowControl/>
              <w:rPr>
                <w:highlight w:val="yellow"/>
              </w:rPr>
            </w:pPr>
            <w:r w:rsidRPr="00CD33B6">
              <w:t>September 30, 2026</w:t>
            </w:r>
          </w:p>
        </w:tc>
        <w:tc>
          <w:tcPr>
            <w:tcW w:w="216" w:type="dxa"/>
            <w:tcBorders>
              <w:top w:val="nil"/>
              <w:left w:val="nil"/>
              <w:bottom w:val="nil"/>
              <w:right w:val="nil"/>
            </w:tcBorders>
          </w:tcPr>
          <w:p w:rsidRPr="00B34407" w:rsidR="00733A44" w:rsidP="00733A44" w:rsidRDefault="00733A44" w14:paraId="62CDD02D" w14:textId="77777777">
            <w:pPr>
              <w:widowControl/>
            </w:pPr>
          </w:p>
        </w:tc>
        <w:tc>
          <w:tcPr>
            <w:tcW w:w="4554" w:type="dxa"/>
            <w:tcBorders>
              <w:top w:val="nil"/>
              <w:left w:val="nil"/>
              <w:bottom w:val="nil"/>
              <w:right w:val="nil"/>
            </w:tcBorders>
          </w:tcPr>
          <w:p w:rsidRPr="00B34407" w:rsidR="00733A44" w:rsidP="00733A44" w:rsidRDefault="00733A44" w14:paraId="0CB83D2C" w14:textId="77777777">
            <w:pPr>
              <w:widowControl/>
            </w:pPr>
            <w:r w:rsidRPr="00B34407">
              <w:t>Kite Realty Group Trust</w:t>
            </w:r>
          </w:p>
        </w:tc>
      </w:tr>
      <w:tr w:rsidRPr="00B34407" w:rsidR="00733A44" w:rsidTr="00415E94" w14:paraId="08E0B594" w14:textId="77777777">
        <w:trPr>
          <w:cantSplit/>
        </w:trPr>
        <w:tc>
          <w:tcPr>
            <w:tcW w:w="2340" w:type="dxa"/>
            <w:tcBorders>
              <w:top w:val="nil"/>
              <w:left w:val="nil"/>
              <w:bottom w:val="nil"/>
              <w:right w:val="nil"/>
            </w:tcBorders>
          </w:tcPr>
          <w:p w:rsidRPr="00B34407" w:rsidR="00733A44" w:rsidP="00733A44" w:rsidRDefault="00733A44" w14:paraId="50EB5BF2" w14:textId="77777777">
            <w:pPr>
              <w:widowControl/>
            </w:pPr>
          </w:p>
        </w:tc>
        <w:tc>
          <w:tcPr>
            <w:tcW w:w="180" w:type="dxa"/>
            <w:tcBorders>
              <w:top w:val="nil"/>
              <w:left w:val="nil"/>
              <w:bottom w:val="nil"/>
              <w:right w:val="nil"/>
            </w:tcBorders>
          </w:tcPr>
          <w:p w:rsidRPr="00B34407" w:rsidR="00733A44" w:rsidP="00733A44" w:rsidRDefault="00733A44" w14:paraId="70333D4F" w14:textId="77777777">
            <w:pPr>
              <w:widowControl/>
            </w:pPr>
          </w:p>
        </w:tc>
        <w:tc>
          <w:tcPr>
            <w:tcW w:w="2520" w:type="dxa"/>
            <w:tcBorders>
              <w:top w:val="nil"/>
              <w:left w:val="nil"/>
              <w:bottom w:val="nil"/>
              <w:right w:val="nil"/>
            </w:tcBorders>
          </w:tcPr>
          <w:p w:rsidRPr="003D3D86" w:rsidR="00733A44" w:rsidP="00733A44" w:rsidRDefault="00733A44" w14:paraId="78C3FD33" w14:textId="77777777">
            <w:pPr>
              <w:widowControl/>
              <w:rPr>
                <w:highlight w:val="yellow"/>
              </w:rPr>
            </w:pPr>
          </w:p>
        </w:tc>
        <w:tc>
          <w:tcPr>
            <w:tcW w:w="216" w:type="dxa"/>
            <w:tcBorders>
              <w:top w:val="nil"/>
              <w:left w:val="nil"/>
              <w:bottom w:val="nil"/>
              <w:right w:val="nil"/>
            </w:tcBorders>
          </w:tcPr>
          <w:p w:rsidRPr="00B34407" w:rsidR="00733A44" w:rsidP="00733A44" w:rsidRDefault="00733A44" w14:paraId="11D59753" w14:textId="77777777">
            <w:pPr>
              <w:widowControl/>
            </w:pPr>
          </w:p>
        </w:tc>
        <w:tc>
          <w:tcPr>
            <w:tcW w:w="4554" w:type="dxa"/>
            <w:tcBorders>
              <w:top w:val="nil"/>
              <w:left w:val="nil"/>
              <w:bottom w:val="nil"/>
              <w:right w:val="nil"/>
            </w:tcBorders>
          </w:tcPr>
          <w:p w:rsidRPr="00B34407" w:rsidR="00733A44" w:rsidP="00733A44" w:rsidRDefault="00733A44" w14:paraId="4A1B0020" w14:textId="77777777">
            <w:pPr>
              <w:widowControl/>
            </w:pPr>
          </w:p>
        </w:tc>
      </w:tr>
      <w:tr w:rsidRPr="00B34407" w:rsidR="00733A44" w:rsidTr="00415E94" w14:paraId="39744213" w14:textId="77777777">
        <w:trPr>
          <w:cantSplit/>
          <w:trHeight w:val="261"/>
        </w:trPr>
        <w:tc>
          <w:tcPr>
            <w:tcW w:w="2340" w:type="dxa"/>
            <w:tcBorders>
              <w:top w:val="nil"/>
              <w:left w:val="nil"/>
              <w:bottom w:val="nil"/>
              <w:right w:val="nil"/>
            </w:tcBorders>
          </w:tcPr>
          <w:p w:rsidRPr="00B34407" w:rsidR="00733A44" w:rsidP="00733A44" w:rsidRDefault="00733A44" w14:paraId="2FA29C19" w14:textId="77777777">
            <w:pPr>
              <w:widowControl/>
            </w:pPr>
            <w:r w:rsidRPr="00B34407">
              <w:t>Andy Place, Sr.</w:t>
            </w:r>
          </w:p>
        </w:tc>
        <w:tc>
          <w:tcPr>
            <w:tcW w:w="180" w:type="dxa"/>
            <w:tcBorders>
              <w:top w:val="nil"/>
              <w:left w:val="nil"/>
              <w:bottom w:val="nil"/>
              <w:right w:val="nil"/>
            </w:tcBorders>
          </w:tcPr>
          <w:p w:rsidRPr="00B34407" w:rsidR="00733A44" w:rsidP="00733A44" w:rsidRDefault="00733A44" w14:paraId="0C4B40CE" w14:textId="77777777">
            <w:pPr>
              <w:widowControl/>
            </w:pPr>
          </w:p>
        </w:tc>
        <w:tc>
          <w:tcPr>
            <w:tcW w:w="2520" w:type="dxa"/>
            <w:tcBorders>
              <w:top w:val="nil"/>
              <w:left w:val="nil"/>
              <w:bottom w:val="nil"/>
              <w:right w:val="nil"/>
            </w:tcBorders>
          </w:tcPr>
          <w:p w:rsidRPr="003D3D86" w:rsidR="00733A44" w:rsidP="009B682F" w:rsidRDefault="009B682F" w14:paraId="3E01CA85" w14:textId="4EC9A218">
            <w:pPr>
              <w:widowControl/>
              <w:rPr>
                <w:highlight w:val="yellow"/>
              </w:rPr>
            </w:pPr>
            <w:r w:rsidRPr="00CD33B6">
              <w:t>September</w:t>
            </w:r>
            <w:r w:rsidRPr="00CD33B6" w:rsidR="00CC2261">
              <w:t xml:space="preserve"> 30, 202</w:t>
            </w:r>
            <w:r w:rsidRPr="00CD33B6">
              <w:t>6</w:t>
            </w:r>
          </w:p>
        </w:tc>
        <w:tc>
          <w:tcPr>
            <w:tcW w:w="216" w:type="dxa"/>
            <w:tcBorders>
              <w:top w:val="nil"/>
              <w:left w:val="nil"/>
              <w:bottom w:val="nil"/>
              <w:right w:val="nil"/>
            </w:tcBorders>
          </w:tcPr>
          <w:p w:rsidRPr="00B34407" w:rsidR="00733A44" w:rsidP="00733A44" w:rsidRDefault="00733A44" w14:paraId="65C3262F" w14:textId="77777777">
            <w:pPr>
              <w:widowControl/>
            </w:pPr>
          </w:p>
        </w:tc>
        <w:tc>
          <w:tcPr>
            <w:tcW w:w="4554" w:type="dxa"/>
            <w:tcBorders>
              <w:top w:val="nil"/>
              <w:left w:val="nil"/>
              <w:bottom w:val="nil"/>
              <w:right w:val="nil"/>
            </w:tcBorders>
          </w:tcPr>
          <w:p w:rsidRPr="00B34407" w:rsidR="00733A44" w:rsidP="00733A44" w:rsidRDefault="00733A44" w14:paraId="0A9CB910" w14:textId="77777777">
            <w:pPr>
              <w:widowControl/>
            </w:pPr>
            <w:r w:rsidRPr="00B34407">
              <w:t xml:space="preserve">Place Builders, Inc. </w:t>
            </w:r>
          </w:p>
        </w:tc>
      </w:tr>
      <w:tr w:rsidRPr="00B34407" w:rsidR="00611FB7" w:rsidTr="00415E94" w14:paraId="60AD4CE3" w14:textId="77777777">
        <w:trPr>
          <w:cantSplit/>
          <w:trHeight w:val="261"/>
        </w:trPr>
        <w:tc>
          <w:tcPr>
            <w:tcW w:w="2340" w:type="dxa"/>
            <w:tcBorders>
              <w:top w:val="nil"/>
              <w:left w:val="nil"/>
              <w:bottom w:val="nil"/>
              <w:right w:val="nil"/>
            </w:tcBorders>
          </w:tcPr>
          <w:p w:rsidRPr="00B34407" w:rsidR="00611FB7" w:rsidP="00733A44" w:rsidRDefault="00611FB7" w14:paraId="1BF55BF4" w14:textId="77777777">
            <w:pPr>
              <w:widowControl/>
            </w:pPr>
          </w:p>
        </w:tc>
        <w:tc>
          <w:tcPr>
            <w:tcW w:w="180" w:type="dxa"/>
            <w:tcBorders>
              <w:top w:val="nil"/>
              <w:left w:val="nil"/>
              <w:bottom w:val="nil"/>
              <w:right w:val="nil"/>
            </w:tcBorders>
          </w:tcPr>
          <w:p w:rsidRPr="00B34407" w:rsidR="00611FB7" w:rsidP="00733A44" w:rsidRDefault="00611FB7" w14:paraId="2ED55B96" w14:textId="77777777">
            <w:pPr>
              <w:widowControl/>
            </w:pPr>
          </w:p>
        </w:tc>
        <w:tc>
          <w:tcPr>
            <w:tcW w:w="2520" w:type="dxa"/>
            <w:tcBorders>
              <w:top w:val="nil"/>
              <w:left w:val="nil"/>
              <w:bottom w:val="nil"/>
              <w:right w:val="nil"/>
            </w:tcBorders>
          </w:tcPr>
          <w:p w:rsidRPr="00CD33B6" w:rsidR="00611FB7" w:rsidP="009B682F" w:rsidRDefault="00611FB7" w14:paraId="4A2748F5" w14:textId="77777777">
            <w:pPr>
              <w:widowControl/>
            </w:pPr>
          </w:p>
        </w:tc>
        <w:tc>
          <w:tcPr>
            <w:tcW w:w="216" w:type="dxa"/>
            <w:tcBorders>
              <w:top w:val="nil"/>
              <w:left w:val="nil"/>
              <w:bottom w:val="nil"/>
              <w:right w:val="nil"/>
            </w:tcBorders>
          </w:tcPr>
          <w:p w:rsidRPr="00B34407" w:rsidR="00611FB7" w:rsidP="00733A44" w:rsidRDefault="00611FB7" w14:paraId="6026B312" w14:textId="77777777">
            <w:pPr>
              <w:widowControl/>
            </w:pPr>
          </w:p>
        </w:tc>
        <w:tc>
          <w:tcPr>
            <w:tcW w:w="4554" w:type="dxa"/>
            <w:tcBorders>
              <w:top w:val="nil"/>
              <w:left w:val="nil"/>
              <w:bottom w:val="nil"/>
              <w:right w:val="nil"/>
            </w:tcBorders>
          </w:tcPr>
          <w:p w:rsidRPr="00B34407" w:rsidR="00611FB7" w:rsidP="00733A44" w:rsidRDefault="00611FB7" w14:paraId="47B0B219" w14:textId="77777777">
            <w:pPr>
              <w:widowControl/>
            </w:pPr>
          </w:p>
        </w:tc>
      </w:tr>
      <w:tr w:rsidRPr="00B34407" w:rsidR="00611FB7" w:rsidTr="00415E94" w14:paraId="031F1040" w14:textId="77777777">
        <w:trPr>
          <w:cantSplit/>
          <w:trHeight w:val="261"/>
        </w:trPr>
        <w:tc>
          <w:tcPr>
            <w:tcW w:w="2340" w:type="dxa"/>
            <w:tcBorders>
              <w:top w:val="nil"/>
              <w:left w:val="nil"/>
              <w:bottom w:val="nil"/>
              <w:right w:val="nil"/>
            </w:tcBorders>
          </w:tcPr>
          <w:p w:rsidRPr="00B34407" w:rsidR="00611FB7" w:rsidP="00733A44" w:rsidRDefault="00611FB7" w14:paraId="4D53E8E6" w14:textId="4B8AFB6C">
            <w:pPr>
              <w:widowControl/>
            </w:pPr>
            <w:r>
              <w:t>Chad A. Greiwe</w:t>
            </w:r>
          </w:p>
        </w:tc>
        <w:tc>
          <w:tcPr>
            <w:tcW w:w="180" w:type="dxa"/>
            <w:tcBorders>
              <w:top w:val="nil"/>
              <w:left w:val="nil"/>
              <w:bottom w:val="nil"/>
              <w:right w:val="nil"/>
            </w:tcBorders>
          </w:tcPr>
          <w:p w:rsidRPr="00B34407" w:rsidR="00611FB7" w:rsidP="00733A44" w:rsidRDefault="00611FB7" w14:paraId="271A907B" w14:textId="77777777">
            <w:pPr>
              <w:widowControl/>
            </w:pPr>
          </w:p>
        </w:tc>
        <w:tc>
          <w:tcPr>
            <w:tcW w:w="2520" w:type="dxa"/>
            <w:tcBorders>
              <w:top w:val="nil"/>
              <w:left w:val="nil"/>
              <w:bottom w:val="nil"/>
              <w:right w:val="nil"/>
            </w:tcBorders>
          </w:tcPr>
          <w:p w:rsidRPr="00CD33B6" w:rsidR="00611FB7" w:rsidP="009B682F" w:rsidRDefault="00611FB7" w14:paraId="412578C1" w14:textId="293F5F5E">
            <w:pPr>
              <w:widowControl/>
            </w:pPr>
            <w:r>
              <w:t>September 30, 2026</w:t>
            </w:r>
          </w:p>
        </w:tc>
        <w:tc>
          <w:tcPr>
            <w:tcW w:w="216" w:type="dxa"/>
            <w:tcBorders>
              <w:top w:val="nil"/>
              <w:left w:val="nil"/>
              <w:bottom w:val="nil"/>
              <w:right w:val="nil"/>
            </w:tcBorders>
          </w:tcPr>
          <w:p w:rsidRPr="00B34407" w:rsidR="00611FB7" w:rsidP="00733A44" w:rsidRDefault="00611FB7" w14:paraId="5596552F" w14:textId="77777777">
            <w:pPr>
              <w:widowControl/>
            </w:pPr>
          </w:p>
        </w:tc>
        <w:tc>
          <w:tcPr>
            <w:tcW w:w="4554" w:type="dxa"/>
            <w:tcBorders>
              <w:top w:val="nil"/>
              <w:left w:val="nil"/>
              <w:bottom w:val="nil"/>
              <w:right w:val="nil"/>
            </w:tcBorders>
          </w:tcPr>
          <w:p w:rsidRPr="00B34407" w:rsidR="00611FB7" w:rsidP="00733A44" w:rsidRDefault="00611FB7" w14:paraId="034EDA73" w14:textId="7368D0FE">
            <w:pPr>
              <w:widowControl/>
            </w:pPr>
            <w:r>
              <w:t>Zidan Management Group, Inc.</w:t>
            </w:r>
          </w:p>
        </w:tc>
      </w:tr>
    </w:tbl>
    <w:p w:rsidRPr="00B34407" w:rsidR="00733A44" w:rsidP="003E5669" w:rsidRDefault="00733A44" w14:paraId="06E3FE7A" w14:textId="77777777">
      <w:pPr>
        <w:widowControl/>
      </w:pPr>
    </w:p>
    <w:p w:rsidRPr="00B34407" w:rsidR="00AF72E5" w:rsidP="00AF72E5" w:rsidRDefault="00AF72E5" w14:paraId="73A63F65" w14:textId="34B88018">
      <w:pPr>
        <w:pStyle w:val="BodyTextFirstIndent"/>
      </w:pPr>
      <w:r w:rsidRPr="00B34407">
        <w:t xml:space="preserve">The Authority is authorized to employ an Executive Director, other legal and technical experts, and such officers, agents and employees as it may require.  The Authority is also required by statute to work with the Indiana Finance Authority in issuing bonds and other indebtedness.  </w:t>
      </w:r>
    </w:p>
    <w:p w:rsidRPr="00B34407" w:rsidR="00B239AC" w:rsidP="00970245" w:rsidRDefault="00AF72E5" w14:paraId="4BDB04EB" w14:textId="39DED9AD">
      <w:pPr>
        <w:pStyle w:val="BodyTextFirstIndent"/>
      </w:pPr>
      <w:bookmarkStart w:name="_DV_M549" w:id="554"/>
      <w:bookmarkEnd w:id="554"/>
      <w:r w:rsidRPr="00B34407">
        <w:t>The Authority also employs a staff of approximately</w:t>
      </w:r>
      <w:r w:rsidRPr="00B34407" w:rsidR="00375FA1">
        <w:t xml:space="preserve"> </w:t>
      </w:r>
      <w:r w:rsidRPr="009E4BC3" w:rsidR="00EF5862">
        <w:t>1</w:t>
      </w:r>
      <w:r w:rsidRPr="009E4BC3" w:rsidR="00020F68">
        <w:t>8</w:t>
      </w:r>
      <w:r w:rsidRPr="009E4BC3" w:rsidR="00EF5862">
        <w:t>0</w:t>
      </w:r>
      <w:r w:rsidR="009E2D2B">
        <w:t xml:space="preserve"> </w:t>
      </w:r>
      <w:r w:rsidRPr="00B34407">
        <w:t>persons.  The principal staff members of the Authority</w:t>
      </w:r>
      <w:r w:rsidRPr="001A2E2D" w:rsidR="001A2E2D">
        <w:t xml:space="preserve"> with respect to the Single Family Housing Program</w:t>
      </w:r>
      <w:r w:rsidRPr="00B34407">
        <w:t xml:space="preserve"> and</w:t>
      </w:r>
      <w:r w:rsidRPr="00B34407" w:rsidR="00970245">
        <w:t xml:space="preserve"> their experience follow:</w:t>
      </w:r>
      <w:r w:rsidR="006532E6">
        <w:t xml:space="preserve"> </w:t>
      </w:r>
    </w:p>
    <w:p w:rsidRPr="00B34407" w:rsidR="003507E9" w:rsidP="00F828E4" w:rsidRDefault="003507E9" w14:paraId="2C5895B2" w14:textId="76908CD4">
      <w:pPr>
        <w:pStyle w:val="BodyTextFirstIndent"/>
      </w:pPr>
      <w:bookmarkStart w:name="_DV_M550" w:id="555"/>
      <w:bookmarkStart w:name="_DV_M552" w:id="556"/>
      <w:bookmarkStart w:name="_DV_M553" w:id="557"/>
      <w:bookmarkStart w:name="_DV_M554" w:id="558"/>
      <w:bookmarkEnd w:id="555"/>
      <w:bookmarkEnd w:id="556"/>
      <w:bookmarkEnd w:id="557"/>
      <w:bookmarkEnd w:id="558"/>
      <w:r w:rsidRPr="00B34407">
        <w:t>J. JACOB SIPE, Executive Director.  Mr. Sipe originally joined the Authority in September 1999 and has been promoted to positions of increasing responsibility.  He was named Executive Director effective January 14, 2013, having served in that role on an interim basis since July 28, 2012.  He is a graduate of Indiana University</w:t>
      </w:r>
      <w:r w:rsidR="00C34AEA">
        <w:t>’</w:t>
      </w:r>
      <w:r w:rsidRPr="00B34407">
        <w:t>s School of Public Environmental Affairs and currently serves on the advisory council for LISC, the Affordable Housing Association of Indiana, and the</w:t>
      </w:r>
      <w:r w:rsidRPr="00B34407">
        <w:rPr>
          <w:color w:val="1F497D"/>
        </w:rPr>
        <w:t xml:space="preserve"> </w:t>
      </w:r>
      <w:r w:rsidRPr="00B34407">
        <w:t>National Council of Affordable Housing Market Analysts Advisory Committee.  Previously, Mr. Sipe served as the head of the Real Estate Department where he was responsible for administering and the ongoing reporting for the State</w:t>
      </w:r>
      <w:r w:rsidR="00C34AEA">
        <w:t>’</w:t>
      </w:r>
      <w:r w:rsidRPr="00B34407">
        <w:t>s Section 42 Rental Housing Tax Credit Program, Federal programs such as HOME and CDBG, and State monies including Indiana</w:t>
      </w:r>
      <w:r w:rsidR="00C34AEA">
        <w:t>’</w:t>
      </w:r>
      <w:r w:rsidRPr="00B34407">
        <w:t>s Housing Development Fund.  Before joining the</w:t>
      </w:r>
      <w:r w:rsidR="00C96857">
        <w:t xml:space="preserve"> Authority</w:t>
      </w:r>
      <w:r w:rsidRPr="00B34407">
        <w:t>, Mr. Sipe was employed by the First National Bank of Cloverdale.</w:t>
      </w:r>
    </w:p>
    <w:p w:rsidR="00B9259A" w:rsidP="00F828E4" w:rsidRDefault="003507E9" w14:paraId="5D739DD6" w14:textId="63006C9F">
      <w:pPr>
        <w:pStyle w:val="BodyTextFirstIndent"/>
      </w:pPr>
      <w:r w:rsidRPr="00B34407">
        <w:t>RICH HARCOURT, Chief Financial Officer and Director of Finance</w:t>
      </w:r>
      <w:r w:rsidRPr="00B34407" w:rsidR="00676AA6">
        <w:t>.</w:t>
      </w:r>
      <w:r w:rsidRPr="00B34407" w:rsidR="007936A0">
        <w:t xml:space="preserve"> </w:t>
      </w:r>
      <w:r w:rsidR="00AE1249">
        <w:t xml:space="preserve"> </w:t>
      </w:r>
      <w:r w:rsidRPr="00B34407" w:rsidR="00B9259A">
        <w:t xml:space="preserve">Rich Harcourt was named CFO of the </w:t>
      </w:r>
      <w:r w:rsidR="00030ED5">
        <w:t>Authority</w:t>
      </w:r>
      <w:r w:rsidRPr="00B34407" w:rsidR="00B9259A">
        <w:t xml:space="preserve"> in July 2018.  He is a graduate of Ball State University with majors in finance and business administration.  He began his career in banking and left National City</w:t>
      </w:r>
      <w:r w:rsidRPr="00B34407" w:rsidR="003C40B5">
        <w:t xml:space="preserve"> Bank</w:t>
      </w:r>
      <w:r w:rsidR="003C7339">
        <w:t xml:space="preserve"> (Indiana)</w:t>
      </w:r>
      <w:r w:rsidRPr="00B34407" w:rsidR="00B9259A">
        <w:t xml:space="preserve"> after 32 years.  His last assignment at the bank was as SVP and Managing Director of</w:t>
      </w:r>
      <w:r w:rsidR="003C7339">
        <w:t xml:space="preserve"> the bank</w:t>
      </w:r>
      <w:r w:rsidR="00C34AEA">
        <w:t>’</w:t>
      </w:r>
      <w:r w:rsidR="003C7339">
        <w:t>s</w:t>
      </w:r>
      <w:r w:rsidRPr="00B34407" w:rsidR="00B9259A">
        <w:t xml:space="preserve"> Specialty Lending unit which included government relationships.  Subsequently he joined Damar Services as their CFO.  Damar is a not for profit serving children and adults with developmental disabilities, autism, and behavioral challenges.  He has served on several not for profit boards in the Indianapolis area and also as the President of the </w:t>
      </w:r>
      <w:r w:rsidRPr="003D4F69" w:rsidR="00B9259A">
        <w:t xml:space="preserve">Zionsville </w:t>
      </w:r>
      <w:r w:rsidRPr="003D4F69" w:rsidR="003D4F69">
        <w:t>Redevelopment</w:t>
      </w:r>
      <w:r w:rsidRPr="003D4F69" w:rsidR="00B9259A">
        <w:t xml:space="preserve"> Authority</w:t>
      </w:r>
      <w:r w:rsidRPr="00B34407" w:rsidR="00B9259A">
        <w:t xml:space="preserve">.  </w:t>
      </w:r>
    </w:p>
    <w:p w:rsidRPr="00E74F46" w:rsidR="00E74F46" w:rsidP="00E74F46" w:rsidRDefault="00E74F46" w14:paraId="7B543F15" w14:textId="1661F14D">
      <w:pPr>
        <w:pStyle w:val="BodyTextFirstIndent"/>
      </w:pPr>
      <w:bookmarkStart w:name="ElPgBr47" w:id="559"/>
      <w:bookmarkEnd w:id="559"/>
      <w:r>
        <w:t>THOMAS</w:t>
      </w:r>
      <w:r w:rsidRPr="00E74F46" w:rsidR="00313BF3">
        <w:t xml:space="preserve"> PEARSON, </w:t>
      </w:r>
      <w:r w:rsidRPr="00E74F46">
        <w:t xml:space="preserve">Homeownership Director. </w:t>
      </w:r>
      <w:r w:rsidR="00AE1249">
        <w:t xml:space="preserve"> </w:t>
      </w:r>
      <w:r w:rsidRPr="00E74F46">
        <w:t>Mr. Pearson joined the Authority in December 2011.  He holds a Bachelor of Science degree with a concentration in Accounting from the Kelley School of Business at Indiana University and a Master of Business Administration from the Falls School of Business at Anderson University.  Prior to his position at the Authority, he held positions with the McDonalds Corporation, Clifton Larson Allen LLP, and HSBC.</w:t>
      </w:r>
    </w:p>
    <w:p w:rsidRPr="00B34407" w:rsidR="00AF72E5" w:rsidP="00F828E4" w:rsidRDefault="00AF72E5" w14:paraId="65B86F69" w14:textId="0CCD35BA">
      <w:pPr>
        <w:pStyle w:val="BodyTextFirstIndent"/>
      </w:pPr>
      <w:bookmarkStart w:name="_Hlk521662760" w:id="560"/>
      <w:r w:rsidRPr="00B34407">
        <w:t xml:space="preserve">The Authority maintains offices at 30 </w:t>
      </w:r>
      <w:r w:rsidRPr="00B34407" w:rsidR="0063290C">
        <w:t>South Meridian Street, Suite 90</w:t>
      </w:r>
      <w:r w:rsidRPr="00B34407">
        <w:t>0, Indianapolis, Indiana 46204</w:t>
      </w:r>
      <w:r w:rsidRPr="00B34407">
        <w:noBreakHyphen/>
        <w:t>3564.  The Authority</w:t>
      </w:r>
      <w:r w:rsidR="00C34AEA">
        <w:t>’</w:t>
      </w:r>
      <w:r w:rsidRPr="00B34407">
        <w:t>s telephone number is (317) 232</w:t>
      </w:r>
      <w:r w:rsidRPr="00B34407">
        <w:noBreakHyphen/>
        <w:t xml:space="preserve">7777.  </w:t>
      </w:r>
      <w:bookmarkEnd w:id="560"/>
      <w:r w:rsidRPr="00B34407">
        <w:t xml:space="preserve">Investor relations contact:  </w:t>
      </w:r>
      <w:r w:rsidRPr="00B34407" w:rsidR="003507E9">
        <w:t>Rich Harcourt</w:t>
      </w:r>
      <w:r w:rsidRPr="00B34407">
        <w:t>.</w:t>
      </w:r>
    </w:p>
    <w:p w:rsidRPr="00B34407" w:rsidR="00AF72E5" w:rsidP="00F828E4" w:rsidRDefault="00AF72E5" w14:paraId="6F970CA6" w14:textId="77777777">
      <w:pPr>
        <w:pStyle w:val="aHEADINGSUB"/>
      </w:pPr>
      <w:bookmarkStart w:name="_DV_M555" w:id="561"/>
      <w:bookmarkStart w:name="_Toc165279114" w:id="562"/>
      <w:bookmarkStart w:name="_Toc534620363" w:id="563"/>
      <w:bookmarkStart w:name="_Toc534620473" w:id="564"/>
      <w:bookmarkStart w:name="_Toc534620591" w:id="565"/>
      <w:bookmarkStart w:name="_Toc534620912" w:id="566"/>
      <w:bookmarkStart w:name="_Toc534621143" w:id="567"/>
      <w:bookmarkStart w:name="_Toc172841964" w:id="568"/>
      <w:bookmarkEnd w:id="561"/>
      <w:r w:rsidRPr="00B34407">
        <w:lastRenderedPageBreak/>
        <w:t>Other Activities of Authority</w:t>
      </w:r>
      <w:bookmarkEnd w:id="562"/>
      <w:bookmarkEnd w:id="563"/>
      <w:bookmarkEnd w:id="564"/>
      <w:bookmarkEnd w:id="565"/>
      <w:bookmarkEnd w:id="566"/>
      <w:bookmarkEnd w:id="567"/>
      <w:bookmarkEnd w:id="568"/>
    </w:p>
    <w:p w:rsidRPr="00B34407" w:rsidR="00AF72E5" w:rsidP="00AF72E5" w:rsidRDefault="00AF72E5" w14:paraId="10CD1FAA" w14:textId="63964E10">
      <w:pPr>
        <w:pStyle w:val="BodyTextFirstIndent"/>
      </w:pPr>
      <w:bookmarkStart w:name="_DV_M556" w:id="569"/>
      <w:bookmarkEnd w:id="569"/>
      <w:r w:rsidRPr="00B34407">
        <w:t>The following summarizes and describes the Authority</w:t>
      </w:r>
      <w:r w:rsidR="00C34AEA">
        <w:t>’</w:t>
      </w:r>
      <w:r w:rsidRPr="00B34407">
        <w:t>s other funds and related programs.  This should be read in conjunction with a review of the Authority</w:t>
      </w:r>
      <w:r w:rsidR="00C34AEA">
        <w:t>’</w:t>
      </w:r>
      <w:r w:rsidRPr="00B34407">
        <w:t xml:space="preserve">s complete financial statements.  See </w:t>
      </w:r>
      <w:r w:rsidR="00C34AEA">
        <w:t>“</w:t>
      </w:r>
      <w:r w:rsidRPr="00B34407">
        <w:t>FINANCIAL STATEMENTS</w:t>
      </w:r>
      <w:r w:rsidR="00C34AEA">
        <w:t>”</w:t>
      </w:r>
      <w:r w:rsidRPr="00B34407" w:rsidR="00E14D3A">
        <w:t xml:space="preserve"> herein</w:t>
      </w:r>
      <w:r w:rsidRPr="00B34407">
        <w:t xml:space="preserve"> and </w:t>
      </w:r>
      <w:r w:rsidR="00C34AEA">
        <w:t>“</w:t>
      </w:r>
      <w:r w:rsidRPr="00B34407">
        <w:t>APPENDIX B: FINANCIAL STATEMENTS OF AUTHORITY</w:t>
      </w:r>
      <w:r w:rsidR="00C34AEA">
        <w:t>”</w:t>
      </w:r>
      <w:r w:rsidRPr="00B34407" w:rsidR="00E14D3A">
        <w:t xml:space="preserve"> attached hereto.</w:t>
      </w:r>
      <w:r w:rsidR="006318CC">
        <w:t xml:space="preserve">  The Authority continually evaluates all of its existing programs and the addition or development of new programs, including but not limited to new refinancing programs and any other programs </w:t>
      </w:r>
      <w:r w:rsidR="00C752E9">
        <w:t xml:space="preserve">or modifications </w:t>
      </w:r>
      <w:r w:rsidR="006318CC">
        <w:t xml:space="preserve">related to the following. </w:t>
      </w:r>
    </w:p>
    <w:p w:rsidRPr="00974BC4" w:rsidR="00974BC4" w:rsidP="00974BC4" w:rsidRDefault="00AF72E5" w14:paraId="2CED3331" w14:textId="77777777">
      <w:pPr>
        <w:pStyle w:val="aHEADINGSUB2"/>
        <w:rPr>
          <w:bCs/>
          <w:i w:val="0"/>
          <w:iCs w:val="0"/>
          <w:vanish/>
          <w:color w:val="FF0000"/>
          <w:sz w:val="19"/>
          <w:szCs w:val="19"/>
          <w:specVanish/>
        </w:rPr>
      </w:pPr>
      <w:bookmarkStart w:name="_DV_M557" w:id="570"/>
      <w:bookmarkStart w:name="_Toc172841965" w:id="571"/>
      <w:bookmarkStart w:name="_Toc165279115" w:id="572"/>
      <w:bookmarkStart w:name="_Toc212948803" w:id="573"/>
      <w:bookmarkEnd w:id="570"/>
      <w:r w:rsidRPr="00974BC4">
        <w:t>General Fund</w:t>
      </w:r>
      <w:bookmarkEnd w:id="571"/>
    </w:p>
    <w:p w:rsidRPr="00974BC4" w:rsidR="00AF72E5" w:rsidP="00974BC4" w:rsidRDefault="00AF72E5" w14:paraId="28446AD7" w14:textId="2A13E4B6">
      <w:pPr>
        <w:pStyle w:val="BodyText"/>
      </w:pPr>
      <w:r w:rsidRPr="00974BC4">
        <w:t xml:space="preserve">. </w:t>
      </w:r>
      <w:bookmarkStart w:name="_DV_M558" w:id="574"/>
      <w:bookmarkEnd w:id="572"/>
      <w:bookmarkEnd w:id="573"/>
      <w:bookmarkEnd w:id="574"/>
      <w:r w:rsidRPr="00974BC4">
        <w:t xml:space="preserve"> The General Fund was established by the Authority to account for all revenues and expenses not restricted by the indentures of its mortgage revenue bond programs and its multi-unit program.  The unrestricted cash investments of the General Fund are used for multiple purposes in furtherance of the Authority</w:t>
      </w:r>
      <w:r w:rsidR="00C34AEA">
        <w:t>’</w:t>
      </w:r>
      <w:r w:rsidRPr="00974BC4">
        <w:t>s public purpose, including development of programs such as the Mortgage Credit Certificate Program and Low Income Housing Tax Credit Program, and operation of programs to provide housing to Indiana</w:t>
      </w:r>
      <w:r w:rsidR="00C34AEA">
        <w:t>’</w:t>
      </w:r>
      <w:r w:rsidRPr="00974BC4">
        <w:t xml:space="preserve">s low and moderate income households.  The assets and revenues in the General Fund are not available to pay any principal of or interest on the </w:t>
      </w:r>
      <w:r w:rsidR="00C7294C">
        <w:t>2024 Series C</w:t>
      </w:r>
      <w:r w:rsidR="005B3036">
        <w:t xml:space="preserve"> Bond</w:t>
      </w:r>
      <w:r w:rsidR="006C550F">
        <w:t>s</w:t>
      </w:r>
      <w:r w:rsidRPr="00974BC4">
        <w:t xml:space="preserve"> or any other Bonds issued under the Indenture.</w:t>
      </w:r>
    </w:p>
    <w:p w:rsidRPr="00974BC4" w:rsidR="00974BC4" w:rsidP="00974BC4" w:rsidRDefault="00AF72E5" w14:paraId="55125785" w14:textId="77777777">
      <w:pPr>
        <w:pStyle w:val="aHEADINGSUB2"/>
        <w:rPr>
          <w:bCs/>
          <w:i w:val="0"/>
          <w:iCs w:val="0"/>
          <w:vanish/>
          <w:color w:val="FF0000"/>
          <w:sz w:val="19"/>
          <w:szCs w:val="19"/>
          <w:specVanish/>
        </w:rPr>
      </w:pPr>
      <w:bookmarkStart w:name="_DV_M559" w:id="575"/>
      <w:bookmarkStart w:name="_Toc172841966" w:id="576"/>
      <w:bookmarkStart w:name="_Toc165279116" w:id="577"/>
      <w:bookmarkStart w:name="_Toc212948804" w:id="578"/>
      <w:bookmarkEnd w:id="575"/>
      <w:r w:rsidRPr="00974BC4">
        <w:t>Information Regarding Mortgage Programs</w:t>
      </w:r>
      <w:bookmarkEnd w:id="576"/>
    </w:p>
    <w:p w:rsidRPr="00974BC4" w:rsidR="00AF72E5" w:rsidP="00974BC4" w:rsidRDefault="00AF72E5" w14:paraId="5F632FDB" w14:textId="216D241D">
      <w:pPr>
        <w:pStyle w:val="BodyText"/>
      </w:pPr>
      <w:r w:rsidRPr="00974BC4">
        <w:t>.</w:t>
      </w:r>
      <w:bookmarkStart w:name="_DV_M560" w:id="579"/>
      <w:bookmarkEnd w:id="577"/>
      <w:bookmarkEnd w:id="578"/>
      <w:bookmarkEnd w:id="579"/>
      <w:r w:rsidRPr="00974BC4">
        <w:t xml:space="preserve">  The Authority</w:t>
      </w:r>
      <w:r w:rsidRPr="00974BC4" w:rsidR="00CF75F9">
        <w:t xml:space="preserve"> voluntarily</w:t>
      </w:r>
      <w:r w:rsidRPr="00974BC4">
        <w:t xml:space="preserve"> disseminates information relating to its single family programs to </w:t>
      </w:r>
      <w:r w:rsidRPr="00974BC4" w:rsidR="00CF75F9">
        <w:t>EMMA each quarter</w:t>
      </w:r>
      <w:r w:rsidRPr="00974BC4">
        <w:t>.  The most recent quarterly report filed by the Aut</w:t>
      </w:r>
      <w:r w:rsidRPr="00974BC4" w:rsidR="00205E40">
        <w:t xml:space="preserve">hority is for the quarter </w:t>
      </w:r>
      <w:r w:rsidRPr="004348A9" w:rsidR="00205E40">
        <w:t>ended</w:t>
      </w:r>
      <w:r w:rsidRPr="004348A9" w:rsidR="005809F5">
        <w:t xml:space="preserve"> </w:t>
      </w:r>
      <w:r w:rsidR="000C2E0E">
        <w:t>March 31</w:t>
      </w:r>
      <w:r w:rsidRPr="004348A9" w:rsidR="0058561A">
        <w:t>, 202</w:t>
      </w:r>
      <w:r w:rsidR="00681264">
        <w:t>4</w:t>
      </w:r>
      <w:r w:rsidRPr="004348A9">
        <w:t>.</w:t>
      </w:r>
      <w:r w:rsidRPr="00974BC4">
        <w:t xml:space="preserve">  See </w:t>
      </w:r>
      <w:r w:rsidR="00C34AEA">
        <w:t>“</w:t>
      </w:r>
      <w:r w:rsidRPr="00974BC4">
        <w:t>ADDITIONAL INFORMATION</w:t>
      </w:r>
      <w:r w:rsidR="00C34AEA">
        <w:t>”</w:t>
      </w:r>
      <w:r w:rsidRPr="00974BC4" w:rsidR="00867941">
        <w:t xml:space="preserve"> herein.</w:t>
      </w:r>
      <w:bookmarkStart w:name="_DV_M561" w:id="580"/>
      <w:bookmarkEnd w:id="580"/>
    </w:p>
    <w:p w:rsidRPr="00974BC4" w:rsidR="00974BC4" w:rsidP="00974BC4" w:rsidRDefault="00AF72E5" w14:paraId="6280039F" w14:textId="77777777">
      <w:pPr>
        <w:pStyle w:val="aHEADINGSUB2"/>
        <w:rPr>
          <w:bCs/>
          <w:i w:val="0"/>
          <w:iCs w:val="0"/>
          <w:vanish/>
          <w:color w:val="FF0000"/>
          <w:sz w:val="19"/>
          <w:szCs w:val="19"/>
          <w:specVanish/>
        </w:rPr>
      </w:pPr>
      <w:bookmarkStart w:name="_DV_M563" w:id="581"/>
      <w:bookmarkStart w:name="_Toc172841967" w:id="582"/>
      <w:bookmarkStart w:name="_Toc165279118" w:id="583"/>
      <w:bookmarkStart w:name="_Toc212948806" w:id="584"/>
      <w:bookmarkEnd w:id="581"/>
      <w:r w:rsidRPr="00974BC4">
        <w:t>Low Income Housing Credit Program</w:t>
      </w:r>
      <w:bookmarkEnd w:id="582"/>
    </w:p>
    <w:p w:rsidRPr="00974BC4" w:rsidR="00AF72E5" w:rsidP="00974BC4" w:rsidRDefault="00AF72E5" w14:paraId="7B2FBE2B" w14:textId="407F24A0">
      <w:pPr>
        <w:pStyle w:val="BodyText"/>
      </w:pPr>
      <w:r w:rsidRPr="00974BC4">
        <w:t>.</w:t>
      </w:r>
      <w:bookmarkStart w:name="_DV_M564" w:id="585"/>
      <w:bookmarkEnd w:id="583"/>
      <w:bookmarkEnd w:id="584"/>
      <w:bookmarkEnd w:id="585"/>
      <w:r w:rsidRPr="00974BC4">
        <w:t xml:space="preserve">  The Tax Reform Act of 1986 created a new tax credit for rental housing for low income persons.  In 1987, the Authority established a Low Income Housing Tax Credit Program permitted by the Tax Reform Act of 1986 to allocate the available tax credits for the State.  Since 1991, the Authority has adopted an annual allocation plan for the Low Income Housing Tax Credit Program.  The assets and revenues under the Low Income Housing Tax Credit Program are not available to pay any principal of or interest on the </w:t>
      </w:r>
      <w:r w:rsidR="00C7294C">
        <w:t>2024 Series C</w:t>
      </w:r>
      <w:r w:rsidR="005B3036">
        <w:t xml:space="preserve"> Bond</w:t>
      </w:r>
      <w:r w:rsidR="006C550F">
        <w:t>s</w:t>
      </w:r>
      <w:r w:rsidRPr="00974BC4">
        <w:t xml:space="preserve"> or any other Bonds issued under the Indenture.</w:t>
      </w:r>
    </w:p>
    <w:p w:rsidRPr="00974BC4" w:rsidR="00974BC4" w:rsidP="00974BC4" w:rsidRDefault="00EF0668" w14:paraId="75AE3DAC" w14:textId="77777777">
      <w:pPr>
        <w:pStyle w:val="aHEADINGSUB2"/>
        <w:rPr>
          <w:bCs/>
          <w:i w:val="0"/>
          <w:iCs w:val="0"/>
          <w:vanish/>
          <w:color w:val="FF0000"/>
          <w:sz w:val="19"/>
          <w:szCs w:val="19"/>
          <w:specVanish/>
        </w:rPr>
      </w:pPr>
      <w:bookmarkStart w:name="_Toc309387979" w:id="586"/>
      <w:bookmarkStart w:name="_Toc172841968" w:id="587"/>
      <w:r w:rsidRPr="00974BC4">
        <w:t>Next</w:t>
      </w:r>
      <w:bookmarkEnd w:id="586"/>
      <w:r w:rsidRPr="00974BC4">
        <w:t xml:space="preserve"> Home Program</w:t>
      </w:r>
      <w:bookmarkEnd w:id="587"/>
    </w:p>
    <w:p w:rsidRPr="00974BC4" w:rsidR="00EF0668" w:rsidP="00974BC4" w:rsidRDefault="00EF0668" w14:paraId="719F811D" w14:textId="653ABFE2">
      <w:pPr>
        <w:pStyle w:val="BodyText"/>
      </w:pPr>
      <w:r w:rsidRPr="00974BC4">
        <w:t xml:space="preserve">. </w:t>
      </w:r>
      <w:r w:rsidR="00943C83">
        <w:t xml:space="preserve"> </w:t>
      </w:r>
      <w:r w:rsidRPr="00974BC4">
        <w:t xml:space="preserve">The </w:t>
      </w:r>
      <w:r w:rsidR="00C96857">
        <w:t>Authority</w:t>
      </w:r>
      <w:r w:rsidRPr="00974BC4">
        <w:t xml:space="preserve"> established the Next Home Program to provide competitively-priced market rate mortgage loans and to provide down payment and/or closing cost assistance separate from the Program</w:t>
      </w:r>
      <w:r w:rsidRPr="00974BC4" w:rsidR="00BA77F6">
        <w:t>s</w:t>
      </w:r>
      <w:r w:rsidRPr="00974BC4">
        <w:t>.  The</w:t>
      </w:r>
      <w:r w:rsidR="00C96857">
        <w:t xml:space="preserve"> Authority</w:t>
      </w:r>
      <w:r w:rsidRPr="00974BC4">
        <w:t xml:space="preserve"> intends to apply income limitations under the Next Home Program.  Under the Next Home Program, the</w:t>
      </w:r>
      <w:r w:rsidR="00C96857">
        <w:t xml:space="preserve"> Authority</w:t>
      </w:r>
      <w:r w:rsidRPr="00974BC4">
        <w:t xml:space="preserve"> will sell mortgage pass-through securities backed by certain mortgage loans originated under the Next Home Program.</w:t>
      </w:r>
    </w:p>
    <w:p w:rsidRPr="00B34407" w:rsidR="00AF72E5" w:rsidP="00F828E4" w:rsidRDefault="00AF72E5" w14:paraId="0F291B5E" w14:textId="77777777">
      <w:pPr>
        <w:pStyle w:val="aHEADING"/>
      </w:pPr>
      <w:bookmarkStart w:name="_DV_M565" w:id="588"/>
      <w:bookmarkStart w:name="_Toc212948807" w:id="589"/>
      <w:bookmarkStart w:name="_Toc3865665" w:id="590"/>
      <w:bookmarkStart w:name="_Toc85337909" w:id="591"/>
      <w:bookmarkStart w:name="_Toc534620364" w:id="592"/>
      <w:bookmarkStart w:name="_Toc534620474" w:id="593"/>
      <w:bookmarkStart w:name="_Toc534620592" w:id="594"/>
      <w:bookmarkStart w:name="_Toc534620913" w:id="595"/>
      <w:bookmarkStart w:name="_Toc534621144" w:id="596"/>
      <w:bookmarkStart w:name="_Toc172841969" w:id="597"/>
      <w:bookmarkEnd w:id="588"/>
      <w:r w:rsidRPr="00B34407">
        <w:t xml:space="preserve">SINGLE </w:t>
      </w:r>
      <w:r w:rsidRPr="00F828E4">
        <w:t>FAMILY</w:t>
      </w:r>
      <w:r w:rsidRPr="00B34407">
        <w:t xml:space="preserve"> MORTGAGE PROGRAM</w:t>
      </w:r>
      <w:bookmarkEnd w:id="589"/>
      <w:bookmarkEnd w:id="590"/>
      <w:bookmarkEnd w:id="591"/>
      <w:bookmarkEnd w:id="592"/>
      <w:bookmarkEnd w:id="593"/>
      <w:bookmarkEnd w:id="594"/>
      <w:bookmarkEnd w:id="595"/>
      <w:bookmarkEnd w:id="596"/>
      <w:bookmarkEnd w:id="597"/>
    </w:p>
    <w:p w:rsidRPr="00B34407" w:rsidR="00AF72E5" w:rsidP="00F828E4" w:rsidRDefault="00AF72E5" w14:paraId="370B92EE" w14:textId="77777777">
      <w:pPr>
        <w:pStyle w:val="aHEADINGSUB"/>
      </w:pPr>
      <w:bookmarkStart w:name="_DV_M566" w:id="598"/>
      <w:bookmarkStart w:name="_Toc534620365" w:id="599"/>
      <w:bookmarkStart w:name="_Toc534620475" w:id="600"/>
      <w:bookmarkStart w:name="_Toc534620593" w:id="601"/>
      <w:bookmarkStart w:name="_Toc534620914" w:id="602"/>
      <w:bookmarkStart w:name="_Toc534621145" w:id="603"/>
      <w:bookmarkStart w:name="_Toc172841970" w:id="604"/>
      <w:bookmarkEnd w:id="598"/>
      <w:r w:rsidRPr="00B34407">
        <w:t>Act</w:t>
      </w:r>
      <w:bookmarkEnd w:id="599"/>
      <w:bookmarkEnd w:id="600"/>
      <w:bookmarkEnd w:id="601"/>
      <w:bookmarkEnd w:id="602"/>
      <w:bookmarkEnd w:id="603"/>
      <w:bookmarkEnd w:id="604"/>
    </w:p>
    <w:p w:rsidRPr="00B34407" w:rsidR="00AF72E5" w:rsidP="00AF72E5" w:rsidRDefault="00AF72E5" w14:paraId="52108DA0" w14:textId="688C7EA6">
      <w:pPr>
        <w:pStyle w:val="BodyTextFirstIndent"/>
      </w:pPr>
      <w:bookmarkStart w:name="_DV_M567" w:id="605"/>
      <w:bookmarkEnd w:id="605"/>
      <w:r w:rsidRPr="00B34407">
        <w:t>Under Indiana Code</w:t>
      </w:r>
      <w:r w:rsidRPr="00B34407" w:rsidR="00867941">
        <w:t xml:space="preserve"> §</w:t>
      </w:r>
      <w:r w:rsidRPr="00B34407">
        <w:t xml:space="preserve"> 5</w:t>
      </w:r>
      <w:r w:rsidRPr="00B34407">
        <w:noBreakHyphen/>
        <w:t>20</w:t>
      </w:r>
      <w:r w:rsidRPr="00B34407">
        <w:noBreakHyphen/>
        <w:t xml:space="preserve">1, the Authority may purchase loans from Lenders to provide permanent financing for the rehabilitation, acquisition or construction of single-family residential housing made to persons of low and moderate income for residential housing.  Banks, trust companies, savings banks, savings and loan associations, credit unions, national banking associations, federal savings and loan associations and federal credit </w:t>
      </w:r>
      <w:bookmarkStart w:name="ElPgBr48" w:id="606"/>
      <w:bookmarkEnd w:id="606"/>
      <w:r w:rsidRPr="00B34407">
        <w:t>unions maintaining an office in the State, certain public utilities, certain gas utility systems, insurance companies authorized to do business in the State, and mortgage banking firms and mortgagees authorized to do business in the State and approved by either the Authority or the Department of Housing and Urban Development are eligible to act as lenders under the Program.</w:t>
      </w:r>
      <w:r w:rsidRPr="00B34407" w:rsidR="008D088C">
        <w:t xml:space="preserve"> </w:t>
      </w:r>
    </w:p>
    <w:p w:rsidRPr="00B34407" w:rsidR="00AF72E5" w:rsidP="00AF72E5" w:rsidRDefault="00AF72E5" w14:paraId="601612CF" w14:textId="77777777">
      <w:pPr>
        <w:pStyle w:val="BodyTextFirstIndent"/>
      </w:pPr>
      <w:bookmarkStart w:name="_DV_M568" w:id="607"/>
      <w:bookmarkEnd w:id="607"/>
      <w:r w:rsidRPr="00B34407">
        <w:t>In response to this statutory authorization, the Authority has established the Program.  The objective of the Program is to provide funds for long-term mortgage financing of residential housing for occupancy by eligible persons in the State and thereby encourage the purchase and construction of residential housing by such persons.</w:t>
      </w:r>
    </w:p>
    <w:p w:rsidRPr="00B34407" w:rsidR="005757C5" w:rsidP="00AF72E5" w:rsidRDefault="00AF72E5" w14:paraId="49DC6751" w14:textId="77777777">
      <w:pPr>
        <w:pStyle w:val="BodyTextFirstIndent"/>
      </w:pPr>
      <w:bookmarkStart w:name="_DV_M569" w:id="608"/>
      <w:bookmarkEnd w:id="608"/>
      <w:r w:rsidRPr="00B34407">
        <w:t>The Act directs the Authority to structure and administer the Program in order to assure that no loan is knowingly made to a person whose adjusted family income exceeds 125% (or 140% under certain circumstances determined by the Authority) of the median income for the geographic area within which the person resides</w:t>
      </w:r>
      <w:bookmarkStart w:name="_DV_M570" w:id="609"/>
      <w:bookmarkEnd w:id="609"/>
      <w:r w:rsidRPr="00B34407" w:rsidR="005757C5">
        <w:t>.</w:t>
      </w:r>
    </w:p>
    <w:p w:rsidRPr="00B34407" w:rsidR="006C2D86" w:rsidP="00AF72E5" w:rsidRDefault="00AF72E5" w14:paraId="27745948" w14:textId="529DD655">
      <w:pPr>
        <w:pStyle w:val="BodyTextFirstIndent"/>
      </w:pPr>
      <w:r w:rsidRPr="00B34407">
        <w:t xml:space="preserve">The Authority has prepared and continues to develop a program guide (the </w:t>
      </w:r>
      <w:r w:rsidR="00C34AEA">
        <w:t>“</w:t>
      </w:r>
      <w:r w:rsidRPr="00B34407">
        <w:rPr>
          <w:i/>
        </w:rPr>
        <w:t>Program Guide</w:t>
      </w:r>
      <w:r w:rsidR="00C34AEA">
        <w:t>”</w:t>
      </w:r>
      <w:r w:rsidRPr="00B34407">
        <w:t xml:space="preserve">) for the implementation of the Program to address matters of Authority organization, practices and procedures necessary and </w:t>
      </w:r>
      <w:r w:rsidRPr="00B34407">
        <w:lastRenderedPageBreak/>
        <w:t>appropriate in carrying out and conducting the Program.  The Program Guide may be revised from time to time in accordance with and subject to the constraints of the Act and other applicable law.</w:t>
      </w:r>
    </w:p>
    <w:p w:rsidR="00D81998" w:rsidP="00F828E4" w:rsidRDefault="00D81998" w14:paraId="5F1A0D6E" w14:textId="03DA426E">
      <w:pPr>
        <w:pStyle w:val="aHEADINGSUB"/>
      </w:pPr>
      <w:bookmarkStart w:name="_Toc534620366" w:id="610"/>
      <w:bookmarkStart w:name="_Toc534620476" w:id="611"/>
      <w:bookmarkStart w:name="_Toc534620594" w:id="612"/>
      <w:bookmarkStart w:name="_Toc534620915" w:id="613"/>
      <w:bookmarkStart w:name="_Toc534621146" w:id="614"/>
      <w:bookmarkStart w:name="_Toc172841971" w:id="615"/>
      <w:bookmarkStart w:name="_Hlk520823984" w:id="616"/>
      <w:r>
        <w:t>Management</w:t>
      </w:r>
      <w:r w:rsidR="00C34AEA">
        <w:t>’</w:t>
      </w:r>
      <w:r w:rsidR="00916060">
        <w:t>s</w:t>
      </w:r>
      <w:r>
        <w:t xml:space="preserve"> Discussion and Analysis Concerning Financial Results of Authority</w:t>
      </w:r>
      <w:bookmarkEnd w:id="610"/>
      <w:bookmarkEnd w:id="611"/>
      <w:bookmarkEnd w:id="612"/>
      <w:bookmarkEnd w:id="613"/>
      <w:bookmarkEnd w:id="614"/>
      <w:bookmarkEnd w:id="615"/>
    </w:p>
    <w:p w:rsidRPr="00B34407" w:rsidR="00070AF9" w:rsidP="00F828E4" w:rsidRDefault="0063290C" w14:paraId="4C68852F" w14:textId="4B9FD4F4">
      <w:pPr>
        <w:pStyle w:val="BodyTextFirstIndent"/>
      </w:pPr>
      <w:r w:rsidRPr="00B34407">
        <w:t xml:space="preserve">For </w:t>
      </w:r>
      <w:r w:rsidRPr="00B34407" w:rsidR="00070AF9">
        <w:t xml:space="preserve">the financial results of the Authority, see </w:t>
      </w:r>
      <w:r w:rsidR="00C34AEA">
        <w:t>“</w:t>
      </w:r>
      <w:r w:rsidRPr="00B34407" w:rsidR="00070AF9">
        <w:t>APPENDIX B: FINANCIAL STATEMENTS OF AUTHORITY</w:t>
      </w:r>
      <w:r w:rsidR="00C34AEA">
        <w:t>”</w:t>
      </w:r>
      <w:r w:rsidRPr="00B34407" w:rsidR="00070AF9">
        <w:t xml:space="preserve"> attached hereto</w:t>
      </w:r>
      <w:r w:rsidRPr="00B34407" w:rsidR="008E58DB">
        <w:t xml:space="preserve"> </w:t>
      </w:r>
      <w:r w:rsidRPr="00D57BBF" w:rsidR="005E4EBE">
        <w:t xml:space="preserve">and </w:t>
      </w:r>
      <w:hyperlink w:history="1" r:id="rId27">
        <w:r w:rsidRPr="00A54276" w:rsidR="006916A3">
          <w:rPr>
            <w:rStyle w:val="Hyperlink"/>
          </w:rPr>
          <w:t>https://www.in.gov/ihcda/files/IHCDA-2023-FY-Audited-FS.pdf</w:t>
        </w:r>
      </w:hyperlink>
      <w:r w:rsidR="006916A3">
        <w:t>.</w:t>
      </w:r>
      <w:r w:rsidRPr="00D57BBF" w:rsidR="002074F3">
        <w:t xml:space="preserve"> </w:t>
      </w:r>
      <w:r w:rsidRPr="00D57BBF" w:rsidR="00070AF9">
        <w:t>The section for management</w:t>
      </w:r>
      <w:r w:rsidRPr="00D57BBF" w:rsidR="00C34AEA">
        <w:t>’</w:t>
      </w:r>
      <w:r w:rsidRPr="00D57BBF" w:rsidR="00070AF9">
        <w:t>s</w:t>
      </w:r>
      <w:r w:rsidRPr="00B34407" w:rsidR="00070AF9">
        <w:t xml:space="preserve"> discussion and analysis included in the financial statements of the Authority is unaudited.</w:t>
      </w:r>
    </w:p>
    <w:p w:rsidRPr="00B34407" w:rsidR="00AF72E5" w:rsidP="00F828E4" w:rsidRDefault="00AF72E5" w14:paraId="465B3C83" w14:textId="77777777">
      <w:pPr>
        <w:pStyle w:val="aHEADINGSUB"/>
      </w:pPr>
      <w:bookmarkStart w:name="_Toc534620367" w:id="617"/>
      <w:bookmarkStart w:name="_Toc534620477" w:id="618"/>
      <w:bookmarkStart w:name="_Toc534620595" w:id="619"/>
      <w:bookmarkStart w:name="_Toc534620916" w:id="620"/>
      <w:bookmarkStart w:name="_Toc534621147" w:id="621"/>
      <w:bookmarkStart w:name="_Toc172841972" w:id="622"/>
      <w:bookmarkEnd w:id="616"/>
      <w:r w:rsidRPr="00B34407">
        <w:t>Program Expenses and Administrative Fee</w:t>
      </w:r>
      <w:bookmarkEnd w:id="617"/>
      <w:bookmarkEnd w:id="618"/>
      <w:bookmarkEnd w:id="619"/>
      <w:bookmarkEnd w:id="620"/>
      <w:bookmarkEnd w:id="621"/>
      <w:bookmarkEnd w:id="622"/>
    </w:p>
    <w:p w:rsidRPr="00B34407" w:rsidR="00AF72E5" w:rsidP="00AF72E5" w:rsidRDefault="00AF72E5" w14:paraId="352D3898" w14:textId="29052E52">
      <w:pPr>
        <w:pStyle w:val="BodyTextFirstIndent"/>
      </w:pPr>
      <w:bookmarkStart w:name="_DV_M595" w:id="623"/>
      <w:bookmarkEnd w:id="623"/>
      <w:r w:rsidRPr="00B34407">
        <w:t>The Indenture permits the Trustee to transfer at any time, upon the written direction of an Authorized Officer, any amounts on deposit in the Revenue Account to the general operating funds of the Authority for the purpose of paying reasonable and necessary Program Expenses for the then current Fiscal Year.  Program Expenses include salaries, supplies, utilities, mailing, labor, materials, office rent, maintenance, furnishings, equipment, machinery and apparatus, telephone, insurance premiums, legal, accounting, management, consulting and banking services and expenses, fees and expenses of the Trustee and other fiduciaries, payments made or required to be made or held aside for payment to preserve the excludability from gross income of the interest on the Bonds for federal income tax purposes, costs of issuance not paid from the proceeds of Bonds, mortgage, pool and special hazard insurance premiums, travel, payments for pension, retirement, health and hospitalization and life and disability insurance benefits, all to the extent properly allocable to the Program, but exclude any Program Expenses paid for out of the Administrative Fee.  Program Expenses may also include amounts for establishing and maintaining a two-month reserve to pay operating costs and a reasonable reserve for losses and expenses estimated to be incurred by the Authority and amounts appropriate to reimburse the Authority for Program Expenses paid from other sources.  The Indenture also permits the payment of a fee to the Authority for administering the Program, which Administrative Fee will be as provided in the</w:t>
      </w:r>
      <w:r w:rsidRPr="00B34407" w:rsidR="00440B26">
        <w:t xml:space="preserve"> Supplemental Indenture for each</w:t>
      </w:r>
      <w:r w:rsidRPr="00B34407">
        <w:t xml:space="preserve"> series of Bonds.  Although the Authority intends to fund its obligations under the Swap from the Swap Payment Account or from general funds of the Authority, the Authority may also have the power to include in moneys drawn from the Revenue Account as Program Expenses or Administrative Fees the amounts needed to pay to the Swap Counterparty a portion of the obligations owed on the Swap.  See </w:t>
      </w:r>
      <w:r w:rsidR="00C34AEA">
        <w:t>“</w:t>
      </w:r>
      <w:r w:rsidRPr="00B34407">
        <w:t>APPENDIX D: SUMMARY OF CERTAIN PROVISIONS OF INDENTURE—Revenue Account</w:t>
      </w:r>
      <w:r w:rsidR="00C34AEA">
        <w:t>”</w:t>
      </w:r>
      <w:r w:rsidRPr="00B34407" w:rsidR="00DD3D37">
        <w:t xml:space="preserve"> attached hereto.</w:t>
      </w:r>
    </w:p>
    <w:p w:rsidR="00AF72E5" w:rsidP="00F828E4" w:rsidRDefault="00AF72E5" w14:paraId="22E0F23E" w14:textId="7264AFA5">
      <w:pPr>
        <w:pStyle w:val="BodyTextFirstIndent"/>
      </w:pPr>
      <w:bookmarkStart w:name="_DV_M596" w:id="624"/>
      <w:bookmarkEnd w:id="624"/>
      <w:r w:rsidRPr="00B34407">
        <w:t xml:space="preserve">The following table </w:t>
      </w:r>
      <w:r w:rsidRPr="00F828E4">
        <w:t>summarizes</w:t>
      </w:r>
      <w:r w:rsidRPr="00B34407">
        <w:t xml:space="preserve"> certain information regarding </w:t>
      </w:r>
      <w:r w:rsidR="00767FBC">
        <w:t xml:space="preserve">the Authority’s </w:t>
      </w:r>
      <w:r w:rsidRPr="00B34407">
        <w:t>Program Expenses</w:t>
      </w:r>
      <w:r w:rsidR="00767FBC">
        <w:t xml:space="preserve"> including the Trustee’s Fees and the Authority Administrative Fees calculated as a percentage of Bonds Outstanding for each series of Bonds for each fiscal year:</w:t>
      </w:r>
      <w:r w:rsidRPr="00B34407">
        <w:t xml:space="preserve"> </w:t>
      </w:r>
    </w:p>
    <w:p w:rsidRPr="00B34407" w:rsidR="0063290C" w:rsidP="0063290C" w:rsidRDefault="0063290C" w14:paraId="595D6365" w14:textId="77606E68">
      <w:pPr>
        <w:widowControl/>
        <w:spacing w:after="120"/>
        <w:jc w:val="center"/>
        <w:rPr>
          <w:b/>
          <w:bCs/>
        </w:rPr>
      </w:pPr>
      <w:bookmarkStart w:name="_DV_M597" w:id="625"/>
      <w:bookmarkStart w:name="_DV_M598" w:id="626"/>
      <w:bookmarkEnd w:id="625"/>
      <w:bookmarkEnd w:id="626"/>
      <w:r w:rsidRPr="00B34407">
        <w:rPr>
          <w:b/>
          <w:bCs/>
        </w:rPr>
        <w:t>Program Expenses</w:t>
      </w:r>
      <w:r w:rsidR="002754A0">
        <w:rPr>
          <w:b/>
          <w:bCs/>
        </w:rPr>
        <w:t xml:space="preserve"> </w:t>
      </w:r>
      <w:r w:rsidRPr="00B34407">
        <w:rPr>
          <w:b/>
          <w:bCs/>
        </w:rPr>
        <w:br/>
      </w:r>
      <w:r w:rsidRPr="00B34407">
        <w:rPr>
          <w:i/>
          <w:iCs/>
        </w:rPr>
        <w:t>(Percentages)</w:t>
      </w:r>
    </w:p>
    <w:tbl>
      <w:tblPr>
        <w:tblW w:w="0" w:type="auto"/>
        <w:jc w:val="center"/>
        <w:tblLayout w:type="fixed"/>
        <w:tblCellMar>
          <w:left w:w="0" w:type="dxa"/>
          <w:right w:w="0" w:type="dxa"/>
        </w:tblCellMar>
        <w:tblLook w:val="0000" w:firstRow="0" w:lastRow="0" w:firstColumn="0" w:lastColumn="0" w:noHBand="0" w:noVBand="0"/>
      </w:tblPr>
      <w:tblGrid>
        <w:gridCol w:w="2070"/>
        <w:gridCol w:w="1260"/>
        <w:gridCol w:w="2070"/>
      </w:tblGrid>
      <w:tr w:rsidRPr="00B34407" w:rsidR="00062414" w:rsidTr="007339B9" w14:paraId="4892F4AB" w14:textId="77777777">
        <w:trPr>
          <w:jc w:val="center"/>
        </w:trPr>
        <w:tc>
          <w:tcPr>
            <w:tcW w:w="2070" w:type="dxa"/>
            <w:tcBorders>
              <w:top w:val="single" w:color="auto" w:sz="4" w:space="0"/>
              <w:bottom w:val="single" w:color="auto" w:sz="4" w:space="0"/>
            </w:tcBorders>
            <w:vAlign w:val="bottom"/>
          </w:tcPr>
          <w:p w:rsidRPr="00B34407" w:rsidR="00062414" w:rsidP="0063290C" w:rsidRDefault="00062414" w14:paraId="6EBB0510" w14:textId="77777777">
            <w:pPr>
              <w:widowControl/>
              <w:jc w:val="center"/>
            </w:pPr>
            <w:r w:rsidRPr="00B34407">
              <w:t>Series</w:t>
            </w:r>
          </w:p>
        </w:tc>
        <w:tc>
          <w:tcPr>
            <w:tcW w:w="1260" w:type="dxa"/>
            <w:tcBorders>
              <w:top w:val="single" w:color="auto" w:sz="4" w:space="0"/>
              <w:bottom w:val="single" w:color="auto" w:sz="4" w:space="0"/>
            </w:tcBorders>
            <w:vAlign w:val="bottom"/>
          </w:tcPr>
          <w:p w:rsidRPr="00B34407" w:rsidR="00062414" w:rsidP="0063290C" w:rsidRDefault="00062414" w14:paraId="2AEF8CB5" w14:textId="77777777">
            <w:pPr>
              <w:widowControl/>
              <w:jc w:val="center"/>
            </w:pPr>
            <w:r w:rsidRPr="00B34407">
              <w:t>Trustee Fees</w:t>
            </w:r>
          </w:p>
        </w:tc>
        <w:tc>
          <w:tcPr>
            <w:tcW w:w="2070" w:type="dxa"/>
            <w:tcBorders>
              <w:top w:val="single" w:color="auto" w:sz="4" w:space="0"/>
              <w:bottom w:val="single" w:color="auto" w:sz="4" w:space="0"/>
            </w:tcBorders>
            <w:vAlign w:val="bottom"/>
          </w:tcPr>
          <w:p w:rsidRPr="00B34407" w:rsidR="00062414" w:rsidP="0063290C" w:rsidRDefault="00767FBC" w14:paraId="42F5B513" w14:textId="14825A13">
            <w:pPr>
              <w:widowControl/>
              <w:jc w:val="center"/>
            </w:pPr>
            <w:r>
              <w:t>Authority</w:t>
            </w:r>
            <w:r w:rsidRPr="00B34407" w:rsidR="00062414">
              <w:t xml:space="preserve"> </w:t>
            </w:r>
          </w:p>
          <w:p w:rsidRPr="00B34407" w:rsidR="00062414" w:rsidP="0063290C" w:rsidRDefault="00767FBC" w14:paraId="67307204" w14:textId="4073606E">
            <w:pPr>
              <w:widowControl/>
              <w:jc w:val="center"/>
            </w:pPr>
            <w:r>
              <w:t>Administrative Fees</w:t>
            </w:r>
          </w:p>
        </w:tc>
      </w:tr>
      <w:tr w:rsidRPr="00B34407" w:rsidR="00062414" w:rsidTr="007339B9" w14:paraId="5E9DDEDA" w14:textId="77777777">
        <w:trPr>
          <w:jc w:val="center"/>
        </w:trPr>
        <w:tc>
          <w:tcPr>
            <w:tcW w:w="2070" w:type="dxa"/>
            <w:tcBorders>
              <w:top w:val="single" w:color="auto" w:sz="4" w:space="0"/>
            </w:tcBorders>
            <w:shd w:val="clear" w:color="auto" w:fill="auto"/>
            <w:vAlign w:val="center"/>
          </w:tcPr>
          <w:p w:rsidRPr="00B34407" w:rsidR="00062414" w:rsidP="0063290C" w:rsidRDefault="00062414" w14:paraId="2BD3DA02" w14:textId="77777777">
            <w:pPr>
              <w:ind w:firstLine="180" w:firstLineChars="100"/>
              <w:jc w:val="left"/>
              <w:rPr>
                <w:color w:val="000000"/>
                <w:sz w:val="18"/>
                <w:szCs w:val="18"/>
              </w:rPr>
            </w:pPr>
            <w:bookmarkStart w:name="ElPgBr49" w:id="627"/>
            <w:bookmarkEnd w:id="627"/>
            <w:r w:rsidRPr="00B34407">
              <w:rPr>
                <w:color w:val="000000"/>
                <w:sz w:val="18"/>
                <w:szCs w:val="18"/>
              </w:rPr>
              <w:t>2016 Series A</w:t>
            </w:r>
          </w:p>
        </w:tc>
        <w:tc>
          <w:tcPr>
            <w:tcW w:w="1260" w:type="dxa"/>
            <w:tcBorders>
              <w:top w:val="single" w:color="auto" w:sz="4" w:space="0"/>
            </w:tcBorders>
            <w:shd w:val="clear" w:color="auto" w:fill="auto"/>
            <w:vAlign w:val="center"/>
          </w:tcPr>
          <w:p w:rsidRPr="00B34407" w:rsidR="00062414" w:rsidP="0063290C" w:rsidRDefault="00062414" w14:paraId="38ABF1D5" w14:textId="77777777">
            <w:pPr>
              <w:ind w:right="90" w:firstLine="40" w:firstLineChars="22"/>
              <w:jc w:val="center"/>
              <w:rPr>
                <w:color w:val="000000"/>
                <w:sz w:val="18"/>
                <w:szCs w:val="18"/>
              </w:rPr>
            </w:pPr>
            <w:r w:rsidRPr="00B34407">
              <w:rPr>
                <w:color w:val="000000"/>
                <w:sz w:val="18"/>
                <w:szCs w:val="18"/>
              </w:rPr>
              <w:t>0.03</w:t>
            </w:r>
          </w:p>
        </w:tc>
        <w:tc>
          <w:tcPr>
            <w:tcW w:w="2070" w:type="dxa"/>
            <w:tcBorders>
              <w:top w:val="single" w:color="auto" w:sz="4" w:space="0"/>
            </w:tcBorders>
            <w:shd w:val="clear" w:color="auto" w:fill="auto"/>
            <w:vAlign w:val="center"/>
          </w:tcPr>
          <w:p w:rsidRPr="00B34407" w:rsidR="00062414" w:rsidP="0063290C" w:rsidRDefault="00062414" w14:paraId="376952E5" w14:textId="77777777">
            <w:pPr>
              <w:ind w:right="90" w:firstLine="40" w:firstLineChars="22"/>
              <w:jc w:val="center"/>
              <w:rPr>
                <w:color w:val="000000"/>
                <w:sz w:val="18"/>
                <w:szCs w:val="18"/>
              </w:rPr>
            </w:pPr>
            <w:r w:rsidRPr="00B34407">
              <w:rPr>
                <w:color w:val="000000"/>
                <w:sz w:val="18"/>
                <w:szCs w:val="18"/>
              </w:rPr>
              <w:t>0.20</w:t>
            </w:r>
          </w:p>
        </w:tc>
      </w:tr>
      <w:tr w:rsidRPr="00B34407" w:rsidR="00062414" w:rsidTr="007339B9" w14:paraId="1D80484F" w14:textId="77777777">
        <w:trPr>
          <w:jc w:val="center"/>
        </w:trPr>
        <w:tc>
          <w:tcPr>
            <w:tcW w:w="2070" w:type="dxa"/>
            <w:shd w:val="clear" w:color="auto" w:fill="auto"/>
            <w:vAlign w:val="center"/>
          </w:tcPr>
          <w:p w:rsidRPr="00B34407" w:rsidR="00062414" w:rsidP="0063290C" w:rsidRDefault="00062414" w14:paraId="697B2BDB" w14:textId="77777777">
            <w:pPr>
              <w:ind w:firstLine="180" w:firstLineChars="100"/>
              <w:jc w:val="left"/>
              <w:rPr>
                <w:color w:val="000000"/>
                <w:sz w:val="18"/>
                <w:szCs w:val="18"/>
              </w:rPr>
            </w:pPr>
            <w:r w:rsidRPr="00B34407">
              <w:rPr>
                <w:color w:val="000000"/>
                <w:sz w:val="18"/>
                <w:szCs w:val="18"/>
              </w:rPr>
              <w:t>2017 Series A</w:t>
            </w:r>
          </w:p>
        </w:tc>
        <w:tc>
          <w:tcPr>
            <w:tcW w:w="1260" w:type="dxa"/>
            <w:shd w:val="clear" w:color="auto" w:fill="auto"/>
            <w:vAlign w:val="center"/>
          </w:tcPr>
          <w:p w:rsidRPr="00B34407" w:rsidR="00062414" w:rsidP="0063290C" w:rsidRDefault="00062414" w14:paraId="27E68D02" w14:textId="77777777">
            <w:pPr>
              <w:ind w:right="90" w:firstLine="40" w:firstLineChars="22"/>
              <w:jc w:val="center"/>
              <w:rPr>
                <w:color w:val="000000"/>
                <w:sz w:val="18"/>
                <w:szCs w:val="18"/>
              </w:rPr>
            </w:pPr>
            <w:r w:rsidRPr="00B34407">
              <w:rPr>
                <w:color w:val="000000"/>
                <w:sz w:val="18"/>
                <w:szCs w:val="18"/>
              </w:rPr>
              <w:t>0.03</w:t>
            </w:r>
          </w:p>
        </w:tc>
        <w:tc>
          <w:tcPr>
            <w:tcW w:w="2070" w:type="dxa"/>
            <w:shd w:val="clear" w:color="auto" w:fill="auto"/>
            <w:vAlign w:val="center"/>
          </w:tcPr>
          <w:p w:rsidRPr="00B34407" w:rsidR="00062414" w:rsidP="0063290C" w:rsidRDefault="00062414" w14:paraId="52BC511B" w14:textId="77777777">
            <w:pPr>
              <w:ind w:right="90" w:firstLine="40" w:firstLineChars="22"/>
              <w:jc w:val="center"/>
              <w:rPr>
                <w:color w:val="000000"/>
                <w:sz w:val="18"/>
                <w:szCs w:val="18"/>
              </w:rPr>
            </w:pPr>
            <w:r w:rsidRPr="00B34407">
              <w:rPr>
                <w:color w:val="000000"/>
                <w:sz w:val="18"/>
                <w:szCs w:val="18"/>
              </w:rPr>
              <w:t>0.25</w:t>
            </w:r>
          </w:p>
        </w:tc>
      </w:tr>
      <w:tr w:rsidRPr="00B34407" w:rsidR="00062414" w:rsidTr="007339B9" w14:paraId="2F906525" w14:textId="77777777">
        <w:trPr>
          <w:jc w:val="center"/>
        </w:trPr>
        <w:tc>
          <w:tcPr>
            <w:tcW w:w="2070" w:type="dxa"/>
            <w:shd w:val="clear" w:color="auto" w:fill="auto"/>
            <w:vAlign w:val="center"/>
          </w:tcPr>
          <w:p w:rsidRPr="00B34407" w:rsidR="00062414" w:rsidP="0063290C" w:rsidRDefault="00062414" w14:paraId="5D62CDD2" w14:textId="77777777">
            <w:pPr>
              <w:ind w:firstLine="180" w:firstLineChars="100"/>
              <w:jc w:val="left"/>
              <w:rPr>
                <w:color w:val="000000"/>
                <w:sz w:val="18"/>
                <w:szCs w:val="18"/>
              </w:rPr>
            </w:pPr>
            <w:r w:rsidRPr="00B34407">
              <w:rPr>
                <w:color w:val="000000"/>
                <w:sz w:val="18"/>
                <w:szCs w:val="18"/>
              </w:rPr>
              <w:t>2017 Series B</w:t>
            </w:r>
          </w:p>
        </w:tc>
        <w:tc>
          <w:tcPr>
            <w:tcW w:w="1260" w:type="dxa"/>
            <w:shd w:val="clear" w:color="auto" w:fill="auto"/>
            <w:vAlign w:val="center"/>
          </w:tcPr>
          <w:p w:rsidRPr="00B34407" w:rsidR="00062414" w:rsidP="0063290C" w:rsidRDefault="00062414" w14:paraId="7C64794C" w14:textId="77777777">
            <w:pPr>
              <w:ind w:right="90" w:firstLine="40" w:firstLineChars="22"/>
              <w:jc w:val="center"/>
              <w:rPr>
                <w:color w:val="000000"/>
                <w:sz w:val="18"/>
                <w:szCs w:val="18"/>
              </w:rPr>
            </w:pPr>
            <w:r w:rsidRPr="00B34407">
              <w:rPr>
                <w:color w:val="000000"/>
                <w:sz w:val="18"/>
                <w:szCs w:val="18"/>
              </w:rPr>
              <w:t>0.03</w:t>
            </w:r>
          </w:p>
        </w:tc>
        <w:tc>
          <w:tcPr>
            <w:tcW w:w="2070" w:type="dxa"/>
            <w:shd w:val="clear" w:color="auto" w:fill="auto"/>
            <w:vAlign w:val="center"/>
          </w:tcPr>
          <w:p w:rsidRPr="00B34407" w:rsidR="00062414" w:rsidP="0063290C" w:rsidRDefault="00062414" w14:paraId="358E4F99" w14:textId="77777777">
            <w:pPr>
              <w:ind w:right="90" w:firstLine="40" w:firstLineChars="22"/>
              <w:jc w:val="center"/>
              <w:rPr>
                <w:color w:val="000000"/>
                <w:sz w:val="18"/>
                <w:szCs w:val="18"/>
              </w:rPr>
            </w:pPr>
            <w:r w:rsidRPr="00B34407">
              <w:rPr>
                <w:color w:val="000000"/>
                <w:sz w:val="18"/>
                <w:szCs w:val="18"/>
              </w:rPr>
              <w:t>0.25</w:t>
            </w:r>
          </w:p>
        </w:tc>
      </w:tr>
      <w:tr w:rsidRPr="00B34407" w:rsidR="00062414" w:rsidTr="007339B9" w14:paraId="538070CC" w14:textId="77777777">
        <w:trPr>
          <w:jc w:val="center"/>
        </w:trPr>
        <w:tc>
          <w:tcPr>
            <w:tcW w:w="2070" w:type="dxa"/>
            <w:shd w:val="clear" w:color="auto" w:fill="auto"/>
            <w:vAlign w:val="center"/>
          </w:tcPr>
          <w:p w:rsidRPr="00B34407" w:rsidR="00062414" w:rsidP="0063290C" w:rsidRDefault="00062414" w14:paraId="5184F7A2" w14:textId="77777777">
            <w:pPr>
              <w:ind w:firstLine="180" w:firstLineChars="100"/>
              <w:jc w:val="left"/>
              <w:rPr>
                <w:color w:val="000000"/>
                <w:sz w:val="18"/>
                <w:szCs w:val="18"/>
              </w:rPr>
            </w:pPr>
            <w:r w:rsidRPr="00B34407">
              <w:rPr>
                <w:color w:val="000000"/>
                <w:sz w:val="18"/>
                <w:szCs w:val="18"/>
              </w:rPr>
              <w:t>2017 Series C</w:t>
            </w:r>
          </w:p>
        </w:tc>
        <w:tc>
          <w:tcPr>
            <w:tcW w:w="1260" w:type="dxa"/>
            <w:shd w:val="clear" w:color="auto" w:fill="auto"/>
            <w:vAlign w:val="center"/>
          </w:tcPr>
          <w:p w:rsidRPr="00B34407" w:rsidR="00062414" w:rsidP="0063290C" w:rsidRDefault="00062414" w14:paraId="5F9AC813" w14:textId="77777777">
            <w:pPr>
              <w:ind w:right="90" w:firstLine="40" w:firstLineChars="22"/>
              <w:jc w:val="center"/>
              <w:rPr>
                <w:color w:val="000000"/>
                <w:sz w:val="18"/>
                <w:szCs w:val="18"/>
              </w:rPr>
            </w:pPr>
            <w:r w:rsidRPr="00B34407">
              <w:rPr>
                <w:color w:val="000000"/>
                <w:sz w:val="18"/>
                <w:szCs w:val="18"/>
              </w:rPr>
              <w:t>0.03</w:t>
            </w:r>
          </w:p>
        </w:tc>
        <w:tc>
          <w:tcPr>
            <w:tcW w:w="2070" w:type="dxa"/>
            <w:shd w:val="clear" w:color="auto" w:fill="auto"/>
            <w:vAlign w:val="center"/>
          </w:tcPr>
          <w:p w:rsidRPr="00B34407" w:rsidR="00062414" w:rsidP="0063290C" w:rsidRDefault="00062414" w14:paraId="4FFA61A2" w14:textId="77777777">
            <w:pPr>
              <w:ind w:right="90" w:firstLine="40" w:firstLineChars="22"/>
              <w:jc w:val="center"/>
              <w:rPr>
                <w:color w:val="000000"/>
                <w:sz w:val="18"/>
                <w:szCs w:val="18"/>
              </w:rPr>
            </w:pPr>
            <w:r w:rsidRPr="00B34407">
              <w:rPr>
                <w:color w:val="000000"/>
                <w:sz w:val="18"/>
                <w:szCs w:val="18"/>
              </w:rPr>
              <w:t>0.25</w:t>
            </w:r>
          </w:p>
        </w:tc>
      </w:tr>
      <w:tr w:rsidRPr="00B34407" w:rsidR="00062414" w:rsidTr="007339B9" w14:paraId="5A31AF30" w14:textId="77777777">
        <w:trPr>
          <w:jc w:val="center"/>
        </w:trPr>
        <w:tc>
          <w:tcPr>
            <w:tcW w:w="2070" w:type="dxa"/>
            <w:shd w:val="clear" w:color="auto" w:fill="auto"/>
            <w:vAlign w:val="center"/>
          </w:tcPr>
          <w:p w:rsidRPr="00B34407" w:rsidR="00062414" w:rsidP="0063290C" w:rsidRDefault="00062414" w14:paraId="01742000" w14:textId="77777777">
            <w:pPr>
              <w:ind w:firstLine="180" w:firstLineChars="100"/>
              <w:jc w:val="left"/>
              <w:rPr>
                <w:color w:val="000000"/>
                <w:sz w:val="18"/>
                <w:szCs w:val="18"/>
              </w:rPr>
            </w:pPr>
            <w:r w:rsidRPr="00B34407">
              <w:rPr>
                <w:color w:val="000000"/>
                <w:sz w:val="18"/>
                <w:szCs w:val="18"/>
              </w:rPr>
              <w:t>2018 Series A</w:t>
            </w:r>
          </w:p>
        </w:tc>
        <w:tc>
          <w:tcPr>
            <w:tcW w:w="1260" w:type="dxa"/>
            <w:shd w:val="clear" w:color="auto" w:fill="auto"/>
            <w:vAlign w:val="center"/>
          </w:tcPr>
          <w:p w:rsidRPr="00B34407" w:rsidR="00062414" w:rsidP="0063290C" w:rsidRDefault="00062414" w14:paraId="32A995C3" w14:textId="77777777">
            <w:pPr>
              <w:ind w:right="90" w:firstLine="40" w:firstLineChars="22"/>
              <w:jc w:val="center"/>
              <w:rPr>
                <w:color w:val="000000"/>
                <w:sz w:val="18"/>
                <w:szCs w:val="18"/>
              </w:rPr>
            </w:pPr>
            <w:r w:rsidRPr="00B34407">
              <w:rPr>
                <w:color w:val="000000"/>
                <w:sz w:val="18"/>
                <w:szCs w:val="18"/>
              </w:rPr>
              <w:t>0.03</w:t>
            </w:r>
          </w:p>
        </w:tc>
        <w:tc>
          <w:tcPr>
            <w:tcW w:w="2070" w:type="dxa"/>
            <w:shd w:val="clear" w:color="auto" w:fill="auto"/>
            <w:vAlign w:val="center"/>
          </w:tcPr>
          <w:p w:rsidRPr="00B34407" w:rsidR="00062414" w:rsidP="0063290C" w:rsidRDefault="00062414" w14:paraId="2EE31F3A" w14:textId="77777777">
            <w:pPr>
              <w:ind w:right="90" w:firstLine="40" w:firstLineChars="22"/>
              <w:jc w:val="center"/>
              <w:rPr>
                <w:color w:val="000000"/>
                <w:sz w:val="18"/>
                <w:szCs w:val="18"/>
              </w:rPr>
            </w:pPr>
            <w:r w:rsidRPr="00B34407">
              <w:rPr>
                <w:color w:val="000000"/>
                <w:sz w:val="18"/>
                <w:szCs w:val="18"/>
              </w:rPr>
              <w:t>0.25</w:t>
            </w:r>
          </w:p>
        </w:tc>
      </w:tr>
      <w:tr w:rsidRPr="00B34407" w:rsidR="00062414" w:rsidTr="007339B9" w14:paraId="1FA2ABEA" w14:textId="77777777">
        <w:trPr>
          <w:jc w:val="center"/>
        </w:trPr>
        <w:tc>
          <w:tcPr>
            <w:tcW w:w="2070" w:type="dxa"/>
            <w:shd w:val="clear" w:color="auto" w:fill="auto"/>
            <w:vAlign w:val="center"/>
          </w:tcPr>
          <w:p w:rsidRPr="00B34407" w:rsidR="00062414" w:rsidP="0063290C" w:rsidRDefault="00062414" w14:paraId="437EC11B" w14:textId="3EA9EDD3">
            <w:pPr>
              <w:ind w:firstLine="180" w:firstLineChars="100"/>
              <w:jc w:val="left"/>
              <w:rPr>
                <w:color w:val="000000"/>
                <w:sz w:val="18"/>
                <w:szCs w:val="18"/>
              </w:rPr>
            </w:pPr>
            <w:r>
              <w:rPr>
                <w:color w:val="000000"/>
                <w:sz w:val="18"/>
                <w:szCs w:val="18"/>
              </w:rPr>
              <w:t>2019 Series A</w:t>
            </w:r>
          </w:p>
        </w:tc>
        <w:tc>
          <w:tcPr>
            <w:tcW w:w="1260" w:type="dxa"/>
            <w:shd w:val="clear" w:color="auto" w:fill="auto"/>
            <w:vAlign w:val="center"/>
          </w:tcPr>
          <w:p w:rsidRPr="00D0586A" w:rsidR="00062414" w:rsidP="0063290C" w:rsidRDefault="00062414" w14:paraId="5E80521D" w14:textId="12CD196D">
            <w:pPr>
              <w:ind w:right="90" w:firstLine="40" w:firstLineChars="22"/>
              <w:jc w:val="center"/>
              <w:rPr>
                <w:color w:val="000000"/>
                <w:sz w:val="18"/>
                <w:szCs w:val="18"/>
              </w:rPr>
            </w:pPr>
            <w:r w:rsidRPr="00D0586A">
              <w:rPr>
                <w:color w:val="000000"/>
                <w:sz w:val="18"/>
                <w:szCs w:val="18"/>
              </w:rPr>
              <w:t>0.03</w:t>
            </w:r>
          </w:p>
        </w:tc>
        <w:tc>
          <w:tcPr>
            <w:tcW w:w="2070" w:type="dxa"/>
            <w:shd w:val="clear" w:color="auto" w:fill="auto"/>
            <w:vAlign w:val="center"/>
          </w:tcPr>
          <w:p w:rsidRPr="00D0586A" w:rsidR="00062414" w:rsidP="0063290C" w:rsidRDefault="00062414" w14:paraId="7BDB1ADE" w14:textId="61552EC8">
            <w:pPr>
              <w:ind w:right="90" w:firstLine="40" w:firstLineChars="22"/>
              <w:jc w:val="center"/>
              <w:rPr>
                <w:color w:val="000000"/>
                <w:sz w:val="18"/>
                <w:szCs w:val="18"/>
              </w:rPr>
            </w:pPr>
            <w:r w:rsidRPr="00D0586A">
              <w:rPr>
                <w:color w:val="000000"/>
                <w:sz w:val="18"/>
                <w:szCs w:val="18"/>
              </w:rPr>
              <w:t>0.25</w:t>
            </w:r>
          </w:p>
        </w:tc>
      </w:tr>
      <w:tr w:rsidRPr="00B34407" w:rsidR="00062414" w:rsidTr="007339B9" w14:paraId="7E6855DD" w14:textId="77777777">
        <w:trPr>
          <w:jc w:val="center"/>
        </w:trPr>
        <w:tc>
          <w:tcPr>
            <w:tcW w:w="2070" w:type="dxa"/>
            <w:shd w:val="clear" w:color="auto" w:fill="auto"/>
            <w:vAlign w:val="center"/>
          </w:tcPr>
          <w:p w:rsidR="00062414" w:rsidP="0063290C" w:rsidRDefault="00062414" w14:paraId="7215627F" w14:textId="3715BD0B">
            <w:pPr>
              <w:ind w:firstLine="180" w:firstLineChars="100"/>
              <w:jc w:val="left"/>
              <w:rPr>
                <w:color w:val="000000"/>
                <w:sz w:val="18"/>
                <w:szCs w:val="18"/>
              </w:rPr>
            </w:pPr>
            <w:r>
              <w:rPr>
                <w:color w:val="000000"/>
                <w:sz w:val="18"/>
                <w:szCs w:val="18"/>
              </w:rPr>
              <w:t>2019 Series B</w:t>
            </w:r>
          </w:p>
        </w:tc>
        <w:tc>
          <w:tcPr>
            <w:tcW w:w="1260" w:type="dxa"/>
            <w:shd w:val="clear" w:color="auto" w:fill="auto"/>
            <w:vAlign w:val="center"/>
          </w:tcPr>
          <w:p w:rsidRPr="00D0586A" w:rsidR="00062414" w:rsidP="0063290C" w:rsidRDefault="00062414" w14:paraId="04FDF742" w14:textId="582706D4">
            <w:pPr>
              <w:ind w:right="90" w:firstLine="40" w:firstLineChars="22"/>
              <w:jc w:val="center"/>
              <w:rPr>
                <w:color w:val="000000"/>
                <w:sz w:val="18"/>
                <w:szCs w:val="18"/>
              </w:rPr>
            </w:pPr>
            <w:r w:rsidRPr="00D0586A">
              <w:rPr>
                <w:color w:val="000000"/>
                <w:sz w:val="18"/>
                <w:szCs w:val="18"/>
              </w:rPr>
              <w:t>0.03</w:t>
            </w:r>
          </w:p>
        </w:tc>
        <w:tc>
          <w:tcPr>
            <w:tcW w:w="2070" w:type="dxa"/>
            <w:shd w:val="clear" w:color="auto" w:fill="auto"/>
            <w:vAlign w:val="center"/>
          </w:tcPr>
          <w:p w:rsidRPr="00D0586A" w:rsidR="00062414" w:rsidP="0063290C" w:rsidRDefault="00062414" w14:paraId="1E034485" w14:textId="27CE31FF">
            <w:pPr>
              <w:ind w:right="90" w:firstLine="40" w:firstLineChars="22"/>
              <w:jc w:val="center"/>
              <w:rPr>
                <w:color w:val="000000"/>
                <w:sz w:val="18"/>
                <w:szCs w:val="18"/>
              </w:rPr>
            </w:pPr>
            <w:r w:rsidRPr="00D0586A">
              <w:rPr>
                <w:color w:val="000000"/>
                <w:sz w:val="18"/>
                <w:szCs w:val="18"/>
              </w:rPr>
              <w:t>0.25</w:t>
            </w:r>
          </w:p>
        </w:tc>
      </w:tr>
      <w:tr w:rsidRPr="00B34407" w:rsidR="00062414" w:rsidTr="007339B9" w14:paraId="0B09F84D" w14:textId="77777777">
        <w:trPr>
          <w:jc w:val="center"/>
        </w:trPr>
        <w:tc>
          <w:tcPr>
            <w:tcW w:w="2070" w:type="dxa"/>
            <w:shd w:val="clear" w:color="auto" w:fill="auto"/>
            <w:vAlign w:val="center"/>
          </w:tcPr>
          <w:p w:rsidRPr="00E640B4" w:rsidR="00062414" w:rsidP="007A7FE5" w:rsidRDefault="00062414" w14:paraId="626F2384" w14:textId="162B1053">
            <w:pPr>
              <w:ind w:firstLine="180" w:firstLineChars="100"/>
              <w:jc w:val="left"/>
              <w:rPr>
                <w:color w:val="000000"/>
                <w:sz w:val="18"/>
                <w:szCs w:val="18"/>
              </w:rPr>
            </w:pPr>
            <w:r w:rsidRPr="00E640B4">
              <w:rPr>
                <w:color w:val="000000"/>
                <w:sz w:val="18"/>
                <w:szCs w:val="18"/>
              </w:rPr>
              <w:t>2020 Series A</w:t>
            </w:r>
          </w:p>
        </w:tc>
        <w:tc>
          <w:tcPr>
            <w:tcW w:w="1260" w:type="dxa"/>
            <w:shd w:val="clear" w:color="auto" w:fill="auto"/>
            <w:vAlign w:val="center"/>
          </w:tcPr>
          <w:p w:rsidRPr="00E640B4" w:rsidR="00062414" w:rsidP="007A7FE5" w:rsidRDefault="00062414" w14:paraId="1322461E" w14:textId="5E975C4C">
            <w:pPr>
              <w:ind w:right="90" w:firstLine="40" w:firstLineChars="22"/>
              <w:jc w:val="center"/>
              <w:rPr>
                <w:color w:val="000000"/>
                <w:sz w:val="18"/>
                <w:szCs w:val="18"/>
              </w:rPr>
            </w:pPr>
            <w:r w:rsidRPr="00E640B4">
              <w:rPr>
                <w:color w:val="000000"/>
                <w:sz w:val="18"/>
                <w:szCs w:val="18"/>
              </w:rPr>
              <w:t>0.03</w:t>
            </w:r>
          </w:p>
        </w:tc>
        <w:tc>
          <w:tcPr>
            <w:tcW w:w="2070" w:type="dxa"/>
            <w:shd w:val="clear" w:color="auto" w:fill="auto"/>
            <w:vAlign w:val="center"/>
          </w:tcPr>
          <w:p w:rsidRPr="00E640B4" w:rsidR="00062414" w:rsidP="007A7FE5" w:rsidRDefault="00062414" w14:paraId="24E89E34" w14:textId="6FBCB2F6">
            <w:pPr>
              <w:ind w:right="90" w:firstLine="40" w:firstLineChars="22"/>
              <w:jc w:val="center"/>
              <w:rPr>
                <w:color w:val="000000"/>
                <w:sz w:val="18"/>
                <w:szCs w:val="18"/>
              </w:rPr>
            </w:pPr>
            <w:r w:rsidRPr="00E640B4">
              <w:rPr>
                <w:color w:val="000000"/>
                <w:sz w:val="18"/>
                <w:szCs w:val="18"/>
              </w:rPr>
              <w:t>0.25</w:t>
            </w:r>
          </w:p>
        </w:tc>
      </w:tr>
      <w:tr w:rsidRPr="00B34407" w:rsidR="00062414" w:rsidTr="007339B9" w14:paraId="55BED1E5" w14:textId="77777777">
        <w:trPr>
          <w:jc w:val="center"/>
        </w:trPr>
        <w:tc>
          <w:tcPr>
            <w:tcW w:w="2070" w:type="dxa"/>
            <w:shd w:val="clear" w:color="auto" w:fill="auto"/>
            <w:vAlign w:val="center"/>
          </w:tcPr>
          <w:p w:rsidRPr="00E640B4" w:rsidR="00062414" w:rsidP="007A7FE5" w:rsidRDefault="00062414" w14:paraId="0FE2E608" w14:textId="40C8B9AA">
            <w:pPr>
              <w:ind w:firstLine="180" w:firstLineChars="100"/>
              <w:jc w:val="left"/>
              <w:rPr>
                <w:color w:val="000000"/>
                <w:sz w:val="18"/>
                <w:szCs w:val="18"/>
              </w:rPr>
            </w:pPr>
            <w:r w:rsidRPr="00E640B4">
              <w:rPr>
                <w:color w:val="000000"/>
                <w:sz w:val="18"/>
                <w:szCs w:val="18"/>
              </w:rPr>
              <w:t>2020 Series B</w:t>
            </w:r>
          </w:p>
        </w:tc>
        <w:tc>
          <w:tcPr>
            <w:tcW w:w="1260" w:type="dxa"/>
            <w:shd w:val="clear" w:color="auto" w:fill="auto"/>
            <w:vAlign w:val="center"/>
          </w:tcPr>
          <w:p w:rsidRPr="00E640B4" w:rsidR="00062414" w:rsidP="007A7FE5" w:rsidRDefault="00062414" w14:paraId="3CCE23B0" w14:textId="2838ECA7">
            <w:pPr>
              <w:ind w:right="90" w:firstLine="40" w:firstLineChars="22"/>
              <w:jc w:val="center"/>
              <w:rPr>
                <w:color w:val="000000"/>
                <w:sz w:val="18"/>
                <w:szCs w:val="18"/>
              </w:rPr>
            </w:pPr>
            <w:r w:rsidRPr="00E640B4">
              <w:rPr>
                <w:color w:val="000000"/>
                <w:sz w:val="18"/>
                <w:szCs w:val="18"/>
              </w:rPr>
              <w:t>0.03</w:t>
            </w:r>
          </w:p>
        </w:tc>
        <w:tc>
          <w:tcPr>
            <w:tcW w:w="2070" w:type="dxa"/>
            <w:shd w:val="clear" w:color="auto" w:fill="auto"/>
            <w:vAlign w:val="center"/>
          </w:tcPr>
          <w:p w:rsidRPr="00E640B4" w:rsidR="00062414" w:rsidP="007A7FE5" w:rsidRDefault="00062414" w14:paraId="4B3BF1FA" w14:textId="2ADB8761">
            <w:pPr>
              <w:ind w:right="90" w:firstLine="40" w:firstLineChars="22"/>
              <w:jc w:val="center"/>
              <w:rPr>
                <w:color w:val="000000"/>
                <w:sz w:val="18"/>
                <w:szCs w:val="18"/>
              </w:rPr>
            </w:pPr>
            <w:r w:rsidRPr="00E640B4">
              <w:rPr>
                <w:color w:val="000000"/>
                <w:sz w:val="18"/>
                <w:szCs w:val="18"/>
              </w:rPr>
              <w:t>0.25</w:t>
            </w:r>
          </w:p>
        </w:tc>
      </w:tr>
      <w:tr w:rsidRPr="00B34407" w:rsidR="00062414" w:rsidTr="007339B9" w14:paraId="7E42074F" w14:textId="77777777">
        <w:trPr>
          <w:jc w:val="center"/>
        </w:trPr>
        <w:tc>
          <w:tcPr>
            <w:tcW w:w="2070" w:type="dxa"/>
            <w:shd w:val="clear" w:color="auto" w:fill="auto"/>
            <w:vAlign w:val="center"/>
          </w:tcPr>
          <w:p w:rsidRPr="007202DF" w:rsidR="00062414" w:rsidP="007A7FE5" w:rsidRDefault="00062414" w14:paraId="7AAAE0B3" w14:textId="431CA8DB">
            <w:pPr>
              <w:ind w:firstLine="180" w:firstLineChars="100"/>
              <w:jc w:val="left"/>
              <w:rPr>
                <w:color w:val="000000"/>
                <w:sz w:val="18"/>
                <w:szCs w:val="18"/>
              </w:rPr>
            </w:pPr>
            <w:r w:rsidRPr="007202DF">
              <w:rPr>
                <w:color w:val="000000"/>
                <w:sz w:val="18"/>
                <w:szCs w:val="18"/>
              </w:rPr>
              <w:t xml:space="preserve">2021 Series A </w:t>
            </w:r>
          </w:p>
        </w:tc>
        <w:tc>
          <w:tcPr>
            <w:tcW w:w="1260" w:type="dxa"/>
            <w:shd w:val="clear" w:color="auto" w:fill="auto"/>
            <w:vAlign w:val="center"/>
          </w:tcPr>
          <w:p w:rsidRPr="007202DF" w:rsidR="00062414" w:rsidP="007A7FE5" w:rsidRDefault="00062414" w14:paraId="7EB72BC1" w14:textId="5805B8CA">
            <w:pPr>
              <w:ind w:right="90" w:firstLine="40" w:firstLineChars="22"/>
              <w:jc w:val="center"/>
              <w:rPr>
                <w:color w:val="000000"/>
                <w:sz w:val="18"/>
                <w:szCs w:val="18"/>
              </w:rPr>
            </w:pPr>
            <w:r w:rsidRPr="007202DF">
              <w:rPr>
                <w:color w:val="000000"/>
                <w:sz w:val="18"/>
                <w:szCs w:val="18"/>
              </w:rPr>
              <w:t>0.03</w:t>
            </w:r>
          </w:p>
        </w:tc>
        <w:tc>
          <w:tcPr>
            <w:tcW w:w="2070" w:type="dxa"/>
            <w:shd w:val="clear" w:color="auto" w:fill="auto"/>
            <w:vAlign w:val="center"/>
          </w:tcPr>
          <w:p w:rsidRPr="007202DF" w:rsidR="00062414" w:rsidP="007A7FE5" w:rsidRDefault="00062414" w14:paraId="5416803A" w14:textId="1CC72310">
            <w:pPr>
              <w:ind w:right="90" w:firstLine="40" w:firstLineChars="22"/>
              <w:jc w:val="center"/>
              <w:rPr>
                <w:color w:val="000000"/>
                <w:sz w:val="18"/>
                <w:szCs w:val="18"/>
              </w:rPr>
            </w:pPr>
            <w:r w:rsidRPr="007202DF">
              <w:rPr>
                <w:color w:val="000000"/>
                <w:sz w:val="18"/>
                <w:szCs w:val="18"/>
              </w:rPr>
              <w:t>0.25</w:t>
            </w:r>
          </w:p>
        </w:tc>
      </w:tr>
      <w:tr w:rsidRPr="00B34407" w:rsidR="00062414" w:rsidTr="007339B9" w14:paraId="5DE1CF29" w14:textId="77777777">
        <w:trPr>
          <w:jc w:val="center"/>
        </w:trPr>
        <w:tc>
          <w:tcPr>
            <w:tcW w:w="2070" w:type="dxa"/>
            <w:shd w:val="clear" w:color="auto" w:fill="auto"/>
            <w:vAlign w:val="center"/>
          </w:tcPr>
          <w:p w:rsidRPr="007202DF" w:rsidR="00062414" w:rsidP="00E308F5" w:rsidRDefault="00062414" w14:paraId="079E0728" w14:textId="2DDE899A">
            <w:pPr>
              <w:ind w:firstLine="180" w:firstLineChars="100"/>
              <w:jc w:val="left"/>
              <w:rPr>
                <w:color w:val="000000"/>
                <w:sz w:val="18"/>
                <w:szCs w:val="18"/>
              </w:rPr>
            </w:pPr>
            <w:r>
              <w:rPr>
                <w:color w:val="000000"/>
                <w:sz w:val="18"/>
                <w:szCs w:val="18"/>
              </w:rPr>
              <w:t>2021 Series B</w:t>
            </w:r>
            <w:r w:rsidRPr="007202DF">
              <w:rPr>
                <w:color w:val="000000"/>
                <w:sz w:val="18"/>
                <w:szCs w:val="18"/>
              </w:rPr>
              <w:t xml:space="preserve"> </w:t>
            </w:r>
          </w:p>
        </w:tc>
        <w:tc>
          <w:tcPr>
            <w:tcW w:w="1260" w:type="dxa"/>
            <w:shd w:val="clear" w:color="auto" w:fill="auto"/>
            <w:vAlign w:val="center"/>
          </w:tcPr>
          <w:p w:rsidRPr="007202DF" w:rsidR="00062414" w:rsidP="00E308F5" w:rsidRDefault="00062414" w14:paraId="463AE1CA" w14:textId="147EFDC0">
            <w:pPr>
              <w:ind w:right="90" w:firstLine="40" w:firstLineChars="22"/>
              <w:jc w:val="center"/>
              <w:rPr>
                <w:color w:val="000000"/>
                <w:sz w:val="18"/>
                <w:szCs w:val="18"/>
              </w:rPr>
            </w:pPr>
            <w:r w:rsidRPr="007202DF">
              <w:rPr>
                <w:color w:val="000000"/>
                <w:sz w:val="18"/>
                <w:szCs w:val="18"/>
              </w:rPr>
              <w:t>0.03</w:t>
            </w:r>
          </w:p>
        </w:tc>
        <w:tc>
          <w:tcPr>
            <w:tcW w:w="2070" w:type="dxa"/>
            <w:shd w:val="clear" w:color="auto" w:fill="auto"/>
            <w:vAlign w:val="center"/>
          </w:tcPr>
          <w:p w:rsidRPr="007202DF" w:rsidR="00062414" w:rsidP="00E308F5" w:rsidRDefault="00062414" w14:paraId="5BF4EAD5" w14:textId="66D97196">
            <w:pPr>
              <w:ind w:right="90" w:firstLine="40" w:firstLineChars="22"/>
              <w:jc w:val="center"/>
              <w:rPr>
                <w:color w:val="000000"/>
                <w:sz w:val="18"/>
                <w:szCs w:val="18"/>
              </w:rPr>
            </w:pPr>
            <w:r w:rsidRPr="007202DF">
              <w:rPr>
                <w:color w:val="000000"/>
                <w:sz w:val="18"/>
                <w:szCs w:val="18"/>
              </w:rPr>
              <w:t>0.25</w:t>
            </w:r>
          </w:p>
        </w:tc>
      </w:tr>
      <w:tr w:rsidRPr="00B34407" w:rsidR="00062414" w:rsidTr="007339B9" w14:paraId="10D70C54" w14:textId="77777777">
        <w:trPr>
          <w:jc w:val="center"/>
        </w:trPr>
        <w:tc>
          <w:tcPr>
            <w:tcW w:w="2070" w:type="dxa"/>
            <w:shd w:val="clear" w:color="auto" w:fill="auto"/>
            <w:vAlign w:val="center"/>
          </w:tcPr>
          <w:p w:rsidRPr="00F826D6" w:rsidR="00062414" w:rsidP="00062414" w:rsidRDefault="00062414" w14:paraId="3291F024" w14:textId="1606DE15">
            <w:pPr>
              <w:ind w:firstLine="180" w:firstLineChars="100"/>
              <w:jc w:val="left"/>
              <w:rPr>
                <w:color w:val="000000"/>
                <w:sz w:val="18"/>
                <w:szCs w:val="18"/>
              </w:rPr>
            </w:pPr>
            <w:r w:rsidRPr="00F826D6">
              <w:rPr>
                <w:color w:val="000000"/>
                <w:sz w:val="18"/>
                <w:szCs w:val="18"/>
              </w:rPr>
              <w:t xml:space="preserve">2021 Series C </w:t>
            </w:r>
          </w:p>
        </w:tc>
        <w:tc>
          <w:tcPr>
            <w:tcW w:w="1260" w:type="dxa"/>
            <w:shd w:val="clear" w:color="auto" w:fill="auto"/>
            <w:vAlign w:val="center"/>
          </w:tcPr>
          <w:p w:rsidRPr="00F826D6" w:rsidR="00062414" w:rsidP="00766587" w:rsidRDefault="00062414" w14:paraId="528489EF" w14:textId="19116AB4">
            <w:pPr>
              <w:ind w:right="90" w:firstLine="40" w:firstLineChars="22"/>
              <w:jc w:val="center"/>
              <w:rPr>
                <w:color w:val="000000"/>
                <w:sz w:val="18"/>
                <w:szCs w:val="18"/>
              </w:rPr>
            </w:pPr>
            <w:r w:rsidRPr="00F826D6">
              <w:rPr>
                <w:color w:val="000000"/>
                <w:sz w:val="18"/>
                <w:szCs w:val="18"/>
              </w:rPr>
              <w:t>0.03</w:t>
            </w:r>
          </w:p>
        </w:tc>
        <w:tc>
          <w:tcPr>
            <w:tcW w:w="2070" w:type="dxa"/>
            <w:shd w:val="clear" w:color="auto" w:fill="auto"/>
            <w:vAlign w:val="center"/>
          </w:tcPr>
          <w:p w:rsidRPr="00F826D6" w:rsidR="00062414" w:rsidP="00766587" w:rsidRDefault="00062414" w14:paraId="41AC7A27" w14:textId="0CF89BA7">
            <w:pPr>
              <w:ind w:right="90" w:firstLine="40" w:firstLineChars="22"/>
              <w:jc w:val="center"/>
              <w:rPr>
                <w:color w:val="000000"/>
                <w:sz w:val="18"/>
                <w:szCs w:val="18"/>
              </w:rPr>
            </w:pPr>
            <w:r w:rsidRPr="00F826D6">
              <w:rPr>
                <w:color w:val="000000"/>
                <w:sz w:val="18"/>
                <w:szCs w:val="18"/>
              </w:rPr>
              <w:t>0.25</w:t>
            </w:r>
          </w:p>
        </w:tc>
      </w:tr>
      <w:tr w:rsidRPr="00B34407" w:rsidR="001A1B95" w:rsidTr="007339B9" w14:paraId="4B56C004" w14:textId="77777777">
        <w:trPr>
          <w:jc w:val="center"/>
        </w:trPr>
        <w:tc>
          <w:tcPr>
            <w:tcW w:w="2070" w:type="dxa"/>
            <w:shd w:val="clear" w:color="auto" w:fill="auto"/>
            <w:vAlign w:val="center"/>
          </w:tcPr>
          <w:p w:rsidRPr="001F6A57" w:rsidR="001A1B95" w:rsidP="00062414" w:rsidRDefault="001A1B95" w14:paraId="0F5231AE" w14:textId="6C9C4E13">
            <w:pPr>
              <w:ind w:firstLine="180" w:firstLineChars="100"/>
              <w:jc w:val="left"/>
              <w:rPr>
                <w:color w:val="000000"/>
                <w:sz w:val="18"/>
                <w:szCs w:val="18"/>
              </w:rPr>
            </w:pPr>
            <w:r w:rsidRPr="001F6A57">
              <w:rPr>
                <w:color w:val="000000"/>
                <w:sz w:val="18"/>
                <w:szCs w:val="18"/>
              </w:rPr>
              <w:t>2022 Series A</w:t>
            </w:r>
          </w:p>
        </w:tc>
        <w:tc>
          <w:tcPr>
            <w:tcW w:w="1260" w:type="dxa"/>
            <w:shd w:val="clear" w:color="auto" w:fill="auto"/>
            <w:vAlign w:val="center"/>
          </w:tcPr>
          <w:p w:rsidRPr="001F6A57" w:rsidR="001A1B95" w:rsidP="00766587" w:rsidRDefault="001A1B95" w14:paraId="5F489675" w14:textId="08B9C2AC">
            <w:pPr>
              <w:ind w:right="90" w:firstLine="40" w:firstLineChars="22"/>
              <w:jc w:val="center"/>
              <w:rPr>
                <w:color w:val="000000"/>
                <w:sz w:val="18"/>
                <w:szCs w:val="18"/>
              </w:rPr>
            </w:pPr>
            <w:r w:rsidRPr="001F6A57">
              <w:rPr>
                <w:color w:val="000000"/>
                <w:sz w:val="18"/>
                <w:szCs w:val="18"/>
              </w:rPr>
              <w:t>0.03</w:t>
            </w:r>
          </w:p>
        </w:tc>
        <w:tc>
          <w:tcPr>
            <w:tcW w:w="2070" w:type="dxa"/>
            <w:shd w:val="clear" w:color="auto" w:fill="auto"/>
            <w:vAlign w:val="center"/>
          </w:tcPr>
          <w:p w:rsidRPr="001F6A57" w:rsidR="001A1B95" w:rsidP="00766587" w:rsidRDefault="001A1B95" w14:paraId="7EC0F3D2" w14:textId="144AE423">
            <w:pPr>
              <w:ind w:right="90" w:firstLine="40" w:firstLineChars="22"/>
              <w:jc w:val="center"/>
              <w:rPr>
                <w:color w:val="000000"/>
                <w:sz w:val="18"/>
                <w:szCs w:val="18"/>
              </w:rPr>
            </w:pPr>
            <w:r w:rsidRPr="001F6A57">
              <w:rPr>
                <w:color w:val="000000"/>
                <w:sz w:val="18"/>
                <w:szCs w:val="18"/>
              </w:rPr>
              <w:t>0.25</w:t>
            </w:r>
          </w:p>
        </w:tc>
      </w:tr>
      <w:tr w:rsidRPr="00B34407" w:rsidR="00762278" w:rsidTr="007339B9" w14:paraId="2A10B5C7" w14:textId="77777777">
        <w:trPr>
          <w:jc w:val="center"/>
        </w:trPr>
        <w:tc>
          <w:tcPr>
            <w:tcW w:w="2070" w:type="dxa"/>
            <w:shd w:val="clear" w:color="auto" w:fill="auto"/>
            <w:vAlign w:val="center"/>
          </w:tcPr>
          <w:p w:rsidRPr="001F6A57" w:rsidR="00762278" w:rsidP="00762278" w:rsidRDefault="00762278" w14:paraId="7F0170DA" w14:textId="14711527">
            <w:pPr>
              <w:ind w:firstLine="180" w:firstLineChars="100"/>
              <w:jc w:val="left"/>
              <w:rPr>
                <w:color w:val="000000"/>
                <w:sz w:val="18"/>
                <w:szCs w:val="18"/>
              </w:rPr>
            </w:pPr>
            <w:r w:rsidRPr="001F6A57">
              <w:rPr>
                <w:color w:val="000000"/>
                <w:sz w:val="18"/>
                <w:szCs w:val="18"/>
              </w:rPr>
              <w:t xml:space="preserve">2022 Series </w:t>
            </w:r>
            <w:r>
              <w:rPr>
                <w:color w:val="000000"/>
                <w:sz w:val="18"/>
                <w:szCs w:val="18"/>
              </w:rPr>
              <w:t>B</w:t>
            </w:r>
          </w:p>
        </w:tc>
        <w:tc>
          <w:tcPr>
            <w:tcW w:w="1260" w:type="dxa"/>
            <w:shd w:val="clear" w:color="auto" w:fill="auto"/>
            <w:vAlign w:val="center"/>
          </w:tcPr>
          <w:p w:rsidRPr="00AA4B39" w:rsidR="00762278" w:rsidP="00762278" w:rsidRDefault="00762278" w14:paraId="75535600" w14:textId="136368F7">
            <w:pPr>
              <w:ind w:right="90" w:firstLine="40" w:firstLineChars="22"/>
              <w:jc w:val="center"/>
              <w:rPr>
                <w:color w:val="000000"/>
                <w:sz w:val="18"/>
                <w:szCs w:val="18"/>
              </w:rPr>
            </w:pPr>
            <w:r w:rsidRPr="00AA4B39">
              <w:rPr>
                <w:color w:val="000000"/>
                <w:sz w:val="18"/>
                <w:szCs w:val="18"/>
              </w:rPr>
              <w:t>0.03</w:t>
            </w:r>
          </w:p>
        </w:tc>
        <w:tc>
          <w:tcPr>
            <w:tcW w:w="2070" w:type="dxa"/>
            <w:shd w:val="clear" w:color="auto" w:fill="auto"/>
            <w:vAlign w:val="center"/>
          </w:tcPr>
          <w:p w:rsidRPr="00AA4B39" w:rsidR="00762278" w:rsidP="00762278" w:rsidRDefault="00762278" w14:paraId="1917331E" w14:textId="67BE8F50">
            <w:pPr>
              <w:ind w:right="90" w:firstLine="40" w:firstLineChars="22"/>
              <w:jc w:val="center"/>
              <w:rPr>
                <w:color w:val="000000"/>
                <w:sz w:val="18"/>
                <w:szCs w:val="18"/>
              </w:rPr>
            </w:pPr>
            <w:r w:rsidRPr="00AA4B39">
              <w:rPr>
                <w:color w:val="000000"/>
                <w:sz w:val="18"/>
                <w:szCs w:val="18"/>
              </w:rPr>
              <w:t>0.25</w:t>
            </w:r>
          </w:p>
        </w:tc>
      </w:tr>
      <w:tr w:rsidRPr="00B34407" w:rsidR="004A2A5B" w:rsidTr="007339B9" w14:paraId="04FFD859" w14:textId="77777777">
        <w:trPr>
          <w:jc w:val="center"/>
        </w:trPr>
        <w:tc>
          <w:tcPr>
            <w:tcW w:w="2070" w:type="dxa"/>
            <w:shd w:val="clear" w:color="auto" w:fill="auto"/>
            <w:vAlign w:val="center"/>
          </w:tcPr>
          <w:p w:rsidRPr="001F6A57" w:rsidR="004A2A5B" w:rsidP="00762278" w:rsidRDefault="004A2A5B" w14:paraId="648BB8AE" w14:textId="41D65049">
            <w:pPr>
              <w:ind w:firstLine="180" w:firstLineChars="100"/>
              <w:jc w:val="left"/>
              <w:rPr>
                <w:color w:val="000000"/>
                <w:sz w:val="18"/>
                <w:szCs w:val="18"/>
              </w:rPr>
            </w:pPr>
            <w:r>
              <w:rPr>
                <w:color w:val="000000"/>
                <w:sz w:val="18"/>
                <w:szCs w:val="18"/>
              </w:rPr>
              <w:t>2022 Series C&amp;D</w:t>
            </w:r>
          </w:p>
        </w:tc>
        <w:tc>
          <w:tcPr>
            <w:tcW w:w="1260" w:type="dxa"/>
            <w:shd w:val="clear" w:color="auto" w:fill="auto"/>
            <w:vAlign w:val="center"/>
          </w:tcPr>
          <w:p w:rsidRPr="00FF2C39" w:rsidR="004A2A5B" w:rsidP="00762278" w:rsidRDefault="00767FBC" w14:paraId="5F38DE39" w14:textId="451F5DC7">
            <w:pPr>
              <w:ind w:right="90" w:firstLine="40" w:firstLineChars="22"/>
              <w:jc w:val="center"/>
              <w:rPr>
                <w:color w:val="000000"/>
                <w:sz w:val="18"/>
                <w:szCs w:val="18"/>
              </w:rPr>
            </w:pPr>
            <w:r w:rsidRPr="00FF2C39">
              <w:rPr>
                <w:color w:val="000000"/>
                <w:sz w:val="18"/>
                <w:szCs w:val="18"/>
              </w:rPr>
              <w:t>0.03</w:t>
            </w:r>
          </w:p>
        </w:tc>
        <w:tc>
          <w:tcPr>
            <w:tcW w:w="2070" w:type="dxa"/>
            <w:shd w:val="clear" w:color="auto" w:fill="auto"/>
            <w:vAlign w:val="center"/>
          </w:tcPr>
          <w:p w:rsidRPr="00FF2C39" w:rsidR="004A2A5B" w:rsidP="00762278" w:rsidRDefault="00767FBC" w14:paraId="23B229F1" w14:textId="0505FC86">
            <w:pPr>
              <w:ind w:right="90" w:firstLine="40" w:firstLineChars="22"/>
              <w:jc w:val="center"/>
              <w:rPr>
                <w:color w:val="000000"/>
                <w:sz w:val="18"/>
                <w:szCs w:val="18"/>
              </w:rPr>
            </w:pPr>
            <w:r w:rsidRPr="00FF2C39">
              <w:rPr>
                <w:color w:val="000000"/>
                <w:sz w:val="18"/>
                <w:szCs w:val="18"/>
              </w:rPr>
              <w:t>0.25</w:t>
            </w:r>
          </w:p>
        </w:tc>
      </w:tr>
      <w:tr w:rsidRPr="00B34407" w:rsidR="003607B6" w:rsidTr="007339B9" w14:paraId="4C0D7C02" w14:textId="77777777">
        <w:trPr>
          <w:jc w:val="center"/>
        </w:trPr>
        <w:tc>
          <w:tcPr>
            <w:tcW w:w="2070" w:type="dxa"/>
            <w:shd w:val="clear" w:color="auto" w:fill="auto"/>
            <w:vAlign w:val="center"/>
          </w:tcPr>
          <w:p w:rsidR="003607B6" w:rsidP="00762278" w:rsidRDefault="003607B6" w14:paraId="2BCB3DA4" w14:textId="69A83E3C">
            <w:pPr>
              <w:ind w:firstLine="180" w:firstLineChars="100"/>
              <w:jc w:val="left"/>
              <w:rPr>
                <w:color w:val="000000"/>
                <w:sz w:val="18"/>
                <w:szCs w:val="18"/>
              </w:rPr>
            </w:pPr>
            <w:r>
              <w:rPr>
                <w:color w:val="000000"/>
                <w:sz w:val="18"/>
                <w:szCs w:val="18"/>
              </w:rPr>
              <w:t>2023 Series A</w:t>
            </w:r>
          </w:p>
        </w:tc>
        <w:tc>
          <w:tcPr>
            <w:tcW w:w="1260" w:type="dxa"/>
            <w:shd w:val="clear" w:color="auto" w:fill="auto"/>
            <w:vAlign w:val="center"/>
          </w:tcPr>
          <w:p w:rsidRPr="008D2FE5" w:rsidR="003607B6" w:rsidP="00762278" w:rsidRDefault="008D2FE5" w14:paraId="2F089239" w14:textId="0A59FF06">
            <w:pPr>
              <w:ind w:right="90" w:firstLine="40" w:firstLineChars="22"/>
              <w:jc w:val="center"/>
              <w:rPr>
                <w:color w:val="000000"/>
                <w:sz w:val="18"/>
                <w:szCs w:val="18"/>
              </w:rPr>
            </w:pPr>
            <w:r w:rsidRPr="008D2FE5">
              <w:rPr>
                <w:color w:val="000000"/>
                <w:sz w:val="18"/>
                <w:szCs w:val="18"/>
              </w:rPr>
              <w:t>0.03</w:t>
            </w:r>
          </w:p>
        </w:tc>
        <w:tc>
          <w:tcPr>
            <w:tcW w:w="2070" w:type="dxa"/>
            <w:shd w:val="clear" w:color="auto" w:fill="auto"/>
            <w:vAlign w:val="center"/>
          </w:tcPr>
          <w:p w:rsidRPr="008D2FE5" w:rsidR="003607B6" w:rsidP="00762278" w:rsidRDefault="008D2FE5" w14:paraId="76DE5FC8" w14:textId="330213B6">
            <w:pPr>
              <w:ind w:right="90" w:firstLine="40" w:firstLineChars="22"/>
              <w:jc w:val="center"/>
              <w:rPr>
                <w:color w:val="000000"/>
                <w:sz w:val="18"/>
                <w:szCs w:val="18"/>
              </w:rPr>
            </w:pPr>
            <w:r w:rsidRPr="008D2FE5">
              <w:rPr>
                <w:color w:val="000000"/>
                <w:sz w:val="18"/>
                <w:szCs w:val="18"/>
              </w:rPr>
              <w:t>0.25</w:t>
            </w:r>
          </w:p>
        </w:tc>
      </w:tr>
      <w:tr w:rsidRPr="00B34407" w:rsidR="003607B6" w:rsidTr="007339B9" w14:paraId="765D90F9" w14:textId="77777777">
        <w:trPr>
          <w:jc w:val="center"/>
        </w:trPr>
        <w:tc>
          <w:tcPr>
            <w:tcW w:w="2070" w:type="dxa"/>
            <w:shd w:val="clear" w:color="auto" w:fill="auto"/>
            <w:vAlign w:val="center"/>
          </w:tcPr>
          <w:p w:rsidR="003607B6" w:rsidP="00762278" w:rsidRDefault="003607B6" w14:paraId="54FBFE5C" w14:textId="6BD6E651">
            <w:pPr>
              <w:ind w:firstLine="180" w:firstLineChars="100"/>
              <w:jc w:val="left"/>
              <w:rPr>
                <w:color w:val="000000"/>
                <w:sz w:val="18"/>
                <w:szCs w:val="18"/>
              </w:rPr>
            </w:pPr>
            <w:r>
              <w:rPr>
                <w:color w:val="000000"/>
                <w:sz w:val="18"/>
                <w:szCs w:val="18"/>
              </w:rPr>
              <w:t>2023 Series B</w:t>
            </w:r>
          </w:p>
        </w:tc>
        <w:tc>
          <w:tcPr>
            <w:tcW w:w="1260" w:type="dxa"/>
            <w:shd w:val="clear" w:color="auto" w:fill="auto"/>
            <w:vAlign w:val="center"/>
          </w:tcPr>
          <w:p w:rsidRPr="009513BD" w:rsidR="003607B6" w:rsidP="00762278" w:rsidRDefault="009513BD" w14:paraId="6259FE2A" w14:textId="0FD5C5C4">
            <w:pPr>
              <w:ind w:right="90" w:firstLine="40" w:firstLineChars="22"/>
              <w:jc w:val="center"/>
              <w:rPr>
                <w:color w:val="000000"/>
                <w:sz w:val="18"/>
                <w:szCs w:val="18"/>
              </w:rPr>
            </w:pPr>
            <w:r w:rsidRPr="009513BD">
              <w:rPr>
                <w:color w:val="000000"/>
                <w:sz w:val="18"/>
                <w:szCs w:val="18"/>
              </w:rPr>
              <w:t>0.03</w:t>
            </w:r>
          </w:p>
        </w:tc>
        <w:tc>
          <w:tcPr>
            <w:tcW w:w="2070" w:type="dxa"/>
            <w:shd w:val="clear" w:color="auto" w:fill="auto"/>
            <w:vAlign w:val="center"/>
          </w:tcPr>
          <w:p w:rsidRPr="009513BD" w:rsidR="003607B6" w:rsidP="00762278" w:rsidRDefault="009513BD" w14:paraId="31787CEE" w14:textId="1E96E855">
            <w:pPr>
              <w:ind w:right="90" w:firstLine="40" w:firstLineChars="22"/>
              <w:jc w:val="center"/>
              <w:rPr>
                <w:color w:val="000000"/>
                <w:sz w:val="18"/>
                <w:szCs w:val="18"/>
              </w:rPr>
            </w:pPr>
            <w:r w:rsidRPr="009513BD">
              <w:rPr>
                <w:color w:val="000000"/>
                <w:sz w:val="18"/>
                <w:szCs w:val="18"/>
              </w:rPr>
              <w:t>0.25</w:t>
            </w:r>
          </w:p>
        </w:tc>
      </w:tr>
      <w:tr w:rsidRPr="00B34407" w:rsidR="00970314" w:rsidTr="007339B9" w14:paraId="7B73E4B2" w14:textId="77777777">
        <w:trPr>
          <w:jc w:val="center"/>
        </w:trPr>
        <w:tc>
          <w:tcPr>
            <w:tcW w:w="2070" w:type="dxa"/>
            <w:shd w:val="clear" w:color="auto" w:fill="auto"/>
            <w:vAlign w:val="center"/>
          </w:tcPr>
          <w:p w:rsidR="00970314" w:rsidP="00762278" w:rsidRDefault="00970314" w14:paraId="676EC3EC" w14:textId="5E9B87D4">
            <w:pPr>
              <w:ind w:firstLine="180" w:firstLineChars="100"/>
              <w:jc w:val="left"/>
              <w:rPr>
                <w:color w:val="000000"/>
                <w:sz w:val="18"/>
                <w:szCs w:val="18"/>
              </w:rPr>
            </w:pPr>
            <w:r>
              <w:rPr>
                <w:color w:val="000000"/>
                <w:sz w:val="18"/>
                <w:szCs w:val="18"/>
              </w:rPr>
              <w:t>2023 Series C</w:t>
            </w:r>
          </w:p>
        </w:tc>
        <w:tc>
          <w:tcPr>
            <w:tcW w:w="1260" w:type="dxa"/>
            <w:shd w:val="clear" w:color="auto" w:fill="auto"/>
            <w:vAlign w:val="center"/>
          </w:tcPr>
          <w:p w:rsidRPr="009513BD" w:rsidR="00970314" w:rsidP="00762278" w:rsidRDefault="00970314" w14:paraId="1F5F11B9" w14:textId="72B3C264">
            <w:pPr>
              <w:ind w:right="90" w:firstLine="40" w:firstLineChars="22"/>
              <w:jc w:val="center"/>
              <w:rPr>
                <w:color w:val="000000"/>
                <w:sz w:val="18"/>
                <w:szCs w:val="18"/>
              </w:rPr>
            </w:pPr>
            <w:r>
              <w:rPr>
                <w:color w:val="000000"/>
                <w:sz w:val="18"/>
                <w:szCs w:val="18"/>
              </w:rPr>
              <w:t>0.03</w:t>
            </w:r>
          </w:p>
        </w:tc>
        <w:tc>
          <w:tcPr>
            <w:tcW w:w="2070" w:type="dxa"/>
            <w:shd w:val="clear" w:color="auto" w:fill="auto"/>
            <w:vAlign w:val="center"/>
          </w:tcPr>
          <w:p w:rsidRPr="009513BD" w:rsidR="00970314" w:rsidP="00762278" w:rsidRDefault="00970314" w14:paraId="1D37A9A5" w14:textId="784B1341">
            <w:pPr>
              <w:ind w:right="90" w:firstLine="40" w:firstLineChars="22"/>
              <w:jc w:val="center"/>
              <w:rPr>
                <w:color w:val="000000"/>
                <w:sz w:val="18"/>
                <w:szCs w:val="18"/>
              </w:rPr>
            </w:pPr>
            <w:r>
              <w:rPr>
                <w:color w:val="000000"/>
                <w:sz w:val="18"/>
                <w:szCs w:val="18"/>
              </w:rPr>
              <w:t>0.25</w:t>
            </w:r>
          </w:p>
        </w:tc>
      </w:tr>
      <w:tr w:rsidRPr="00B34407" w:rsidR="00970314" w:rsidTr="007339B9" w14:paraId="41590393" w14:textId="77777777">
        <w:trPr>
          <w:jc w:val="center"/>
        </w:trPr>
        <w:tc>
          <w:tcPr>
            <w:tcW w:w="2070" w:type="dxa"/>
            <w:shd w:val="clear" w:color="auto" w:fill="auto"/>
            <w:vAlign w:val="center"/>
          </w:tcPr>
          <w:p w:rsidR="00970314" w:rsidP="00762278" w:rsidRDefault="00E049B8" w14:paraId="65A3FC80" w14:textId="78A413AC">
            <w:pPr>
              <w:ind w:firstLine="180" w:firstLineChars="100"/>
              <w:jc w:val="left"/>
              <w:rPr>
                <w:color w:val="000000"/>
                <w:sz w:val="18"/>
                <w:szCs w:val="18"/>
              </w:rPr>
            </w:pPr>
            <w:r>
              <w:rPr>
                <w:color w:val="000000"/>
                <w:sz w:val="18"/>
                <w:szCs w:val="18"/>
              </w:rPr>
              <w:lastRenderedPageBreak/>
              <w:t>2023 Series D</w:t>
            </w:r>
          </w:p>
        </w:tc>
        <w:tc>
          <w:tcPr>
            <w:tcW w:w="1260" w:type="dxa"/>
            <w:shd w:val="clear" w:color="auto" w:fill="auto"/>
            <w:vAlign w:val="center"/>
          </w:tcPr>
          <w:p w:rsidRPr="00A47E08" w:rsidR="00970314" w:rsidP="00762278" w:rsidRDefault="00A47E08" w14:paraId="5F1AB2E8" w14:textId="0292FCF1">
            <w:pPr>
              <w:ind w:right="90" w:firstLine="40" w:firstLineChars="22"/>
              <w:jc w:val="center"/>
              <w:rPr>
                <w:color w:val="000000"/>
                <w:sz w:val="18"/>
                <w:szCs w:val="18"/>
              </w:rPr>
            </w:pPr>
            <w:r w:rsidRPr="00A47E08">
              <w:rPr>
                <w:color w:val="000000"/>
                <w:sz w:val="18"/>
                <w:szCs w:val="18"/>
              </w:rPr>
              <w:t>0.03</w:t>
            </w:r>
          </w:p>
        </w:tc>
        <w:tc>
          <w:tcPr>
            <w:tcW w:w="2070" w:type="dxa"/>
            <w:shd w:val="clear" w:color="auto" w:fill="auto"/>
            <w:vAlign w:val="center"/>
          </w:tcPr>
          <w:p w:rsidRPr="00A47E08" w:rsidR="00970314" w:rsidP="00762278" w:rsidRDefault="00A47E08" w14:paraId="1E4E6A84" w14:textId="193EFEB1">
            <w:pPr>
              <w:ind w:right="90" w:firstLine="40" w:firstLineChars="22"/>
              <w:jc w:val="center"/>
              <w:rPr>
                <w:color w:val="000000"/>
                <w:sz w:val="18"/>
                <w:szCs w:val="18"/>
              </w:rPr>
            </w:pPr>
            <w:r w:rsidRPr="00A47E08">
              <w:rPr>
                <w:color w:val="000000"/>
                <w:sz w:val="18"/>
                <w:szCs w:val="18"/>
              </w:rPr>
              <w:t>0.25</w:t>
            </w:r>
          </w:p>
        </w:tc>
      </w:tr>
      <w:tr w:rsidRPr="00B34407" w:rsidR="009A48AE" w:rsidTr="007339B9" w14:paraId="76B4B267" w14:textId="77777777">
        <w:trPr>
          <w:jc w:val="center"/>
        </w:trPr>
        <w:tc>
          <w:tcPr>
            <w:tcW w:w="2070" w:type="dxa"/>
            <w:shd w:val="clear" w:color="auto" w:fill="auto"/>
            <w:vAlign w:val="center"/>
          </w:tcPr>
          <w:p w:rsidR="009A48AE" w:rsidP="002A21FA" w:rsidRDefault="00C7294C" w14:paraId="42FB2C93" w14:textId="5F4CC3D2">
            <w:pPr>
              <w:ind w:firstLine="180" w:firstLineChars="100"/>
              <w:jc w:val="left"/>
              <w:rPr>
                <w:color w:val="000000"/>
                <w:sz w:val="18"/>
                <w:szCs w:val="18"/>
              </w:rPr>
            </w:pPr>
            <w:r>
              <w:rPr>
                <w:color w:val="000000"/>
                <w:sz w:val="18"/>
                <w:szCs w:val="18"/>
              </w:rPr>
              <w:t xml:space="preserve">2024 Series </w:t>
            </w:r>
            <w:r w:rsidR="002A21FA">
              <w:rPr>
                <w:color w:val="000000"/>
                <w:sz w:val="18"/>
                <w:szCs w:val="18"/>
              </w:rPr>
              <w:t>A</w:t>
            </w:r>
          </w:p>
        </w:tc>
        <w:tc>
          <w:tcPr>
            <w:tcW w:w="1260" w:type="dxa"/>
            <w:shd w:val="clear" w:color="auto" w:fill="auto"/>
            <w:vAlign w:val="center"/>
          </w:tcPr>
          <w:p w:rsidRPr="00A47E08" w:rsidR="009A48AE" w:rsidP="00762278" w:rsidRDefault="009A48AE" w14:paraId="38E9E9AE" w14:textId="654A5A8C">
            <w:pPr>
              <w:ind w:right="90" w:firstLine="40" w:firstLineChars="22"/>
              <w:jc w:val="center"/>
              <w:rPr>
                <w:color w:val="000000"/>
                <w:sz w:val="18"/>
                <w:szCs w:val="18"/>
              </w:rPr>
            </w:pPr>
            <w:r>
              <w:rPr>
                <w:color w:val="000000"/>
                <w:sz w:val="18"/>
                <w:szCs w:val="18"/>
              </w:rPr>
              <w:t>0.03</w:t>
            </w:r>
          </w:p>
        </w:tc>
        <w:tc>
          <w:tcPr>
            <w:tcW w:w="2070" w:type="dxa"/>
            <w:shd w:val="clear" w:color="auto" w:fill="auto"/>
            <w:vAlign w:val="center"/>
          </w:tcPr>
          <w:p w:rsidRPr="00A47E08" w:rsidR="009A48AE" w:rsidP="00762278" w:rsidRDefault="009A48AE" w14:paraId="00B68FBB" w14:textId="36B61E06">
            <w:pPr>
              <w:ind w:right="90" w:firstLine="40" w:firstLineChars="22"/>
              <w:jc w:val="center"/>
              <w:rPr>
                <w:color w:val="000000"/>
                <w:sz w:val="18"/>
                <w:szCs w:val="18"/>
              </w:rPr>
            </w:pPr>
            <w:r>
              <w:rPr>
                <w:color w:val="000000"/>
                <w:sz w:val="18"/>
                <w:szCs w:val="18"/>
              </w:rPr>
              <w:t>0.25</w:t>
            </w:r>
          </w:p>
        </w:tc>
      </w:tr>
      <w:tr w:rsidRPr="00B34407" w:rsidR="00787B4D" w:rsidTr="007339B9" w14:paraId="7AE2EF02" w14:textId="77777777">
        <w:trPr>
          <w:jc w:val="center"/>
        </w:trPr>
        <w:tc>
          <w:tcPr>
            <w:tcW w:w="2070" w:type="dxa"/>
            <w:shd w:val="clear" w:color="auto" w:fill="auto"/>
            <w:vAlign w:val="center"/>
          </w:tcPr>
          <w:p w:rsidR="00787B4D" w:rsidP="00787B4D" w:rsidRDefault="00787B4D" w14:paraId="634AA55A" w14:textId="28756156">
            <w:pPr>
              <w:ind w:firstLine="180" w:firstLineChars="100"/>
              <w:jc w:val="left"/>
              <w:rPr>
                <w:color w:val="000000"/>
                <w:sz w:val="18"/>
                <w:szCs w:val="18"/>
              </w:rPr>
            </w:pPr>
            <w:r>
              <w:rPr>
                <w:color w:val="000000"/>
                <w:sz w:val="18"/>
                <w:szCs w:val="18"/>
              </w:rPr>
              <w:t>2024 Series B</w:t>
            </w:r>
          </w:p>
        </w:tc>
        <w:tc>
          <w:tcPr>
            <w:tcW w:w="1260" w:type="dxa"/>
            <w:shd w:val="clear" w:color="auto" w:fill="auto"/>
            <w:vAlign w:val="center"/>
          </w:tcPr>
          <w:p w:rsidRPr="00A47E08" w:rsidR="00787B4D" w:rsidP="00787B4D" w:rsidRDefault="00787B4D" w14:paraId="41B65638" w14:textId="18416C53">
            <w:pPr>
              <w:ind w:right="90" w:firstLine="40" w:firstLineChars="22"/>
              <w:jc w:val="center"/>
              <w:rPr>
                <w:color w:val="000000"/>
                <w:sz w:val="18"/>
                <w:szCs w:val="18"/>
              </w:rPr>
            </w:pPr>
            <w:r>
              <w:rPr>
                <w:color w:val="000000"/>
                <w:sz w:val="18"/>
                <w:szCs w:val="18"/>
              </w:rPr>
              <w:t>0.03</w:t>
            </w:r>
          </w:p>
        </w:tc>
        <w:tc>
          <w:tcPr>
            <w:tcW w:w="2070" w:type="dxa"/>
            <w:shd w:val="clear" w:color="auto" w:fill="auto"/>
            <w:vAlign w:val="center"/>
          </w:tcPr>
          <w:p w:rsidRPr="00A47E08" w:rsidR="00787B4D" w:rsidP="00787B4D" w:rsidRDefault="00787B4D" w14:paraId="0B168B19" w14:textId="1EF0A2DB">
            <w:pPr>
              <w:ind w:right="90" w:firstLine="40" w:firstLineChars="22"/>
              <w:jc w:val="center"/>
              <w:rPr>
                <w:color w:val="000000"/>
                <w:sz w:val="18"/>
                <w:szCs w:val="18"/>
              </w:rPr>
            </w:pPr>
            <w:r>
              <w:rPr>
                <w:color w:val="000000"/>
                <w:sz w:val="18"/>
                <w:szCs w:val="18"/>
              </w:rPr>
              <w:t>0.25</w:t>
            </w:r>
          </w:p>
        </w:tc>
      </w:tr>
    </w:tbl>
    <w:p w:rsidRPr="00B34407" w:rsidR="0063290C" w:rsidP="00F828E4" w:rsidRDefault="0063290C" w14:paraId="3F1AAA57" w14:textId="77777777"/>
    <w:p w:rsidRPr="00B34407" w:rsidR="00AF72E5" w:rsidP="00F828E4" w:rsidRDefault="00AF72E5" w14:paraId="3E1ACF7D" w14:textId="60B7403B">
      <w:pPr>
        <w:pStyle w:val="aHEADINGSUB"/>
      </w:pPr>
      <w:bookmarkStart w:name="_Toc534620368" w:id="628"/>
      <w:bookmarkStart w:name="_Toc534620478" w:id="629"/>
      <w:bookmarkStart w:name="_Toc534620596" w:id="630"/>
      <w:bookmarkStart w:name="_Toc534620917" w:id="631"/>
      <w:bookmarkStart w:name="_Toc534621148" w:id="632"/>
      <w:bookmarkStart w:name="_Toc172841973" w:id="633"/>
      <w:r w:rsidRPr="00B34407">
        <w:t>The Servicer</w:t>
      </w:r>
      <w:bookmarkEnd w:id="628"/>
      <w:bookmarkEnd w:id="629"/>
      <w:bookmarkEnd w:id="630"/>
      <w:bookmarkEnd w:id="631"/>
      <w:bookmarkEnd w:id="632"/>
      <w:bookmarkEnd w:id="633"/>
      <w:r w:rsidRPr="00B34407" w:rsidR="002B09C5">
        <w:t xml:space="preserve"> </w:t>
      </w:r>
    </w:p>
    <w:p w:rsidRPr="009F0B33" w:rsidR="009F0B33" w:rsidP="009F0B33" w:rsidRDefault="009F0B33" w14:paraId="08210747" w14:textId="77777777">
      <w:pPr>
        <w:pStyle w:val="BodyTextFirstIndent"/>
        <w:rPr>
          <w:bCs/>
        </w:rPr>
      </w:pPr>
      <w:bookmarkStart w:name="_DV_M617" w:id="634"/>
      <w:bookmarkStart w:name="_DV_M622" w:id="635"/>
      <w:bookmarkEnd w:id="634"/>
      <w:bookmarkEnd w:id="635"/>
      <w:r w:rsidRPr="009F0B33">
        <w:rPr>
          <w:bCs/>
        </w:rPr>
        <w:t>THE FOLLOWING INFORMATION ABOUT THE SERVICER RELATES TO AND WAS SUPPLIED BY U.S. BANK NATIONAL ASSOCIATION.  SUCH INFORMATION HAS NOT BEEN VERIFIED BY THE AUTHORITY, THE UNDERWRITERS, THEIR COUNSEL OR BOND COUNSEL AND IS NOT GUARANTEED AS TO COMPLETENESS OR ACCURACY BY AND IS NOT TO BE CONSTRUED AS A REPRESENTATION OF, THE AUTHORITY, THE UNDERWRITERS, THEIR COUNSEL OR BOND COUNSEL.</w:t>
      </w:r>
    </w:p>
    <w:p w:rsidRPr="009F0B33" w:rsidR="009F0B33" w:rsidP="009F0B33" w:rsidRDefault="009F0B33" w14:paraId="7620EEC7" w14:textId="77777777">
      <w:pPr>
        <w:pStyle w:val="BodyTextFirstIndent"/>
        <w:rPr>
          <w:bCs/>
        </w:rPr>
      </w:pPr>
      <w:r w:rsidRPr="009F0B33">
        <w:rPr>
          <w:bCs/>
        </w:rPr>
        <w:t>The Servicer is U.S. Bank National Association. As of March 31, 2024, the Servicer serviced 1,340,871 single-family mortgage loans purchased through its U.S. Bank Home Mortgage Division, with an aggregate principal balance of approximately $225.5 billion. The Servicer currently services single-family mortgage loans for State and Local Housing Finance Authorities, mutual savings banks, life insurance companies, savings and loan associations, commercial banks, as well as Fannie Mae, GNMA and Freddie Mac.</w:t>
      </w:r>
    </w:p>
    <w:p w:rsidRPr="009F0B33" w:rsidR="009F0B33" w:rsidP="009F0B33" w:rsidRDefault="009F0B33" w14:paraId="68754D24" w14:textId="77777777">
      <w:pPr>
        <w:pStyle w:val="BodyTextFirstIndent"/>
        <w:rPr>
          <w:bCs/>
        </w:rPr>
      </w:pPr>
      <w:r w:rsidRPr="009F0B33">
        <w:rPr>
          <w:bCs/>
        </w:rPr>
        <w:t>As of March 31, 2024, according to its unaudited quarterly financial statements, U.S. Bancorp had total assets of approximately $683.6 billion and a net worth of $55.6 billion.  For the three months ending March 31, 2024, the Servicer, through its U.S. Bank Home Mortgage Division, originated and purchased single-family mortgage loans in the total principal amount of approximately $7.1 billion.</w:t>
      </w:r>
    </w:p>
    <w:p w:rsidRPr="009F0B33" w:rsidR="009F0B33" w:rsidP="009F0B33" w:rsidRDefault="009F0B33" w14:paraId="771D39DD" w14:textId="77777777">
      <w:pPr>
        <w:pStyle w:val="BodyTextFirstIndent"/>
        <w:rPr>
          <w:bCs/>
        </w:rPr>
      </w:pPr>
      <w:r w:rsidRPr="009F0B33">
        <w:rPr>
          <w:bCs/>
        </w:rPr>
        <w:t xml:space="preserve">The Servicer is (i) an FHA- and VA-approved lender in good standing. (ii) a GNMA-approved seller and servicer of mortgage loans and an issuer of mortgage-backed securities guaranteed by GNMA and (iii) a Fannie Mae approved seller and servicer of Fannie Mae Securities (iv) a FHLMC approved seller and servicer of FHLMC securities.  </w:t>
      </w:r>
    </w:p>
    <w:p w:rsidRPr="009F0B33" w:rsidR="009F0B33" w:rsidP="009F0B33" w:rsidRDefault="009F0B33" w14:paraId="3741C0AE" w14:textId="77777777">
      <w:pPr>
        <w:pStyle w:val="BodyTextFirstIndent"/>
        <w:rPr>
          <w:bCs/>
        </w:rPr>
      </w:pPr>
      <w:r w:rsidRPr="009F0B33">
        <w:rPr>
          <w:bCs/>
        </w:rPr>
        <w:t>The Servicer is not liable for the payment of the principal of the Bonds or the interest or redemption premium, if any thereon.</w:t>
      </w:r>
    </w:p>
    <w:p w:rsidRPr="001B311A" w:rsidR="005B1DD4" w:rsidP="009F0B33" w:rsidRDefault="009F0B33" w14:paraId="42D20BDB" w14:textId="7089B48A">
      <w:pPr>
        <w:pStyle w:val="BodyTextFirstIndent"/>
        <w:rPr>
          <w:bCs/>
        </w:rPr>
      </w:pPr>
      <w:r w:rsidRPr="009F0B33">
        <w:rPr>
          <w:bCs/>
        </w:rPr>
        <w:t>The holding company for U.S. Bank National Association is U.S. Bancorp, the 5th largest financial services holding company in the United States.</w:t>
      </w:r>
      <w:r w:rsidRPr="001B311A" w:rsidR="005B1DD4">
        <w:rPr>
          <w:bCs/>
        </w:rPr>
        <w:t xml:space="preserve"> </w:t>
      </w:r>
    </w:p>
    <w:p w:rsidRPr="00B34407" w:rsidR="00AF72E5" w:rsidP="00F828E4" w:rsidRDefault="00AF72E5" w14:paraId="2CBFC01A" w14:textId="77777777">
      <w:pPr>
        <w:pStyle w:val="aHEADINGSUB"/>
      </w:pPr>
      <w:bookmarkStart w:name="_Toc534620369" w:id="636"/>
      <w:bookmarkStart w:name="_Toc534620479" w:id="637"/>
      <w:bookmarkStart w:name="_Toc534620597" w:id="638"/>
      <w:bookmarkStart w:name="_Toc534620918" w:id="639"/>
      <w:bookmarkStart w:name="_Toc534621149" w:id="640"/>
      <w:bookmarkStart w:name="_Toc172841974" w:id="641"/>
      <w:r w:rsidRPr="00B34407">
        <w:t>Mortgage Loans Financed with Other Series of Bonds</w:t>
      </w:r>
      <w:bookmarkEnd w:id="636"/>
      <w:bookmarkEnd w:id="637"/>
      <w:bookmarkEnd w:id="638"/>
      <w:bookmarkEnd w:id="639"/>
      <w:bookmarkEnd w:id="640"/>
      <w:bookmarkEnd w:id="641"/>
    </w:p>
    <w:p w:rsidRPr="00B34407" w:rsidR="00AF72E5" w:rsidP="00AF72E5" w:rsidRDefault="00AF72E5" w14:paraId="533968CE" w14:textId="77777777">
      <w:pPr>
        <w:pStyle w:val="BodyTextFirstIndent"/>
      </w:pPr>
      <w:bookmarkStart w:name="_DV_M623" w:id="642"/>
      <w:bookmarkEnd w:id="642"/>
      <w:r w:rsidRPr="00B34407">
        <w:t xml:space="preserve">The Authority has issued numerous prior series of Bonds and financed Mortgage Loans from the proceeds of certain series of such Bonds.  Certain of such series of Bonds permit the financing of additional Mortgage Loans from Prepayments and Excess Revenues derived from Mortgage Loans originally financed thereby.  </w:t>
      </w:r>
    </w:p>
    <w:p w:rsidRPr="00B34407" w:rsidR="00AF72E5" w:rsidP="00AF72E5" w:rsidRDefault="00B95685" w14:paraId="5C768BFD" w14:textId="09B1B46F">
      <w:pPr>
        <w:pStyle w:val="BodyTextFirstIndent"/>
      </w:pPr>
      <w:bookmarkStart w:name="_DV_M624" w:id="643"/>
      <w:bookmarkEnd w:id="643"/>
      <w:r w:rsidRPr="00B34407">
        <w:t xml:space="preserve">All Outstanding Bonds </w:t>
      </w:r>
      <w:r w:rsidRPr="00B34407" w:rsidR="00AF72E5">
        <w:t xml:space="preserve">have financed, or are expected to finance, mortgage loans through the purchase by the Trustee of </w:t>
      </w:r>
      <w:r w:rsidR="008D253D">
        <w:t>UMBS</w:t>
      </w:r>
      <w:r w:rsidR="00A021BF">
        <w:t xml:space="preserve"> </w:t>
      </w:r>
      <w:r w:rsidRPr="00B34407" w:rsidR="00AF72E5">
        <w:t xml:space="preserve">or GNMA Certificates backed by Mortgage Loans.  Lenders originating Mortgage Loans with such proceeds of the Bonds are required to enter into separate but substantially identical origination agreements.  The Indenture permits the Authority to change the fixed interest rates for the Mortgage Loans originated from Bond </w:t>
      </w:r>
      <w:bookmarkStart w:name="ElPgBr50" w:id="644"/>
      <w:bookmarkEnd w:id="644"/>
      <w:r w:rsidRPr="00B34407" w:rsidR="00AF72E5">
        <w:t>proceeds, and, together with other documents related to such Bonds, contains certain covenants and requirements related to such changes of interest rates, including, without limitation, requirements for certain documentation from the Authority.  The Authority expects to evaluate the interest rates weekly and to change the fixed interest rates as appropriate in light of rates in the residential mortgage market generally during the origination period and economic and financial considerations of the Authority and within the limitations established by the Indenture and federal tax laws and regulations.  The Authority</w:t>
      </w:r>
      <w:r w:rsidRPr="00B34407" w:rsidR="00484DDD">
        <w:t xml:space="preserve"> </w:t>
      </w:r>
      <w:r w:rsidRPr="00B34407" w:rsidR="00AF72E5">
        <w:t>will analyze on a periodic basis its compliance with its covenants concerning the interest rates for the Mortgage Loans and take steps, if necessary</w:t>
      </w:r>
      <w:r w:rsidRPr="00B34407" w:rsidR="00484DDD">
        <w:t xml:space="preserve">, </w:t>
      </w:r>
      <w:r w:rsidRPr="00B34407" w:rsidR="00AF72E5">
        <w:t>to maintain compliance with such covenants.</w:t>
      </w:r>
    </w:p>
    <w:p w:rsidRPr="00B34407" w:rsidR="00AF72E5" w:rsidP="00AF72E5" w:rsidRDefault="00AF72E5" w14:paraId="4AE54AFE" w14:textId="77777777">
      <w:pPr>
        <w:pStyle w:val="BodyTextFirstIndent"/>
      </w:pPr>
      <w:bookmarkStart w:name="_DV_M625" w:id="645"/>
      <w:bookmarkEnd w:id="645"/>
      <w:r w:rsidRPr="00B34407">
        <w:t xml:space="preserve">The Origination Agreements provide for a first-come, first-served reservation procedure for the allocation of funds.  In each Origination Agreement, the Lender subject thereto will agree that, after its receipt of a notice of availability of funds, such Lender will use its best efforts to originate Mortgage Loans in accordance with the Origination Agreement, the Program Guide and any applicable requirements of Fannie Mae, Freddie Mac or GNMA.  However, no Lenders are committed by the Origination Agreement to originate any specific amount of Mortgage </w:t>
      </w:r>
      <w:r w:rsidRPr="00B34407">
        <w:lastRenderedPageBreak/>
        <w:t>Loans.  The Authority</w:t>
      </w:r>
      <w:r w:rsidRPr="00B34407" w:rsidR="003450E7">
        <w:t xml:space="preserve"> (or the Servicer in some cases)</w:t>
      </w:r>
      <w:r w:rsidRPr="00B34407">
        <w:t>, for each series of Bonds issued, will specify the period during which Mortgage Loans may be originated, the mortgage origination fee, discount points and other items that Lenders may charge borrowers, and provisions whereby Lenders are required to repurchase non</w:t>
      </w:r>
      <w:r w:rsidRPr="00B34407">
        <w:noBreakHyphen/>
        <w:t>qualifying Mortgage Loans.</w:t>
      </w:r>
    </w:p>
    <w:p w:rsidRPr="00B34407" w:rsidR="00AF72E5" w:rsidP="00AF72E5" w:rsidRDefault="00AF72E5" w14:paraId="597AC332" w14:textId="77777777">
      <w:pPr>
        <w:pStyle w:val="BodyTextFirstIndent"/>
      </w:pPr>
      <w:bookmarkStart w:name="_DV_M626" w:id="646"/>
      <w:bookmarkEnd w:id="646"/>
      <w:r w:rsidRPr="00B34407">
        <w:t>Each Origination Agreement provides that the Lender subject thereto represents, warrants and covenants that each Mortgage Loan it delivers to the Servicer for purchase (1) was originated in accordance with the Program Guide and the applicable Fannie Mae Guide, Freddie Mac Guide or GNMA Guide, (2) meets the definition of a Mortgage Loan, (3) was made in accordance with its Origination Agreement, and (4) complies with all rules, regulations and executive orders of all federal, state and local governmental entities.</w:t>
      </w:r>
    </w:p>
    <w:p w:rsidRPr="00B34407" w:rsidR="00AF72E5" w:rsidP="00AF72E5" w:rsidRDefault="00AF72E5" w14:paraId="559F3599" w14:textId="1A08F14A">
      <w:pPr>
        <w:pStyle w:val="BodyTextFirstIndent"/>
      </w:pPr>
      <w:bookmarkStart w:name="_DV_M627" w:id="647"/>
      <w:bookmarkEnd w:id="647"/>
      <w:r w:rsidRPr="00B34407">
        <w:t xml:space="preserve">The </w:t>
      </w:r>
      <w:r w:rsidRPr="00B34407" w:rsidR="00863D54">
        <w:t>S</w:t>
      </w:r>
      <w:r w:rsidRPr="00B34407">
        <w:t xml:space="preserve">ervicing </w:t>
      </w:r>
      <w:r w:rsidRPr="00B34407" w:rsidR="00863D54">
        <w:t>A</w:t>
      </w:r>
      <w:r w:rsidRPr="00B34407">
        <w:t xml:space="preserve">greement (a) sets forth the procedures for the issuance of </w:t>
      </w:r>
      <w:r w:rsidR="008D253D">
        <w:t>UMBS</w:t>
      </w:r>
      <w:r w:rsidRPr="00B34407">
        <w:t xml:space="preserve"> and GNMA Certificates, which procedures may be modified from time to time to conform to applicable Fannie Mae, Freddie Mac or GNMA procedures, guidelines and policies then in effect, (b) requires the Authority, through the Trustee, to purchase the </w:t>
      </w:r>
      <w:r w:rsidR="008D253D">
        <w:t>UMBS</w:t>
      </w:r>
      <w:r w:rsidR="00A021BF">
        <w:t xml:space="preserve"> </w:t>
      </w:r>
      <w:r w:rsidRPr="00B34407">
        <w:t>or GNMA Certificates delivered by the Servicer to the Trustee in accordance with the Indenture, to the extent moneys are available therefor in the Loan Account, and (c) requires the Servicer to service the Mortgage Loans it purchases from Lenders in accordance with the applicable servicing agreement and the applicable Fannie Mae Guide, Freddie Mac Guide or GNMA Guide.</w:t>
      </w:r>
    </w:p>
    <w:p w:rsidRPr="00B34407" w:rsidR="00AF72E5" w:rsidP="00AF72E5" w:rsidRDefault="00AF72E5" w14:paraId="57D7FFA7" w14:textId="77777777">
      <w:pPr>
        <w:pStyle w:val="BodyTextFirstIndent"/>
      </w:pPr>
      <w:bookmarkStart w:name="_DV_M628" w:id="648"/>
      <w:bookmarkEnd w:id="648"/>
      <w:r w:rsidRPr="00B34407">
        <w:t xml:space="preserve">The Origination Agreements and the </w:t>
      </w:r>
      <w:r w:rsidRPr="00B34407" w:rsidR="00863D54">
        <w:t>S</w:t>
      </w:r>
      <w:r w:rsidRPr="00B34407">
        <w:t xml:space="preserve">ervicing </w:t>
      </w:r>
      <w:r w:rsidRPr="00B34407" w:rsidR="00863D54">
        <w:t>A</w:t>
      </w:r>
      <w:r w:rsidRPr="00B34407">
        <w:t>greement confer no rights upon holders of the Bonds, and no holder of any Bonds may institute a suit with respect to any Origination Agreement or the servicing agreement, except as provided in the Indenture.</w:t>
      </w:r>
    </w:p>
    <w:p w:rsidRPr="00B34407" w:rsidR="00AF72E5" w:rsidP="00AF72E5" w:rsidRDefault="00AF72E5" w14:paraId="1477980A" w14:textId="53F25E80">
      <w:pPr>
        <w:pStyle w:val="BodyTextFirstIndent"/>
      </w:pPr>
      <w:bookmarkStart w:name="_DV_M629" w:id="649"/>
      <w:bookmarkEnd w:id="649"/>
      <w:r w:rsidRPr="00B34407">
        <w:t>After the closing of such a Mortgage Loan and subject to certain conditions, each Lender is required t</w:t>
      </w:r>
      <w:r w:rsidRPr="00B34407" w:rsidR="00863D54">
        <w:t>o sell such Mortgage Loan to the</w:t>
      </w:r>
      <w:r w:rsidRPr="00B34407">
        <w:t xml:space="preserve"> Servicer.  Pursuant to the </w:t>
      </w:r>
      <w:r w:rsidRPr="00B34407" w:rsidR="00863D54">
        <w:t>S</w:t>
      </w:r>
      <w:r w:rsidRPr="00B34407">
        <w:t xml:space="preserve">ervicing </w:t>
      </w:r>
      <w:r w:rsidRPr="00B34407" w:rsidR="00863D54">
        <w:t>A</w:t>
      </w:r>
      <w:r w:rsidRPr="00B34407">
        <w:t xml:space="preserve">greement by and between the Authority and </w:t>
      </w:r>
      <w:r w:rsidRPr="00B34407" w:rsidR="001B3BC3">
        <w:t xml:space="preserve">the </w:t>
      </w:r>
      <w:r w:rsidRPr="00B34407">
        <w:t xml:space="preserve">Servicer, </w:t>
      </w:r>
      <w:r w:rsidRPr="00B34407" w:rsidR="001B3BC3">
        <w:t>the Servicer</w:t>
      </w:r>
      <w:r w:rsidRPr="00B34407">
        <w:t xml:space="preserve"> is required to purchase the Mortgage Loans originated by the Lender and to sell</w:t>
      </w:r>
      <w:r w:rsidR="00A021BF">
        <w:t xml:space="preserve"> </w:t>
      </w:r>
      <w:r w:rsidR="008D253D">
        <w:t>UMBS</w:t>
      </w:r>
      <w:r w:rsidR="00A021BF">
        <w:t xml:space="preserve"> </w:t>
      </w:r>
      <w:r w:rsidRPr="00B34407">
        <w:t xml:space="preserve">or GNMA Certificates backed by such Mortgage Loans to the Trustee, on behalf of the Authority.  </w:t>
      </w:r>
      <w:r w:rsidRPr="00B34407" w:rsidR="00863D54">
        <w:t xml:space="preserve">The </w:t>
      </w:r>
      <w:r w:rsidRPr="00B34407">
        <w:t xml:space="preserve">Servicer is required to service the Mortgage Loans in accordance with generally accepted practices of the mortgage banking industry and the respective Fannie Mae Guide, Freddie Mac Guide or GNMA Guide.  U.S. Bank </w:t>
      </w:r>
      <w:r w:rsidRPr="00B34407" w:rsidR="00863D54">
        <w:t>National Association</w:t>
      </w:r>
      <w:r w:rsidRPr="00B34407">
        <w:t xml:space="preserve"> acts as </w:t>
      </w:r>
      <w:r w:rsidRPr="00B34407" w:rsidR="00863D54">
        <w:t xml:space="preserve">the </w:t>
      </w:r>
      <w:r w:rsidRPr="00B34407">
        <w:t xml:space="preserve">Servicer with respect to </w:t>
      </w:r>
      <w:r w:rsidRPr="00B34407" w:rsidR="00863D54">
        <w:t>all Mortgage Loans.  F</w:t>
      </w:r>
      <w:r w:rsidRPr="00B34407">
        <w:t xml:space="preserve">urther information regarding U.S. Bank </w:t>
      </w:r>
      <w:r w:rsidRPr="00B34407" w:rsidR="00863D54">
        <w:t xml:space="preserve">National Association </w:t>
      </w:r>
      <w:r w:rsidRPr="00B34407">
        <w:t xml:space="preserve">may be obtained directly from U.S. Bank </w:t>
      </w:r>
      <w:r w:rsidRPr="00B34407" w:rsidR="00863D54">
        <w:t>National Association</w:t>
      </w:r>
      <w:r w:rsidRPr="00B34407">
        <w:t xml:space="preserve"> at 17500 Rockside Road, Bedford, Oh</w:t>
      </w:r>
      <w:r w:rsidRPr="00B34407" w:rsidR="001041A9">
        <w:t>io 44146 (phone:  216</w:t>
      </w:r>
      <w:r w:rsidRPr="00B34407" w:rsidR="001041A9">
        <w:noBreakHyphen/>
        <w:t>475</w:t>
      </w:r>
      <w:r w:rsidRPr="00B34407" w:rsidR="001041A9">
        <w:noBreakHyphen/>
        <w:t>8707)</w:t>
      </w:r>
      <w:r w:rsidRPr="00B34407">
        <w:t>.</w:t>
      </w:r>
    </w:p>
    <w:p w:rsidR="005004D0" w:rsidP="00A97E57" w:rsidRDefault="00D84FD2" w14:paraId="760A0BFD" w14:textId="4AB68095">
      <w:pPr>
        <w:pStyle w:val="aHEADINGSUB"/>
      </w:pPr>
      <w:bookmarkStart w:name="_DV_M630" w:id="650"/>
      <w:bookmarkStart w:name="_Toc172841975" w:id="651"/>
      <w:bookmarkEnd w:id="650"/>
      <w:r w:rsidRPr="005004D0">
        <w:t>Single Family Mortgage Lending Programs</w:t>
      </w:r>
      <w:bookmarkEnd w:id="651"/>
    </w:p>
    <w:p w:rsidR="00216ED4" w:rsidP="00216ED4" w:rsidRDefault="00216ED4" w14:paraId="7ED85E35" w14:textId="77777777">
      <w:pPr>
        <w:pStyle w:val="BodyText"/>
        <w:ind w:firstLine="720"/>
      </w:pPr>
      <w:bookmarkStart w:name="_DV_M631" w:id="652"/>
      <w:bookmarkStart w:name="_Toc212948808" w:id="653"/>
      <w:bookmarkStart w:name="_Toc3865666" w:id="654"/>
      <w:bookmarkStart w:name="_Toc85337910" w:id="655"/>
      <w:bookmarkStart w:name="_Toc534620370" w:id="656"/>
      <w:bookmarkStart w:name="_Toc534620480" w:id="657"/>
      <w:bookmarkStart w:name="_Toc534620598" w:id="658"/>
      <w:bookmarkStart w:name="_Toc534620919" w:id="659"/>
      <w:bookmarkStart w:name="_Toc534621150" w:id="660"/>
      <w:bookmarkEnd w:id="652"/>
      <w:r w:rsidRPr="007A7D3E">
        <w:t xml:space="preserve">The Authority has a variety of homeownership lending programs which, in some cases utilize tax-exempt financing or </w:t>
      </w:r>
      <w:r>
        <w:t>Mortgage Credit Certificate</w:t>
      </w:r>
      <w:r w:rsidRPr="007A7D3E">
        <w:t>s, but not both. </w:t>
      </w:r>
      <w:r>
        <w:t xml:space="preserve"> The Authority is currently making loans under the First Place, First Step, Step Down and Next Step Programs to be financed under the Indenture.  </w:t>
      </w:r>
      <w:r w:rsidRPr="007A7D3E">
        <w:t xml:space="preserve">The </w:t>
      </w:r>
      <w:r>
        <w:t xml:space="preserve">Authority’s First Place, First Step and Step Down Programs utilize </w:t>
      </w:r>
      <w:r w:rsidRPr="007A7D3E">
        <w:t xml:space="preserve">tax-exempt </w:t>
      </w:r>
      <w:r>
        <w:t xml:space="preserve">and taxable </w:t>
      </w:r>
      <w:r w:rsidRPr="007A7D3E">
        <w:t>proceeds to purchase mortgage loans.  The</w:t>
      </w:r>
      <w:r>
        <w:t xml:space="preserve"> mortgage loans in such programs have 30-</w:t>
      </w:r>
      <w:r w:rsidRPr="007A7D3E">
        <w:t>year terms with a fixed interest rate.</w:t>
      </w:r>
      <w:r>
        <w:t xml:space="preserve">  The First Place and First Step Programs each</w:t>
      </w:r>
      <w:r w:rsidRPr="00D0586A">
        <w:t xml:space="preserve"> provide down payment assistance </w:t>
      </w:r>
      <w:r>
        <w:t xml:space="preserve">loans </w:t>
      </w:r>
      <w:r w:rsidRPr="00D0586A">
        <w:t xml:space="preserve">equal to </w:t>
      </w:r>
      <w:r w:rsidRPr="00C5498F">
        <w:t>approximately 6.0% of</w:t>
      </w:r>
      <w:r>
        <w:t xml:space="preserve"> the home’s purchase price.</w:t>
      </w:r>
      <w:r w:rsidRPr="007A7D3E">
        <w:t xml:space="preserve">  The down payment assistance </w:t>
      </w:r>
      <w:r>
        <w:t xml:space="preserve">loan </w:t>
      </w:r>
      <w:r w:rsidRPr="007A7D3E">
        <w:t xml:space="preserve">offered in connection with the </w:t>
      </w:r>
      <w:r>
        <w:t xml:space="preserve">First Place Program </w:t>
      </w:r>
      <w:r w:rsidRPr="007A7D3E">
        <w:t xml:space="preserve">is offered as a forgivable second mortgage, junior and subordinate to the related first mortgage loan.  The down payment assistance </w:t>
      </w:r>
      <w:r>
        <w:t xml:space="preserve">loan </w:t>
      </w:r>
      <w:r w:rsidRPr="007A7D3E">
        <w:t xml:space="preserve">offered in connection with the </w:t>
      </w:r>
      <w:r>
        <w:t xml:space="preserve">First Step Program </w:t>
      </w:r>
      <w:r w:rsidRPr="007A7D3E">
        <w:t xml:space="preserve">is offered as a </w:t>
      </w:r>
      <w:r>
        <w:t>non-</w:t>
      </w:r>
      <w:r w:rsidRPr="007A7D3E">
        <w:t>forgivable second mortgage, junior and subordinate to the related first mortgage loan</w:t>
      </w:r>
      <w:r>
        <w:t xml:space="preserve">.  With respect to the First Place Program, such second mortgage will have a term of nine years, will be non-interest bearing and will be forgiven at the end of the nine-year term. </w:t>
      </w:r>
      <w:r w:rsidRPr="007A7D3E">
        <w:t xml:space="preserve"> </w:t>
      </w:r>
      <w:r w:rsidRPr="00FA2095">
        <w:t>Under the First Place Program or First Step Program, if the related home is sold, or if the first mortgage is refinanced, the remaining amount of the second mortgage, if any, must be repaid.</w:t>
      </w:r>
      <w:r>
        <w:t xml:space="preserve">  The Authority ceased accepting reservations under the First Place Program in December, 2023.</w:t>
      </w:r>
    </w:p>
    <w:p w:rsidRPr="007A7D3E" w:rsidR="00216ED4" w:rsidP="00216ED4" w:rsidRDefault="00216ED4" w14:paraId="4DA30613" w14:textId="77777777">
      <w:pPr>
        <w:pStyle w:val="BodyText"/>
        <w:ind w:firstLine="720"/>
      </w:pPr>
      <w:r w:rsidRPr="000B6D68">
        <w:t xml:space="preserve">The Next Step Program provides mortgagors of Authority purchased First Place, First Step or Step Down Program mortgage loans, the ability to refinance their mortgage loan(s) with the Authority. The mortgagor (i) can refinance the first and second mortgage loan into a single mortgage loan, or (ii) can refinance first and second mortgage loans into separate new first and second mortgage loans.  Further, such second mortgage offered in connection with the Next Step Program features a principal amount that is due upon the final maturity of thirty years or upon the earliest to occur of any of the following events: (i) the termination of the first mortgage loan, (ii) the sale of the related home or the institution of foreclosing procedures thereon, (iii) the home ceases to be the borrower’s primary residence, </w:t>
      </w:r>
      <w:r w:rsidRPr="000B6D68">
        <w:lastRenderedPageBreak/>
        <w:t>or (iv) there is a default under the agreements between the mortgagor and the Authority related to such down payment assistance.</w:t>
      </w:r>
      <w:r>
        <w:t xml:space="preserve">  </w:t>
      </w:r>
    </w:p>
    <w:p w:rsidRPr="007A7D3E" w:rsidR="00216ED4" w:rsidP="00216ED4" w:rsidRDefault="00216ED4" w14:paraId="022CD342" w14:textId="77777777">
      <w:pPr>
        <w:pStyle w:val="BodyText"/>
        <w:ind w:firstLine="720"/>
      </w:pPr>
      <w:r w:rsidRPr="007A7D3E">
        <w:t>Under the Authority</w:t>
      </w:r>
      <w:r>
        <w:t>’</w:t>
      </w:r>
      <w:r w:rsidRPr="007A7D3E">
        <w:t>s Next Home Program, the Authority has entered into a master trade confirmation with a counterparty to provide rate locks for certain mortgage loans and the counterparty has agreed to purchase certain mortgage-backed pass-through securities backed by those mortgage loans.  The Next Home Program do</w:t>
      </w:r>
      <w:r>
        <w:t>es</w:t>
      </w:r>
      <w:r w:rsidRPr="007A7D3E">
        <w:t xml:space="preserve"> not utilize tax-ex</w:t>
      </w:r>
      <w:r>
        <w:t xml:space="preserve">empt bond funds, but loans from this </w:t>
      </w:r>
      <w:r w:rsidRPr="007A7D3E">
        <w:t xml:space="preserve">program may be paired with </w:t>
      </w:r>
      <w:r>
        <w:t>Mortgage Credit Certificates, if available</w:t>
      </w:r>
      <w:r w:rsidRPr="007A7D3E">
        <w:t xml:space="preserve">.  </w:t>
      </w:r>
    </w:p>
    <w:p w:rsidRPr="00B34407" w:rsidR="00AF72E5" w:rsidP="007A7D3E" w:rsidRDefault="00AF72E5" w14:paraId="1F1434B3" w14:textId="77777777">
      <w:pPr>
        <w:pStyle w:val="aHEADING"/>
        <w:widowControl/>
        <w:outlineLvl w:val="0"/>
      </w:pPr>
      <w:bookmarkStart w:name="_Toc172841976" w:id="661"/>
      <w:r w:rsidRPr="00B34407">
        <w:t>FEDERAL TAX LAW REQUIREMENTS</w:t>
      </w:r>
      <w:bookmarkEnd w:id="653"/>
      <w:bookmarkEnd w:id="654"/>
      <w:bookmarkEnd w:id="655"/>
      <w:bookmarkEnd w:id="656"/>
      <w:bookmarkEnd w:id="657"/>
      <w:bookmarkEnd w:id="658"/>
      <w:bookmarkEnd w:id="659"/>
      <w:bookmarkEnd w:id="660"/>
      <w:bookmarkEnd w:id="661"/>
    </w:p>
    <w:p w:rsidRPr="00B34407" w:rsidR="00AF72E5" w:rsidP="00AF72E5" w:rsidRDefault="00AF72E5" w14:paraId="65367CEF" w14:textId="6E739FD7">
      <w:pPr>
        <w:pStyle w:val="BodyTextFirstIndent"/>
      </w:pPr>
      <w:bookmarkStart w:name="_DV_M632" w:id="662"/>
      <w:bookmarkEnd w:id="662"/>
      <w:r w:rsidRPr="00B34407">
        <w:t xml:space="preserve">Section 143 of the Code and the regulations implementing predecessor provisions of the Internal Revenue Code of 1954, as amended (collectively, </w:t>
      </w:r>
      <w:r w:rsidR="00C34AEA">
        <w:t>“</w:t>
      </w:r>
      <w:r w:rsidRPr="00B34407">
        <w:rPr>
          <w:i/>
        </w:rPr>
        <w:t>Section 143</w:t>
      </w:r>
      <w:r w:rsidR="00C34AEA">
        <w:t>”</w:t>
      </w:r>
      <w:r w:rsidRPr="00B34407">
        <w:t xml:space="preserve">), provide that interest on obligations of an issuer such as the Authority issued to finance single family residences is excludable from gross income for federal income tax purposes if certain requirements are met with respect to the terms, amount and purpose of the obligations, the use of funds generated by the issuance of the obligations, the nature of the residence and the mortgage, the eligibility of the borrower executing the mortgage, and the submission of periodic and annual information reports compiled by the Authority.  The Authority has elected to issue the </w:t>
      </w:r>
      <w:r w:rsidR="00C7294C">
        <w:t>2024 Series C</w:t>
      </w:r>
      <w:r w:rsidR="00B4438E">
        <w:t>-1 Bond</w:t>
      </w:r>
      <w:r w:rsidRPr="00B34407" w:rsidR="0089533B">
        <w:t>s</w:t>
      </w:r>
      <w:r w:rsidRPr="00B34407" w:rsidR="00440B26">
        <w:t xml:space="preserve"> and</w:t>
      </w:r>
      <w:r w:rsidRPr="00B34407" w:rsidR="00B40861">
        <w:t xml:space="preserve"> </w:t>
      </w:r>
      <w:r w:rsidRPr="00B34407" w:rsidR="00975262">
        <w:t>apply</w:t>
      </w:r>
      <w:r w:rsidRPr="00B34407" w:rsidR="00440B26">
        <w:t xml:space="preserve"> the proceeds </w:t>
      </w:r>
      <w:r w:rsidRPr="00B34407" w:rsidR="00B40861">
        <w:t>thereof</w:t>
      </w:r>
      <w:r w:rsidRPr="00B34407" w:rsidR="00440B26">
        <w:t xml:space="preserve"> </w:t>
      </w:r>
      <w:r w:rsidRPr="00B34407">
        <w:t xml:space="preserve">in accordance with such requirements.  Accordingly, the Authority has reflected these restrictions in relevant documents and believes that reasonable procedures to ensure compliance with such </w:t>
      </w:r>
      <w:r w:rsidRPr="00767FBC">
        <w:t>requirements have been established.</w:t>
      </w:r>
      <w:r w:rsidRPr="00767FBC" w:rsidR="00B51E39">
        <w:t xml:space="preserve">  Although the </w:t>
      </w:r>
      <w:r w:rsidR="00C7294C">
        <w:t>2024 Series C</w:t>
      </w:r>
      <w:r w:rsidRPr="00767FBC" w:rsidR="00AE3D2B">
        <w:t xml:space="preserve"> Mortgage</w:t>
      </w:r>
      <w:r w:rsidRPr="00767FBC" w:rsidR="00B51E39">
        <w:t xml:space="preserve"> Loan funded with the proceeds of the </w:t>
      </w:r>
      <w:r w:rsidR="00C7294C">
        <w:t>2024 Series C</w:t>
      </w:r>
      <w:r w:rsidRPr="00767FBC" w:rsidR="00B4438E">
        <w:t>-2 Bond</w:t>
      </w:r>
      <w:r w:rsidRPr="00767FBC" w:rsidR="00B51E39">
        <w:t xml:space="preserve">s need not comply with the tax provisions required for the </w:t>
      </w:r>
      <w:r w:rsidR="00C7294C">
        <w:t>2024 Series C</w:t>
      </w:r>
      <w:r w:rsidRPr="00767FBC" w:rsidR="00B4438E">
        <w:t>-1 Bond</w:t>
      </w:r>
      <w:r w:rsidRPr="00767FBC" w:rsidR="00B51E39">
        <w:t xml:space="preserve">s, the Authority has elected to comply with the same rules </w:t>
      </w:r>
      <w:r w:rsidR="004846B9">
        <w:t xml:space="preserve">regarding borrower eligibility </w:t>
      </w:r>
      <w:r w:rsidRPr="00767FBC" w:rsidR="00B51E39">
        <w:t>for both series.</w:t>
      </w:r>
    </w:p>
    <w:p w:rsidRPr="00F828E4" w:rsidR="00AF72E5" w:rsidP="00F828E4" w:rsidRDefault="00AF72E5" w14:paraId="6D182A42" w14:textId="77777777">
      <w:pPr>
        <w:pStyle w:val="aHEADINGSUB"/>
      </w:pPr>
      <w:bookmarkStart w:name="_DV_M633" w:id="663"/>
      <w:bookmarkStart w:name="_Toc534620371" w:id="664"/>
      <w:bookmarkStart w:name="_Toc534620481" w:id="665"/>
      <w:bookmarkStart w:name="_Toc534620599" w:id="666"/>
      <w:bookmarkStart w:name="_Toc534620920" w:id="667"/>
      <w:bookmarkStart w:name="_Toc534621151" w:id="668"/>
      <w:bookmarkStart w:name="_Toc172841977" w:id="669"/>
      <w:bookmarkEnd w:id="663"/>
      <w:r w:rsidRPr="00F828E4">
        <w:t>Mortgage Eligibility Requirements</w:t>
      </w:r>
      <w:bookmarkEnd w:id="664"/>
      <w:bookmarkEnd w:id="665"/>
      <w:bookmarkEnd w:id="666"/>
      <w:bookmarkEnd w:id="667"/>
      <w:bookmarkEnd w:id="668"/>
      <w:bookmarkEnd w:id="669"/>
    </w:p>
    <w:p w:rsidRPr="00B34407" w:rsidR="00AF72E5" w:rsidP="00AF72E5" w:rsidRDefault="00AF72E5" w14:paraId="531A2A13" w14:textId="671AB634">
      <w:pPr>
        <w:pStyle w:val="BodyTextFirstIndent"/>
      </w:pPr>
      <w:bookmarkStart w:name="_DV_M634" w:id="670"/>
      <w:bookmarkEnd w:id="670"/>
      <w:r w:rsidRPr="00B34407">
        <w:t xml:space="preserve">Under Section 143, the following requirements (the </w:t>
      </w:r>
      <w:r w:rsidR="00C34AEA">
        <w:t>“</w:t>
      </w:r>
      <w:r w:rsidRPr="00B34407">
        <w:t>mortgage eligibility requirements</w:t>
      </w:r>
      <w:r w:rsidR="00C34AEA">
        <w:t>”</w:t>
      </w:r>
      <w:r w:rsidRPr="00B34407">
        <w:t>) must be met with respect to each mortgage loan financed</w:t>
      </w:r>
      <w:r w:rsidRPr="00B34407" w:rsidR="00440B26">
        <w:t xml:space="preserve"> or refinanced</w:t>
      </w:r>
      <w:r w:rsidRPr="00B34407">
        <w:t xml:space="preserve"> with the proceeds of the </w:t>
      </w:r>
      <w:r w:rsidR="00C7294C">
        <w:t>2024 Series C</w:t>
      </w:r>
      <w:r w:rsidR="00B4438E">
        <w:t>-1 Bond</w:t>
      </w:r>
      <w:r w:rsidRPr="00B34407" w:rsidR="0089533B">
        <w:t>s</w:t>
      </w:r>
      <w:r w:rsidRPr="00B34407">
        <w:t xml:space="preserve">:  (1) the residence being financed must reasonably be expected by the issuer to become the principal residence of the mortgagor within a reasonable time </w:t>
      </w:r>
      <w:r w:rsidR="006370D5">
        <w:t>after the financing is provided</w:t>
      </w:r>
      <w:r w:rsidRPr="00B34407">
        <w:t xml:space="preserve"> and must not be expected to be used in a trade or business, as an investment property or as a vacation home; (2) at least 95% of the lendable proceeds of an issue, after deducting such proceeds used to make mortgage loans in targeted areas and for qualified rehabilitation or home improvement, must be used to finance residences of borrowers who have not had a present ownership interest in a principal residence at any time during the three-year period prior to the date on which the mortgage loan is executed (</w:t>
      </w:r>
      <w:r w:rsidRPr="00B34407" w:rsidR="00DD3D37">
        <w:t xml:space="preserve">the </w:t>
      </w:r>
      <w:r w:rsidR="00C34AEA">
        <w:t>“</w:t>
      </w:r>
      <w:r w:rsidRPr="00B34407">
        <w:rPr>
          <w:i/>
        </w:rPr>
        <w:t>First</w:t>
      </w:r>
      <w:r w:rsidRPr="00B34407">
        <w:rPr>
          <w:i/>
        </w:rPr>
        <w:noBreakHyphen/>
        <w:t>time Homebuyer Requirement</w:t>
      </w:r>
      <w:r w:rsidR="00C34AEA">
        <w:t>”</w:t>
      </w:r>
      <w:r w:rsidRPr="00B34407">
        <w:t>); (3) the acquisition cost of the residence must not exceed the amount determined under limitations prescribed in Section 143 (</w:t>
      </w:r>
      <w:r w:rsidRPr="00B34407" w:rsidR="00DD3D37">
        <w:t xml:space="preserve">the </w:t>
      </w:r>
      <w:r w:rsidR="00C34AEA">
        <w:t>“</w:t>
      </w:r>
      <w:r w:rsidRPr="00B34407">
        <w:rPr>
          <w:i/>
        </w:rPr>
        <w:t>Acquisition Cost Limitations</w:t>
      </w:r>
      <w:r w:rsidR="00C34AEA">
        <w:t>”</w:t>
      </w:r>
      <w:r w:rsidRPr="00B34407">
        <w:t>); (4) all qualifying mortgagors must have family incomes which do not exceed limitations prescribed in Section 143 (</w:t>
      </w:r>
      <w:r w:rsidRPr="00B34407" w:rsidR="00DD3D37">
        <w:t xml:space="preserve">the </w:t>
      </w:r>
      <w:r w:rsidR="00C34AEA">
        <w:t>“</w:t>
      </w:r>
      <w:r w:rsidRPr="00B34407">
        <w:rPr>
          <w:i/>
        </w:rPr>
        <w:t>Income Limitations</w:t>
      </w:r>
      <w:r w:rsidR="00C34AEA">
        <w:t>”</w:t>
      </w:r>
      <w:r w:rsidRPr="00B34407">
        <w:t>); (5) proceeds may not be applied to acquire or replace an existing mortgage, except in areas that have been declared a disaster area; and (6) a mortgage may not be assumed unless requirements (1)</w:t>
      </w:r>
      <w:r w:rsidRPr="00B34407">
        <w:noBreakHyphen/>
        <w:t>(4) above are met at the time of the assumption.</w:t>
      </w:r>
    </w:p>
    <w:p w:rsidRPr="00B34407" w:rsidR="00AF72E5" w:rsidP="00AF72E5" w:rsidRDefault="00AF72E5" w14:paraId="2DCCFDBC" w14:textId="77777777">
      <w:pPr>
        <w:pStyle w:val="BodyTextFirstIndent"/>
      </w:pPr>
      <w:bookmarkStart w:name="_DV_M635" w:id="671"/>
      <w:bookmarkEnd w:id="671"/>
      <w:r w:rsidRPr="00B34407">
        <w:t>The First-time Homebuyer Requirement does not apply to borrowers whose residences are located in targeted areas.  Section 143 also liberalizes the Acquisition Cost Limitations and the Income Limitations for residences located in targeted areas which have been declared Federal disaster areas.</w:t>
      </w:r>
    </w:p>
    <w:p w:rsidRPr="00B34407" w:rsidR="00AF72E5" w:rsidP="00AF72E5" w:rsidRDefault="00AF72E5" w14:paraId="2C2EDF2D" w14:textId="408D863C">
      <w:pPr>
        <w:pStyle w:val="BodyTextFirstIndent"/>
      </w:pPr>
      <w:bookmarkStart w:name="_DV_M636" w:id="672"/>
      <w:bookmarkEnd w:id="672"/>
      <w:r w:rsidRPr="00B34407">
        <w:t xml:space="preserve">The Authority has established maximum purchase prices for newly constructed and previously occupied homes in each county of the State, based upon the safe harbor maximum purchase prices under applicable federal tax law, as published by the Internal Revenue Service (the </w:t>
      </w:r>
      <w:r w:rsidR="00C34AEA">
        <w:t>“</w:t>
      </w:r>
      <w:r w:rsidRPr="00B34407">
        <w:rPr>
          <w:i/>
        </w:rPr>
        <w:t>IRS</w:t>
      </w:r>
      <w:r w:rsidR="00C34AEA">
        <w:t>”</w:t>
      </w:r>
      <w:r w:rsidRPr="00B34407">
        <w:t xml:space="preserve">).  The maximum purchase price ranges from </w:t>
      </w:r>
      <w:r w:rsidRPr="009669BC">
        <w:t>$</w:t>
      </w:r>
      <w:r w:rsidR="00C578AD">
        <w:t>459,090</w:t>
      </w:r>
      <w:r w:rsidRPr="009669BC" w:rsidR="00B82EC3">
        <w:t xml:space="preserve"> </w:t>
      </w:r>
      <w:r w:rsidRPr="009669BC">
        <w:t xml:space="preserve">to </w:t>
      </w:r>
      <w:r w:rsidRPr="009669BC" w:rsidR="004B6A3A">
        <w:t>$</w:t>
      </w:r>
      <w:r w:rsidR="00C578AD">
        <w:t>561,110</w:t>
      </w:r>
      <w:r w:rsidRPr="00B34407">
        <w:t xml:space="preserve"> for both new and previously occupied homes.  The Authority expects to receive updated information annually, and these new purchase price limits will be implemented at that time.</w:t>
      </w:r>
    </w:p>
    <w:p w:rsidRPr="00B34407" w:rsidR="00AF72E5" w:rsidP="00AF72E5" w:rsidRDefault="00AB5C02" w14:paraId="1D349EEF" w14:textId="63A65E66">
      <w:pPr>
        <w:pStyle w:val="BodyTextFirstIndent"/>
      </w:pPr>
      <w:bookmarkStart w:name="_DV_M637" w:id="673"/>
      <w:bookmarkEnd w:id="673"/>
      <w:r w:rsidRPr="00B34407">
        <w:t xml:space="preserve">Current maximum permitted income limits for </w:t>
      </w:r>
      <w:r>
        <w:t>2024 Series C</w:t>
      </w:r>
      <w:r w:rsidRPr="00EF2736">
        <w:t xml:space="preserve"> Mortgage Loans range from $</w:t>
      </w:r>
      <w:r w:rsidRPr="001910F9" w:rsidR="00C578AD">
        <w:t>8</w:t>
      </w:r>
      <w:r w:rsidR="00C578AD">
        <w:t>9</w:t>
      </w:r>
      <w:r w:rsidRPr="001910F9" w:rsidR="00C578AD">
        <w:t>,</w:t>
      </w:r>
      <w:r w:rsidR="00C578AD">
        <w:t>7</w:t>
      </w:r>
      <w:r w:rsidRPr="001910F9" w:rsidR="00C578AD">
        <w:t>00</w:t>
      </w:r>
      <w:r w:rsidRPr="00EA3809" w:rsidR="00C578AD">
        <w:t xml:space="preserve"> to $</w:t>
      </w:r>
      <w:r w:rsidRPr="001910F9" w:rsidR="00C578AD">
        <w:t>125,760</w:t>
      </w:r>
      <w:r w:rsidRPr="00EA3809" w:rsidR="00C578AD">
        <w:t xml:space="preserve"> for a one- or two-person household and from $</w:t>
      </w:r>
      <w:r w:rsidRPr="001910F9" w:rsidR="00C578AD">
        <w:t>103,155</w:t>
      </w:r>
      <w:r w:rsidRPr="00EA3809" w:rsidR="00C578AD">
        <w:t xml:space="preserve"> to $</w:t>
      </w:r>
      <w:r w:rsidRPr="001910F9" w:rsidR="00C578AD">
        <w:t>146,720</w:t>
      </w:r>
      <w:r w:rsidRPr="00EA3809" w:rsidR="00C578AD">
        <w:t xml:space="preserve"> for a family of three or more</w:t>
      </w:r>
      <w:r w:rsidRPr="00EF2736">
        <w:t>.  Such income limits</w:t>
      </w:r>
      <w:r>
        <w:t xml:space="preserve"> may not be reflected in commitments made before the applicable date of such limits,</w:t>
      </w:r>
      <w:r w:rsidRPr="00EF2736">
        <w:t xml:space="preserve"> are subject to change by the Authority from time to time and are also</w:t>
      </w:r>
      <w:r w:rsidRPr="00B34407">
        <w:t xml:space="preserve"> subject to change pursuant to IRS guidelines.</w:t>
      </w:r>
    </w:p>
    <w:p w:rsidRPr="00B34407" w:rsidR="00AF72E5" w:rsidP="00AF72E5" w:rsidRDefault="00AF72E5" w14:paraId="06C20BA6" w14:textId="7E36ADF7">
      <w:pPr>
        <w:pStyle w:val="BodyTextFirstIndent"/>
      </w:pPr>
      <w:bookmarkStart w:name="_DV_M638" w:id="674"/>
      <w:bookmarkEnd w:id="674"/>
      <w:r w:rsidRPr="00B34407">
        <w:t xml:space="preserve">An issue of </w:t>
      </w:r>
      <w:r w:rsidR="00D77625">
        <w:t>B</w:t>
      </w:r>
      <w:r w:rsidRPr="00B34407" w:rsidR="00D77625">
        <w:t xml:space="preserve">onds </w:t>
      </w:r>
      <w:r w:rsidRPr="00B34407">
        <w:t xml:space="preserve">is treated as meeting the mortgage eligibility requirements of Section 143 only if (1) the issuer in good faith attempted to meet all of the mortgage eligibility requirements before the mortgages were executed or assumed, (2) any failure to comply with the mortgage eligibility requirements is corrected within a reasonable </w:t>
      </w:r>
      <w:r w:rsidRPr="00B34407">
        <w:lastRenderedPageBreak/>
        <w:t xml:space="preserve">period after such failure is first discovered, and (3) 95% or more of the lendable proceeds of the issue used to make loans was devoted to finance residences which met all such requirements at the time the loans were executed or assumed.  Therefore, Section 143 establishes requirements which must be met subsequent to the issuance of the </w:t>
      </w:r>
      <w:r w:rsidR="00C7294C">
        <w:t>2024 Series C</w:t>
      </w:r>
      <w:r w:rsidR="00B4438E">
        <w:t>-1 Bond</w:t>
      </w:r>
      <w:r w:rsidRPr="00B34407" w:rsidR="0089533B">
        <w:t>s</w:t>
      </w:r>
      <w:r w:rsidRPr="00B34407">
        <w:t xml:space="preserve"> for the interest thereon to be excludable from gross income of the owner thereof for federal income tax purposes.  In determining whether 95% of the proceeds have been so used, Section 143 permits the Authority to rely on affidavits of the borrower and on the Authority</w:t>
      </w:r>
      <w:r w:rsidR="00C34AEA">
        <w:t>’</w:t>
      </w:r>
      <w:r w:rsidRPr="00B34407">
        <w:t>s or its agents</w:t>
      </w:r>
      <w:r w:rsidR="00C34AEA">
        <w:t>’</w:t>
      </w:r>
      <w:r w:rsidRPr="00B34407">
        <w:t xml:space="preserve"> examination of copies of the borrower</w:t>
      </w:r>
      <w:r w:rsidR="00C34AEA">
        <w:t>’</w:t>
      </w:r>
      <w:r w:rsidRPr="00B34407">
        <w:t>s income tax returns filed with the IRS for the three years preceding the date the Mortgage Loan is executed even though the relevant information in such affidavits and returns should ultimately prove to be untrue, unless the Authority or any of its agents knows or has reason to believe that such information is false.</w:t>
      </w:r>
    </w:p>
    <w:p w:rsidRPr="00F828E4" w:rsidR="00AF72E5" w:rsidP="00F828E4" w:rsidRDefault="00AF72E5" w14:paraId="5D458418" w14:textId="77777777">
      <w:pPr>
        <w:pStyle w:val="aHEADINGSUB"/>
      </w:pPr>
      <w:bookmarkStart w:name="_DV_M639" w:id="675"/>
      <w:bookmarkStart w:name="_Toc534620372" w:id="676"/>
      <w:bookmarkStart w:name="_Toc534620482" w:id="677"/>
      <w:bookmarkStart w:name="_Toc534620600" w:id="678"/>
      <w:bookmarkStart w:name="_Toc534620921" w:id="679"/>
      <w:bookmarkStart w:name="_Toc534621152" w:id="680"/>
      <w:bookmarkStart w:name="_Toc172841978" w:id="681"/>
      <w:bookmarkEnd w:id="675"/>
      <w:r w:rsidRPr="00F828E4">
        <w:t>Monitoring for Compliance with Federal Tax Law</w:t>
      </w:r>
      <w:bookmarkEnd w:id="676"/>
      <w:bookmarkEnd w:id="677"/>
      <w:bookmarkEnd w:id="678"/>
      <w:bookmarkEnd w:id="679"/>
      <w:bookmarkEnd w:id="680"/>
      <w:bookmarkEnd w:id="681"/>
    </w:p>
    <w:p w:rsidRPr="00B34407" w:rsidR="00AF72E5" w:rsidP="00AF72E5" w:rsidRDefault="00AF72E5" w14:paraId="4EE96DAD" w14:textId="2CFD9318">
      <w:pPr>
        <w:pStyle w:val="BodyTextFirstIndent"/>
      </w:pPr>
      <w:bookmarkStart w:name="_DV_M640" w:id="682"/>
      <w:bookmarkEnd w:id="682"/>
      <w:r w:rsidRPr="00B34407">
        <w:t>The Authority</w:t>
      </w:r>
      <w:r w:rsidR="00C34AEA">
        <w:t>’</w:t>
      </w:r>
      <w:r w:rsidRPr="00B34407">
        <w:t>s Program Guide includes procedures for monitoring Mortgage Loan purchases for compliance with Section 143.</w:t>
      </w:r>
    </w:p>
    <w:p w:rsidRPr="00B34407" w:rsidR="00AF72E5" w:rsidP="00AF72E5" w:rsidRDefault="00AF72E5" w14:paraId="6C216155" w14:textId="1231E7F7">
      <w:pPr>
        <w:pStyle w:val="BodyTextFirstIndent"/>
      </w:pPr>
      <w:bookmarkStart w:name="_DV_M641" w:id="683"/>
      <w:bookmarkEnd w:id="683"/>
      <w:r w:rsidRPr="00B34407">
        <w:t xml:space="preserve">The initial review of the Mortgage Loan application for compliance with Section 143 will be conducted by the Lender.  The Lender will be required to </w:t>
      </w:r>
      <w:r w:rsidRPr="00B34407" w:rsidR="00897D8B">
        <w:t>review the following documents:</w:t>
      </w:r>
      <w:r w:rsidRPr="00B34407">
        <w:t xml:space="preserve"> (1) the Mortgage Loan application; (2) the affidavit of the borrower including, as needed, income tax returns, leases, rent checks and rent receipts; (3) the appraisal; and (4) the accepted offer to purchase.  If the Lender concludes that the Mortgage Loan meets the requirements of the Authority</w:t>
      </w:r>
      <w:r w:rsidR="00C34AEA">
        <w:t>’</w:t>
      </w:r>
      <w:r w:rsidRPr="00B34407">
        <w:t>s Program Guide and Section 143, certain of the Mortgage Loan documents bearing on compliance with Section 143 will be submitted to the Authority.</w:t>
      </w:r>
    </w:p>
    <w:p w:rsidRPr="00B34407" w:rsidR="00AF72E5" w:rsidP="00AF72E5" w:rsidRDefault="00AF72E5" w14:paraId="579FF1C3" w14:textId="3086A089">
      <w:pPr>
        <w:pStyle w:val="BodyTextFirstIndent"/>
      </w:pPr>
      <w:bookmarkStart w:name="_DV_M642" w:id="684"/>
      <w:bookmarkEnd w:id="684"/>
      <w:r w:rsidRPr="00B34407">
        <w:t>When the Authority receives such documents, it will conduct its own review of such documents for compliance with Section 143.  If the Authority concurs in the Lender</w:t>
      </w:r>
      <w:r w:rsidR="00C34AEA">
        <w:t>’</w:t>
      </w:r>
      <w:r w:rsidRPr="00B34407">
        <w:t>s assessment that the borrower, the Mortgage Loan and the residence meet the requirements of Section 143, the Authority will issue a preliminary compliance approval letter.  Upon its receipt of closing documents evidencing that no material change has occurred which would result in noncompliance with Section 143, the Authority will issue a final compliance approval letter.  The Servicer may not purchase any Mortgage Loan prior to receipt of the Authority</w:t>
      </w:r>
      <w:r w:rsidR="00C34AEA">
        <w:t>’</w:t>
      </w:r>
      <w:r w:rsidRPr="00B34407">
        <w:t>s final compliance approval letter with respect to such Mortgage Loan.</w:t>
      </w:r>
    </w:p>
    <w:p w:rsidRPr="00B34407" w:rsidR="00AF72E5" w:rsidP="00F828E4" w:rsidRDefault="00AF72E5" w14:paraId="2E0AB7A8" w14:textId="77777777">
      <w:pPr>
        <w:pStyle w:val="aHEADINGSUB"/>
      </w:pPr>
      <w:bookmarkStart w:name="_DV_M643" w:id="685"/>
      <w:bookmarkStart w:name="_Toc534620373" w:id="686"/>
      <w:bookmarkStart w:name="_Toc534620483" w:id="687"/>
      <w:bookmarkStart w:name="_Toc534620601" w:id="688"/>
      <w:bookmarkStart w:name="_Toc534620922" w:id="689"/>
      <w:bookmarkStart w:name="_Toc534621153" w:id="690"/>
      <w:bookmarkStart w:name="_Toc172841979" w:id="691"/>
      <w:bookmarkEnd w:id="685"/>
      <w:r w:rsidRPr="00B34407">
        <w:t>Investment Limitations</w:t>
      </w:r>
      <w:bookmarkEnd w:id="686"/>
      <w:bookmarkEnd w:id="687"/>
      <w:bookmarkEnd w:id="688"/>
      <w:bookmarkEnd w:id="689"/>
      <w:bookmarkEnd w:id="690"/>
      <w:bookmarkEnd w:id="691"/>
    </w:p>
    <w:p w:rsidRPr="00B34407" w:rsidR="00AF72E5" w:rsidP="00AF72E5" w:rsidRDefault="00AF72E5" w14:paraId="6C347E7F" w14:textId="46F24058">
      <w:pPr>
        <w:pStyle w:val="BodyTextFirstIndent"/>
      </w:pPr>
      <w:bookmarkStart w:name="_DV_M644" w:id="692"/>
      <w:bookmarkEnd w:id="692"/>
      <w:r w:rsidRPr="00B34407">
        <w:t xml:space="preserve">Section 143 requires that the yield on Mortgage Loans attributable to the proceeds of the </w:t>
      </w:r>
      <w:r w:rsidR="00C7294C">
        <w:t>2024 Series C</w:t>
      </w:r>
      <w:r w:rsidR="00B4438E">
        <w:t>-1 Bond</w:t>
      </w:r>
      <w:r w:rsidRPr="00B34407" w:rsidR="0089533B">
        <w:t>s</w:t>
      </w:r>
      <w:r w:rsidRPr="00B34407">
        <w:t xml:space="preserve"> may not exceed the yield on the </w:t>
      </w:r>
      <w:r w:rsidR="00C7294C">
        <w:t>2024 Series C</w:t>
      </w:r>
      <w:r w:rsidR="00B4438E">
        <w:t>-1 Bond</w:t>
      </w:r>
      <w:r w:rsidRPr="00B34407" w:rsidR="0089533B">
        <w:t>s</w:t>
      </w:r>
      <w:r w:rsidRPr="00B34407">
        <w:t xml:space="preserve"> by more than one and one-eighth percentage points</w:t>
      </w:r>
      <w:r w:rsidRPr="00B34407" w:rsidR="00863D54">
        <w:t xml:space="preserve">.  </w:t>
      </w:r>
      <w:bookmarkStart w:name="_DV_M645" w:id="693"/>
      <w:bookmarkEnd w:id="693"/>
      <w:r w:rsidRPr="00B34407">
        <w:t>An issue of Bonds is treated as meeting the Section 143 requirements if (1) the issuer in good faith attempted to meet all of such requirements and (2) any failure to meet such requirements is due to inadvertent error after taking reasonable steps to comply with such requirements.</w:t>
      </w:r>
    </w:p>
    <w:p w:rsidRPr="00B34407" w:rsidR="00AF72E5" w:rsidP="00AF72E5" w:rsidRDefault="00AF72E5" w14:paraId="34E5BF81" w14:textId="704DDD5C">
      <w:pPr>
        <w:pStyle w:val="BodyTextFirstIndent"/>
      </w:pPr>
      <w:bookmarkStart w:name="_DV_M646" w:id="694"/>
      <w:bookmarkEnd w:id="694"/>
      <w:r w:rsidRPr="00B34407">
        <w:t>To the extent that earnings on the aggregate amount of non</w:t>
      </w:r>
      <w:r w:rsidRPr="00B34407">
        <w:noBreakHyphen/>
        <w:t xml:space="preserve">purpose investments invested at a yield materially higher than the yield on the </w:t>
      </w:r>
      <w:r w:rsidR="00C7294C">
        <w:t>2024 Series C</w:t>
      </w:r>
      <w:r w:rsidR="00B4438E">
        <w:t>-1 Bond</w:t>
      </w:r>
      <w:r w:rsidRPr="00B34407" w:rsidR="0089533B">
        <w:t>s</w:t>
      </w:r>
      <w:r w:rsidRPr="00B34407">
        <w:t xml:space="preserve"> exceed the amount that would have been earned on such investments if such investments were earning a return equal to the yield on the </w:t>
      </w:r>
      <w:r w:rsidR="00C7294C">
        <w:t>2024 Series C</w:t>
      </w:r>
      <w:r w:rsidR="00B4438E">
        <w:t>-1 Bond</w:t>
      </w:r>
      <w:r w:rsidRPr="00B34407" w:rsidR="0089533B">
        <w:t>s</w:t>
      </w:r>
      <w:r w:rsidRPr="00B34407">
        <w:t>, the Authority must periodically pay such excess to the United States.</w:t>
      </w:r>
    </w:p>
    <w:p w:rsidRPr="00B34407" w:rsidR="00AF72E5" w:rsidP="00F828E4" w:rsidRDefault="00AF72E5" w14:paraId="6CF08AF5" w14:textId="77777777">
      <w:pPr>
        <w:pStyle w:val="aHEADINGSUB"/>
      </w:pPr>
      <w:bookmarkStart w:name="_DV_M647" w:id="695"/>
      <w:bookmarkStart w:name="_Toc534620374" w:id="696"/>
      <w:bookmarkStart w:name="_Toc534620484" w:id="697"/>
      <w:bookmarkStart w:name="_Toc534620602" w:id="698"/>
      <w:bookmarkStart w:name="_Toc534620923" w:id="699"/>
      <w:bookmarkStart w:name="_Toc534621154" w:id="700"/>
      <w:bookmarkStart w:name="_Toc172841980" w:id="701"/>
      <w:bookmarkEnd w:id="695"/>
      <w:r w:rsidRPr="00B34407">
        <w:t>Redemption</w:t>
      </w:r>
      <w:bookmarkEnd w:id="696"/>
      <w:bookmarkEnd w:id="697"/>
      <w:bookmarkEnd w:id="698"/>
      <w:bookmarkEnd w:id="699"/>
      <w:bookmarkEnd w:id="700"/>
      <w:bookmarkEnd w:id="701"/>
    </w:p>
    <w:p w:rsidRPr="00B34407" w:rsidR="00AF72E5" w:rsidP="00AF72E5" w:rsidRDefault="00AF72E5" w14:paraId="630FC3B3" w14:textId="001FEE80">
      <w:pPr>
        <w:pStyle w:val="BodyTextFirstIndent"/>
      </w:pPr>
      <w:bookmarkStart w:name="_DV_M648" w:id="702"/>
      <w:bookmarkEnd w:id="702"/>
      <w:r w:rsidRPr="00B34407">
        <w:t xml:space="preserve">Section 143 of the Code requires that the Authority redeem </w:t>
      </w:r>
      <w:r w:rsidR="00C7294C">
        <w:t>2024 Series C</w:t>
      </w:r>
      <w:r w:rsidR="00B4438E">
        <w:t>-1 Bond</w:t>
      </w:r>
      <w:r w:rsidRPr="00B34407" w:rsidR="0089533B">
        <w:t>s</w:t>
      </w:r>
      <w:r w:rsidRPr="00B34407">
        <w:t xml:space="preserve"> (1) from unexpended proceeds within 42 months after their issue date to the extent the proceeds of the </w:t>
      </w:r>
      <w:r w:rsidR="00C7294C">
        <w:t>2024 Series C</w:t>
      </w:r>
      <w:r w:rsidR="00B4438E">
        <w:t>-1 Bond</w:t>
      </w:r>
      <w:r w:rsidRPr="00B34407" w:rsidR="0089533B">
        <w:t>s</w:t>
      </w:r>
      <w:r w:rsidRPr="00B34407">
        <w:t xml:space="preserve"> have not been used to finance Mortgage Loans within such 42</w:t>
      </w:r>
      <w:r w:rsidRPr="00B34407">
        <w:noBreakHyphen/>
        <w:t xml:space="preserve">month period, and (2) except for amounts received on or before ten years from the date of issuance of the </w:t>
      </w:r>
      <w:r w:rsidR="00C7294C">
        <w:t>2024 Series C</w:t>
      </w:r>
      <w:r w:rsidR="00B4438E">
        <w:t>-1 Bond</w:t>
      </w:r>
      <w:r w:rsidRPr="00B34407" w:rsidR="0089533B">
        <w:t>s</w:t>
      </w:r>
      <w:r w:rsidRPr="00B34407">
        <w:t xml:space="preserve"> (or with respect to any refunding bonds, the date of issuance of the corresponding original bond), from Prepayments and scheduled repayments of principal of the Mortgage Loans,</w:t>
      </w:r>
      <w:r w:rsidRPr="00B34407" w:rsidR="00484DDD">
        <w:t xml:space="preserve"> less amounts used to pay scheduled principal of or redeem the </w:t>
      </w:r>
      <w:r w:rsidR="00C7294C">
        <w:t>2024 Series C</w:t>
      </w:r>
      <w:r w:rsidR="00B4438E">
        <w:t>-1 Bond</w:t>
      </w:r>
      <w:r w:rsidRPr="00B34407" w:rsidR="00484DDD">
        <w:t xml:space="preserve">s, </w:t>
      </w:r>
      <w:r w:rsidRPr="00B34407">
        <w:t>not later t</w:t>
      </w:r>
      <w:r w:rsidR="00F57EED">
        <w:t>han the close of the first semi</w:t>
      </w:r>
      <w:r w:rsidRPr="00B34407">
        <w:t xml:space="preserve">annual period beginning after any Prepayment or regularly scheduled repayment is received. </w:t>
      </w:r>
    </w:p>
    <w:p w:rsidRPr="00B34407" w:rsidR="00AF72E5" w:rsidP="00F828E4" w:rsidRDefault="00AF72E5" w14:paraId="6ED39D0A" w14:textId="77777777">
      <w:pPr>
        <w:pStyle w:val="aHEADINGSUB"/>
      </w:pPr>
      <w:bookmarkStart w:name="_DV_M649" w:id="703"/>
      <w:bookmarkStart w:name="_Toc534620375" w:id="704"/>
      <w:bookmarkStart w:name="_Toc534620485" w:id="705"/>
      <w:bookmarkStart w:name="_Toc534620603" w:id="706"/>
      <w:bookmarkStart w:name="_Toc534620924" w:id="707"/>
      <w:bookmarkStart w:name="_Toc534621155" w:id="708"/>
      <w:bookmarkStart w:name="_Toc172841981" w:id="709"/>
      <w:bookmarkEnd w:id="703"/>
      <w:r w:rsidRPr="00B34407">
        <w:t>Recapture Tax on Mortgagors</w:t>
      </w:r>
      <w:bookmarkEnd w:id="704"/>
      <w:bookmarkEnd w:id="705"/>
      <w:bookmarkEnd w:id="706"/>
      <w:bookmarkEnd w:id="707"/>
      <w:bookmarkEnd w:id="708"/>
      <w:bookmarkEnd w:id="709"/>
    </w:p>
    <w:p w:rsidRPr="00B34407" w:rsidR="00AF72E5" w:rsidP="00AF72E5" w:rsidRDefault="00AF72E5" w14:paraId="473C81DE" w14:textId="6523FA96">
      <w:pPr>
        <w:pStyle w:val="BodyTextFirstIndent"/>
      </w:pPr>
      <w:bookmarkStart w:name="_DV_M650" w:id="710"/>
      <w:bookmarkEnd w:id="710"/>
      <w:r w:rsidRPr="00B34407">
        <w:t xml:space="preserve">Section 143, as amended by the Revenue Reconciliation Act of 1990, requires certain mortgagors to pay money to the United States Treasury upon sale of their residences (the </w:t>
      </w:r>
      <w:r w:rsidR="00C34AEA">
        <w:t>“</w:t>
      </w:r>
      <w:r w:rsidRPr="00B34407">
        <w:rPr>
          <w:i/>
        </w:rPr>
        <w:t>Recapture Provision</w:t>
      </w:r>
      <w:r w:rsidR="00C34AEA">
        <w:t>”</w:t>
      </w:r>
      <w:r w:rsidRPr="00B34407">
        <w:t xml:space="preserve">).  The Recapture </w:t>
      </w:r>
      <w:r w:rsidRPr="00B34407">
        <w:lastRenderedPageBreak/>
        <w:t xml:space="preserve">Provision requires that an amount determined to be the subsidy provided by qualified mortgage bond financing be paid to the United States on disposition of the residence (but not in excess of 50% of the gain realized by the mortgagor).  The recapture amount (1) increases over the initial five-year period of ownership, with full recapture </w:t>
      </w:r>
      <w:bookmarkStart w:name="ElPgBr53" w:id="711"/>
      <w:bookmarkEnd w:id="711"/>
      <w:r w:rsidRPr="00B34407">
        <w:t>occurring if the residence is sold during the fifth year following the date of the Mortgage Loan and (2) declines ratably for a sale occurring in years six through nine, with no recapture for dispositions occurring more than nine years after the Mortgage Loan is executed or for dispositions by reason of death.  An exception excludes from recapture part or all of the subsidy in the case of certain assisted eligible persons and families whose incomes are less than prescribed amounts at the time of the disposition.  The Authority is unable to predict what effect, if any, the Recapture Provision will have.</w:t>
      </w:r>
    </w:p>
    <w:p w:rsidRPr="00B34407" w:rsidR="00B70C45" w:rsidP="00F57B1B" w:rsidRDefault="00AF72E5" w14:paraId="774EF797" w14:textId="77777777">
      <w:pPr>
        <w:pStyle w:val="aHEADING"/>
        <w:widowControl/>
        <w:outlineLvl w:val="0"/>
      </w:pPr>
      <w:bookmarkStart w:name="_DV_M651" w:id="712"/>
      <w:bookmarkStart w:name="_Toc212948809" w:id="713"/>
      <w:bookmarkStart w:name="_Toc3865667" w:id="714"/>
      <w:bookmarkStart w:name="_Toc85337911" w:id="715"/>
      <w:bookmarkStart w:name="_Toc534620376" w:id="716"/>
      <w:bookmarkStart w:name="_Toc534620486" w:id="717"/>
      <w:bookmarkStart w:name="_Toc534620604" w:id="718"/>
      <w:bookmarkStart w:name="_Toc534620925" w:id="719"/>
      <w:bookmarkStart w:name="_Toc534621156" w:id="720"/>
      <w:bookmarkStart w:name="_Toc172841982" w:id="721"/>
      <w:bookmarkEnd w:id="712"/>
      <w:r w:rsidRPr="00B34407">
        <w:t>TAX MATTERS</w:t>
      </w:r>
      <w:bookmarkEnd w:id="713"/>
      <w:bookmarkEnd w:id="714"/>
      <w:bookmarkEnd w:id="715"/>
      <w:bookmarkEnd w:id="716"/>
      <w:bookmarkEnd w:id="717"/>
      <w:bookmarkEnd w:id="718"/>
      <w:bookmarkEnd w:id="719"/>
      <w:bookmarkEnd w:id="720"/>
      <w:bookmarkEnd w:id="721"/>
    </w:p>
    <w:p w:rsidRPr="00B34407" w:rsidR="00863D54" w:rsidP="00682FB3" w:rsidRDefault="00AF72E5" w14:paraId="2B7D42CF" w14:textId="777D6C7A">
      <w:pPr>
        <w:pStyle w:val="BodyTextFirstIndent"/>
      </w:pPr>
      <w:bookmarkStart w:name="_DV_M652" w:id="722"/>
      <w:bookmarkEnd w:id="722"/>
      <w:r w:rsidRPr="00B34407">
        <w:t>In the opinion of Ice Miller LLP, Indianapolis, Indiana, Bond Counsel, under existing</w:t>
      </w:r>
      <w:r w:rsidRPr="00B34407" w:rsidR="0023463D">
        <w:t xml:space="preserve"> federal statutes,</w:t>
      </w:r>
      <w:r w:rsidRPr="00B34407">
        <w:t xml:space="preserve"> decisions,</w:t>
      </w:r>
      <w:r w:rsidRPr="00B34407" w:rsidR="0023463D">
        <w:t xml:space="preserve"> regulations and rulings,</w:t>
      </w:r>
      <w:r w:rsidRPr="00B34407">
        <w:t xml:space="preserve"> interest on the </w:t>
      </w:r>
      <w:r w:rsidR="00C7294C">
        <w:t>2024 Series C</w:t>
      </w:r>
      <w:r w:rsidR="00B4438E">
        <w:t>-1 Bond</w:t>
      </w:r>
      <w:r w:rsidRPr="00B34407" w:rsidR="0089533B">
        <w:t>s</w:t>
      </w:r>
      <w:r w:rsidRPr="00B34407">
        <w:t xml:space="preserve"> is excludable from gross income under Section 103 of the Code for federal income tax p</w:t>
      </w:r>
      <w:r w:rsidRPr="00B34407" w:rsidR="00682FB3">
        <w:t xml:space="preserve">urposes.  </w:t>
      </w:r>
      <w:r w:rsidRPr="00BE7F4A" w:rsidR="00682FB3">
        <w:t xml:space="preserve">The interest on the </w:t>
      </w:r>
      <w:r w:rsidR="00C7294C">
        <w:t>2024 Series C</w:t>
      </w:r>
      <w:r w:rsidRPr="00BE7F4A" w:rsidR="0072214B">
        <w:t>-1</w:t>
      </w:r>
      <w:r w:rsidRPr="00BE7F4A" w:rsidR="00136D88">
        <w:t xml:space="preserve"> Bond</w:t>
      </w:r>
      <w:r w:rsidRPr="00BE7F4A" w:rsidR="00682FB3">
        <w:t>s is not a specific preference item for purposes of the federal indi</w:t>
      </w:r>
      <w:r w:rsidRPr="00BE7F4A" w:rsidR="00045CD6">
        <w:t>vidual alternative minimum tax</w:t>
      </w:r>
      <w:r w:rsidRPr="00BE7F4A" w:rsidR="00682FB3">
        <w:t xml:space="preserve">.  </w:t>
      </w:r>
      <w:r w:rsidR="006370D5">
        <w:t xml:space="preserve">However, such interest on the </w:t>
      </w:r>
      <w:r w:rsidR="00C7294C">
        <w:t>2024 Series C</w:t>
      </w:r>
      <w:r w:rsidR="006370D5">
        <w:t>-1 Bonds may be taken into account for the purpose of computing the alternative minimum tax imposed on certain corporations.</w:t>
      </w:r>
      <w:r w:rsidR="00FE2091">
        <w:t xml:space="preserve">  </w:t>
      </w:r>
      <w:r w:rsidRPr="00B34407" w:rsidR="00682FB3">
        <w:t>These opinions</w:t>
      </w:r>
      <w:r w:rsidRPr="00B34407">
        <w:t xml:space="preserve"> are conditioned on continuing compliance by the Authority with the Tax Covenants (hereinafter defined).  Failure to comply with the Tax Covenants could cause interest on the </w:t>
      </w:r>
      <w:r w:rsidR="00C7294C">
        <w:t>2024 Series C</w:t>
      </w:r>
      <w:r w:rsidR="00B4438E">
        <w:t>-1 Bond</w:t>
      </w:r>
      <w:r w:rsidRPr="00B34407" w:rsidR="0089533B">
        <w:t>s</w:t>
      </w:r>
      <w:r w:rsidRPr="00B34407">
        <w:t xml:space="preserve"> to become includable in gross income for federal income tax purposes retroactive to the date of issuance of the </w:t>
      </w:r>
      <w:r w:rsidR="00C7294C">
        <w:t>2024 Series C</w:t>
      </w:r>
      <w:r w:rsidR="00B4438E">
        <w:t>-1 Bond</w:t>
      </w:r>
      <w:r w:rsidRPr="00B34407" w:rsidR="0089533B">
        <w:t>s</w:t>
      </w:r>
      <w:r w:rsidRPr="00B34407">
        <w:t xml:space="preserve">.  See </w:t>
      </w:r>
      <w:r w:rsidR="00C34AEA">
        <w:t>“</w:t>
      </w:r>
      <w:r w:rsidRPr="00B34407">
        <w:t xml:space="preserve">APPENDIX C: </w:t>
      </w:r>
      <w:r w:rsidRPr="00B34407" w:rsidR="00682FB3">
        <w:t>FORM OF BOND COUNSEL OPINION</w:t>
      </w:r>
      <w:r w:rsidR="00C34AEA">
        <w:t>”</w:t>
      </w:r>
      <w:r w:rsidRPr="00B34407" w:rsidR="00E35FED">
        <w:t xml:space="preserve"> attached hereto.</w:t>
      </w:r>
      <w:r w:rsidRPr="00B34407" w:rsidR="00863D54">
        <w:t xml:space="preserve">  </w:t>
      </w:r>
    </w:p>
    <w:p w:rsidRPr="00B34407" w:rsidR="00AF72E5" w:rsidP="00AF72E5" w:rsidRDefault="00AF72E5" w14:paraId="7F78C8DA" w14:textId="1755A696">
      <w:pPr>
        <w:pStyle w:val="BodyTextFirstIndent"/>
      </w:pPr>
      <w:bookmarkStart w:name="_DV_M653" w:id="723"/>
      <w:bookmarkEnd w:id="723"/>
      <w:r w:rsidRPr="00B34407">
        <w:t xml:space="preserve">In the opinion of Ice Miller LLP, Indianapolis, Indiana, Bond Counsel, under existing </w:t>
      </w:r>
      <w:r w:rsidRPr="00B34407" w:rsidR="0023463D">
        <w:t>statutes, decisions, regulations and rulings</w:t>
      </w:r>
      <w:r w:rsidRPr="00B34407">
        <w:t xml:space="preserve">, interest on the </w:t>
      </w:r>
      <w:r w:rsidR="00C7294C">
        <w:t>2024 Series C</w:t>
      </w:r>
      <w:r w:rsidR="005B3036">
        <w:t xml:space="preserve"> Bond</w:t>
      </w:r>
      <w:r w:rsidR="006C550F">
        <w:t>s</w:t>
      </w:r>
      <w:r w:rsidRPr="00B34407">
        <w:t xml:space="preserve"> is exempt from income taxation in the State of Indiana.  This opinion relates only to the exemption of interest from income taxation in the State of Indiana.  See </w:t>
      </w:r>
      <w:r w:rsidR="00C34AEA">
        <w:t>“</w:t>
      </w:r>
      <w:r w:rsidRPr="00B34407">
        <w:t>APPENDIX C: FORM OF BOND COUNSEL OPINION</w:t>
      </w:r>
      <w:r w:rsidR="00C34AEA">
        <w:t>”</w:t>
      </w:r>
      <w:r w:rsidRPr="00B34407" w:rsidR="00E11553">
        <w:t xml:space="preserve"> attached hereto.</w:t>
      </w:r>
    </w:p>
    <w:p w:rsidRPr="00B34407" w:rsidR="00AF72E5" w:rsidP="00AF72E5" w:rsidRDefault="00AF72E5" w14:paraId="57BE423D" w14:textId="64F8CCE1">
      <w:pPr>
        <w:pStyle w:val="BodyTextFirstIndent"/>
      </w:pPr>
      <w:bookmarkStart w:name="_DV_M654" w:id="724"/>
      <w:bookmarkStart w:name="_DV_M655" w:id="725"/>
      <w:bookmarkEnd w:id="724"/>
      <w:bookmarkEnd w:id="725"/>
      <w:r w:rsidRPr="00B34407">
        <w:t xml:space="preserve">The Code imposes certain requirements which must be met subsequent to the issuance of the </w:t>
      </w:r>
      <w:r w:rsidR="00C7294C">
        <w:t>2024 Series C</w:t>
      </w:r>
      <w:r w:rsidR="00B4438E">
        <w:t>-1 Bond</w:t>
      </w:r>
      <w:r w:rsidRPr="00B34407" w:rsidR="0089533B">
        <w:t>s</w:t>
      </w:r>
      <w:r w:rsidRPr="00B34407">
        <w:t xml:space="preserve"> as a condition to the </w:t>
      </w:r>
      <w:r w:rsidRPr="00B34407" w:rsidR="00C81706">
        <w:t>excludability</w:t>
      </w:r>
      <w:r w:rsidRPr="00B34407">
        <w:t xml:space="preserve"> from gross income of interest on the </w:t>
      </w:r>
      <w:r w:rsidR="00C7294C">
        <w:t>2024 Series C</w:t>
      </w:r>
      <w:r w:rsidR="00B4438E">
        <w:t>-1 Bond</w:t>
      </w:r>
      <w:r w:rsidRPr="00B34407" w:rsidR="0089533B">
        <w:t>s</w:t>
      </w:r>
      <w:r w:rsidRPr="00B34407">
        <w:t xml:space="preserve"> for federal income tax purposes.  The Authority will covenant not to take any action, within its power and control, nor fail to take any action with respect to the </w:t>
      </w:r>
      <w:r w:rsidR="00C7294C">
        <w:t>2024 Series C</w:t>
      </w:r>
      <w:r w:rsidR="00B4438E">
        <w:t>-1 Bond</w:t>
      </w:r>
      <w:r w:rsidRPr="00B34407" w:rsidR="0089533B">
        <w:t>s</w:t>
      </w:r>
      <w:r w:rsidRPr="00B34407">
        <w:t xml:space="preserve">, that would result in the loss of the </w:t>
      </w:r>
      <w:r w:rsidRPr="00B34407" w:rsidR="003450E7">
        <w:t xml:space="preserve">excludability </w:t>
      </w:r>
      <w:r w:rsidRPr="00B34407">
        <w:t xml:space="preserve">from gross income for federal income tax purposes of interest on the </w:t>
      </w:r>
      <w:r w:rsidR="00C7294C">
        <w:t>2024 Series C</w:t>
      </w:r>
      <w:r w:rsidR="00B4438E">
        <w:t>-1 Bond</w:t>
      </w:r>
      <w:r w:rsidRPr="00B34407" w:rsidR="0089533B">
        <w:t>s</w:t>
      </w:r>
      <w:r w:rsidRPr="00B34407">
        <w:t xml:space="preserve"> pursuant to Section 103 of the Code (collectively, the </w:t>
      </w:r>
      <w:r w:rsidR="00C34AEA">
        <w:t>“</w:t>
      </w:r>
      <w:r w:rsidRPr="00B34407">
        <w:rPr>
          <w:i/>
        </w:rPr>
        <w:t>Tax Covenants</w:t>
      </w:r>
      <w:r w:rsidR="00C34AEA">
        <w:t>”</w:t>
      </w:r>
      <w:r w:rsidRPr="00B34407">
        <w:t xml:space="preserve">).  The Indenture and certain certificates and agreements to be delivered on the date of delivery of the </w:t>
      </w:r>
      <w:r w:rsidR="00C7294C">
        <w:t>2024 Series C</w:t>
      </w:r>
      <w:r w:rsidR="00B4438E">
        <w:t>-1 Bond</w:t>
      </w:r>
      <w:r w:rsidRPr="00B34407" w:rsidR="0089533B">
        <w:t>s</w:t>
      </w:r>
      <w:r w:rsidRPr="00B34407">
        <w:t xml:space="preserve"> establish procedures under which compliance with the requirements of the Code can be met.  See </w:t>
      </w:r>
      <w:r w:rsidR="00C34AEA">
        <w:t>“</w:t>
      </w:r>
      <w:r w:rsidRPr="00B34407">
        <w:t>FEDERAL TAX LAW REQUIREMENTS</w:t>
      </w:r>
      <w:r w:rsidR="00C34AEA">
        <w:t>”</w:t>
      </w:r>
      <w:r w:rsidR="00B915D3">
        <w:t xml:space="preserve"> herein.</w:t>
      </w:r>
    </w:p>
    <w:p w:rsidRPr="00B34407" w:rsidR="006B67C1" w:rsidP="00AF72E5" w:rsidRDefault="00AF72E5" w14:paraId="38FFFF7E" w14:textId="2A3E5EC4">
      <w:pPr>
        <w:pStyle w:val="BodyTextFirstIndent"/>
      </w:pPr>
      <w:bookmarkStart w:name="_DV_M656" w:id="726"/>
      <w:bookmarkEnd w:id="726"/>
      <w:r w:rsidRPr="00B34407">
        <w:t>The Code also subjects taxpayers to an alternative minimum tax on a taxpayer</w:t>
      </w:r>
      <w:r w:rsidR="00C34AEA">
        <w:t>’</w:t>
      </w:r>
      <w:r w:rsidRPr="00B34407">
        <w:t xml:space="preserve">s </w:t>
      </w:r>
      <w:r w:rsidR="00C34AEA">
        <w:t>“</w:t>
      </w:r>
      <w:r w:rsidRPr="00B34407">
        <w:t>alternative minimum taxable income,</w:t>
      </w:r>
      <w:r w:rsidR="00C34AEA">
        <w:t>”</w:t>
      </w:r>
      <w:r w:rsidRPr="00B34407">
        <w:t xml:space="preserve"> which, in general terms, consists of a taxpayer</w:t>
      </w:r>
      <w:r w:rsidR="00C34AEA">
        <w:t>’</w:t>
      </w:r>
      <w:r w:rsidRPr="00B34407">
        <w:t xml:space="preserve">s regular taxable income plus its tax preferences and special adjustments with respect to certain deductions used by a corporation to compute taxable income.  One of the preference items for individuals included in determining alternative minimum taxable income is interest on certain private activity bonds.  </w:t>
      </w:r>
    </w:p>
    <w:p w:rsidR="00AF72E5" w:rsidP="00AF72E5" w:rsidRDefault="00AF72E5" w14:paraId="4FF95CBD" w14:textId="7DD49451">
      <w:pPr>
        <w:pStyle w:val="BodyTextFirstIndent"/>
      </w:pPr>
      <w:r w:rsidRPr="00B34407">
        <w:t xml:space="preserve">Although Bond Counsel will render an opinion that interest on the </w:t>
      </w:r>
      <w:r w:rsidR="00C7294C">
        <w:t>2024 Series C</w:t>
      </w:r>
      <w:r w:rsidR="00B4438E">
        <w:t>-1 Bond</w:t>
      </w:r>
      <w:r w:rsidRPr="00B34407" w:rsidR="0089533B">
        <w:t>s</w:t>
      </w:r>
      <w:r w:rsidRPr="00B34407">
        <w:t xml:space="preserve"> is excludable from federal gross income and that interest on the </w:t>
      </w:r>
      <w:r w:rsidR="00C7294C">
        <w:t>2024 Series C</w:t>
      </w:r>
      <w:r w:rsidR="00B4438E">
        <w:t>-1 Bond</w:t>
      </w:r>
      <w:r w:rsidRPr="00B34407" w:rsidR="0089533B">
        <w:t>s</w:t>
      </w:r>
      <w:r w:rsidRPr="00B34407">
        <w:t xml:space="preserve"> is exempt from income taxation in the State of Indiana, the accrual or receipt of interest on the </w:t>
      </w:r>
      <w:r w:rsidR="00C7294C">
        <w:t>2024 Series C</w:t>
      </w:r>
      <w:r w:rsidR="00B4438E">
        <w:t>-1 Bond</w:t>
      </w:r>
      <w:r w:rsidRPr="00B34407" w:rsidR="0089533B">
        <w:t>s</w:t>
      </w:r>
      <w:r w:rsidRPr="00B34407">
        <w:t xml:space="preserve"> may otherwise affect a bondholder</w:t>
      </w:r>
      <w:r w:rsidR="00C34AEA">
        <w:t>’</w:t>
      </w:r>
      <w:r w:rsidRPr="00B34407">
        <w:t>s federal income tax or state tax liability.  The nature and extent of these other tax consequences will depend upon the bondholder</w:t>
      </w:r>
      <w:r w:rsidR="00C34AEA">
        <w:t>’</w:t>
      </w:r>
      <w:r w:rsidRPr="00B34407">
        <w:t>s particular tax status and a bondholder</w:t>
      </w:r>
      <w:r w:rsidR="00C34AEA">
        <w:t>’</w:t>
      </w:r>
      <w:r w:rsidRPr="00B34407">
        <w:t xml:space="preserve">s other items of income or deduction.  Taxpayers who may be affected by such other tax consequences include, without limitation, financial institutions, certain insurance companies, S corporations, certain foreign corporations, individual recipients of Social Security or railroad retirement benefits and taxpayers who may be deemed to have incurred (or continued) indebtedness to purchase or carry the </w:t>
      </w:r>
      <w:r w:rsidR="00C7294C">
        <w:t>2024 Series C</w:t>
      </w:r>
      <w:r w:rsidR="00B4438E">
        <w:t>-1 Bond</w:t>
      </w:r>
      <w:r w:rsidRPr="00B34407" w:rsidR="0089533B">
        <w:t>s</w:t>
      </w:r>
      <w:r w:rsidRPr="00B34407">
        <w:t xml:space="preserve">.  Bond Counsel expresses no opinion regarding any other such tax consequences.  Prospective purchasers of the </w:t>
      </w:r>
      <w:r w:rsidR="00C7294C">
        <w:t>2024 Series C</w:t>
      </w:r>
      <w:r w:rsidR="00B4438E">
        <w:t>-1 Bond</w:t>
      </w:r>
      <w:r w:rsidRPr="00B34407" w:rsidR="0089533B">
        <w:t>s</w:t>
      </w:r>
      <w:r w:rsidRPr="00B34407">
        <w:t xml:space="preserve"> should consult their tax advisors with regard to the tax consequences of owning the </w:t>
      </w:r>
      <w:r w:rsidR="00C7294C">
        <w:t>2024 Series C</w:t>
      </w:r>
      <w:r w:rsidR="00B4438E">
        <w:t>-1 Bond</w:t>
      </w:r>
      <w:r w:rsidRPr="00B34407" w:rsidR="0089533B">
        <w:t>s</w:t>
      </w:r>
      <w:r w:rsidRPr="00B34407">
        <w:t>.</w:t>
      </w:r>
    </w:p>
    <w:p w:rsidRPr="00B34407" w:rsidR="00362549" w:rsidP="00362549" w:rsidRDefault="00362549" w14:paraId="00AA366C" w14:textId="54C21E8C">
      <w:pPr>
        <w:pStyle w:val="aHEADINGSUB"/>
      </w:pPr>
      <w:bookmarkStart w:name="_Toc172841983" w:id="727"/>
      <w:r>
        <w:lastRenderedPageBreak/>
        <w:t xml:space="preserve">Tax Status of the </w:t>
      </w:r>
      <w:r w:rsidR="00C7294C">
        <w:t>2024 Series C</w:t>
      </w:r>
      <w:r w:rsidR="00B4438E">
        <w:t>-2 Bond</w:t>
      </w:r>
      <w:r>
        <w:t>s</w:t>
      </w:r>
      <w:bookmarkEnd w:id="727"/>
    </w:p>
    <w:p w:rsidRPr="008B6A59" w:rsidR="00694D4E" w:rsidP="00694D4E" w:rsidRDefault="00D04298" w14:paraId="347B8B2B" w14:textId="4DF7E9C1">
      <w:pPr>
        <w:pStyle w:val="ParaNORMAL"/>
        <w:spacing w:before="240"/>
        <w:rPr>
          <w:rFonts w:ascii="Times" w:hAnsi="Times" w:eastAsia="Calibri"/>
          <w:sz w:val="20"/>
          <w:szCs w:val="20"/>
        </w:rPr>
      </w:pPr>
      <w:r w:rsidRPr="00D04298">
        <w:rPr>
          <w:rFonts w:ascii="Times" w:hAnsi="Times" w:eastAsia="Calibri"/>
          <w:sz w:val="20"/>
          <w:szCs w:val="20"/>
        </w:rPr>
        <w:t xml:space="preserve">The following discussion summarizes </w:t>
      </w:r>
      <w:r w:rsidR="00AE0E3D">
        <w:rPr>
          <w:rFonts w:ascii="Times" w:hAnsi="Times" w:eastAsia="Calibri"/>
          <w:sz w:val="20"/>
          <w:szCs w:val="20"/>
        </w:rPr>
        <w:t>certain</w:t>
      </w:r>
      <w:r w:rsidRPr="00D04298">
        <w:rPr>
          <w:rFonts w:ascii="Times" w:hAnsi="Times" w:eastAsia="Calibri"/>
          <w:sz w:val="20"/>
          <w:szCs w:val="20"/>
        </w:rPr>
        <w:t xml:space="preserve"> United States federal income tax consequences generally applicable to the purchase, ownership and disposition of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by a beneficial owner thereof (the </w:t>
      </w:r>
      <w:r w:rsidR="00C34AEA">
        <w:rPr>
          <w:rFonts w:ascii="Times" w:hAnsi="Times" w:eastAsia="Calibri"/>
          <w:sz w:val="20"/>
          <w:szCs w:val="20"/>
        </w:rPr>
        <w:t>“</w:t>
      </w:r>
      <w:r w:rsidRPr="00D04298">
        <w:rPr>
          <w:rFonts w:ascii="Times" w:hAnsi="Times" w:eastAsia="Calibri"/>
          <w:i/>
          <w:sz w:val="20"/>
          <w:szCs w:val="20"/>
        </w:rPr>
        <w:t>Owner</w:t>
      </w:r>
      <w:r w:rsidR="00C34AEA">
        <w:rPr>
          <w:rFonts w:ascii="Times" w:hAnsi="Times" w:eastAsia="Calibri"/>
          <w:sz w:val="20"/>
          <w:szCs w:val="20"/>
        </w:rPr>
        <w:t>”</w:t>
      </w:r>
      <w:r w:rsidRPr="00D04298">
        <w:rPr>
          <w:rFonts w:ascii="Times" w:hAnsi="Times" w:eastAsia="Calibri"/>
          <w:sz w:val="20"/>
          <w:szCs w:val="20"/>
        </w:rPr>
        <w:t xml:space="preserve">).  The discussion is limited to the tax consequences to the initial investors of the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who </w:t>
      </w:r>
      <w:bookmarkStart w:name="ElPgBr54" w:id="728"/>
      <w:bookmarkEnd w:id="728"/>
      <w:r w:rsidRPr="00D04298">
        <w:rPr>
          <w:rFonts w:ascii="Times" w:hAnsi="Times" w:eastAsia="Calibri"/>
          <w:sz w:val="20"/>
          <w:szCs w:val="20"/>
        </w:rPr>
        <w:t xml:space="preserve">purchase the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at the issue price within the meaning of Section 1273 of the Code and generally does not address the tax consequences to subsequent purchasers of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w:t>
      </w:r>
      <w:r w:rsidRPr="00C655EB" w:rsidR="00AE0E3D">
        <w:rPr>
          <w:rFonts w:ascii="Times" w:hAnsi="Times" w:eastAsia="Calibri"/>
          <w:sz w:val="20"/>
          <w:szCs w:val="20"/>
        </w:rPr>
        <w:t xml:space="preserve">The summary is based upon the provisions of the Code, the regulations promulgated thereunder and the judicial and administrative rulings and decisions now in effect, all of which are subject to change or possible differing interpretations. </w:t>
      </w:r>
      <w:r w:rsidRPr="00E612D7" w:rsidR="00AE0E3D">
        <w:rPr>
          <w:rFonts w:ascii="Times" w:hAnsi="Times" w:eastAsia="Calibri"/>
          <w:sz w:val="20"/>
          <w:szCs w:val="20"/>
        </w:rPr>
        <w:t>Potential purchasers of the 202</w:t>
      </w:r>
      <w:r w:rsidR="00AE0E3D">
        <w:rPr>
          <w:rFonts w:ascii="Times" w:hAnsi="Times" w:eastAsia="Calibri"/>
          <w:sz w:val="20"/>
          <w:szCs w:val="20"/>
        </w:rPr>
        <w:t>4</w:t>
      </w:r>
      <w:r w:rsidRPr="00E612D7" w:rsidR="00AE0E3D">
        <w:rPr>
          <w:rFonts w:ascii="Times" w:hAnsi="Times" w:eastAsia="Calibri"/>
          <w:sz w:val="20"/>
          <w:szCs w:val="20"/>
        </w:rPr>
        <w:t xml:space="preserve"> Series </w:t>
      </w:r>
      <w:r w:rsidR="00AE0E3D">
        <w:rPr>
          <w:rFonts w:ascii="Times" w:hAnsi="Times" w:eastAsia="Calibri"/>
          <w:sz w:val="20"/>
          <w:szCs w:val="20"/>
        </w:rPr>
        <w:t>C-2</w:t>
      </w:r>
      <w:r w:rsidRPr="00E612D7" w:rsidR="00AE0E3D">
        <w:rPr>
          <w:rFonts w:ascii="Times" w:hAnsi="Times" w:eastAsia="Calibri"/>
          <w:sz w:val="20"/>
          <w:szCs w:val="20"/>
        </w:rPr>
        <w:t xml:space="preserve"> Bonds should consult their own tax advisors in determining the federal, state or local tax consequences to them of the purchase, holding and disposition of the 202</w:t>
      </w:r>
      <w:r w:rsidR="00AE0E3D">
        <w:rPr>
          <w:rFonts w:ascii="Times" w:hAnsi="Times" w:eastAsia="Calibri"/>
          <w:sz w:val="20"/>
          <w:szCs w:val="20"/>
        </w:rPr>
        <w:t>4</w:t>
      </w:r>
      <w:r w:rsidRPr="00E612D7" w:rsidR="00AE0E3D">
        <w:rPr>
          <w:rFonts w:ascii="Times" w:hAnsi="Times" w:eastAsia="Calibri"/>
          <w:sz w:val="20"/>
          <w:szCs w:val="20"/>
        </w:rPr>
        <w:t xml:space="preserve"> Series </w:t>
      </w:r>
      <w:r w:rsidR="00157C73">
        <w:rPr>
          <w:rFonts w:ascii="Times" w:hAnsi="Times" w:eastAsia="Calibri"/>
          <w:sz w:val="20"/>
          <w:szCs w:val="20"/>
        </w:rPr>
        <w:t>C</w:t>
      </w:r>
      <w:r w:rsidRPr="00E612D7" w:rsidR="00AE0E3D">
        <w:rPr>
          <w:rFonts w:ascii="Times" w:hAnsi="Times" w:eastAsia="Calibri"/>
          <w:sz w:val="20"/>
          <w:szCs w:val="20"/>
        </w:rPr>
        <w:t>-</w:t>
      </w:r>
      <w:r w:rsidR="00157C73">
        <w:rPr>
          <w:rFonts w:ascii="Times" w:hAnsi="Times" w:eastAsia="Calibri"/>
          <w:sz w:val="20"/>
          <w:szCs w:val="20"/>
        </w:rPr>
        <w:t>2</w:t>
      </w:r>
      <w:r w:rsidRPr="00E612D7" w:rsidR="00AE0E3D">
        <w:rPr>
          <w:rFonts w:ascii="Times" w:hAnsi="Times" w:eastAsia="Calibri"/>
          <w:sz w:val="20"/>
          <w:szCs w:val="20"/>
        </w:rPr>
        <w:t xml:space="preserve"> Bonds.</w:t>
      </w:r>
      <w:r w:rsidR="00AE0E3D">
        <w:rPr>
          <w:rFonts w:ascii="Times" w:hAnsi="Times" w:eastAsia="Calibri"/>
          <w:sz w:val="20"/>
          <w:szCs w:val="20"/>
        </w:rPr>
        <w:t xml:space="preserve">  </w:t>
      </w:r>
      <w:r w:rsidRPr="00D04298">
        <w:rPr>
          <w:rFonts w:ascii="Times" w:hAnsi="Times" w:eastAsia="Calibri"/>
          <w:sz w:val="20"/>
          <w:szCs w:val="20"/>
        </w:rPr>
        <w:t xml:space="preserve">The discussion does not purport to be a complete analysis of all of the potential United States federal income tax consequences relating to the purchase, ownership and disposition of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nor does this discussion address any state, local, foreign taxes, or federal estate or gift tax consequences.  Moreover, there can be no assurance that the IRS will not take a contrary view, and no ruling from the IRS has been, or is expected to be, sought on the issues discussed herein, potentially with retroactive effect.  Legislative, judicial, or administrative changes or interpretations may occur that could alter or modify the statements and conclusions set forth herein.  Any such changes or interpretations may or may not be retroactive and could adversely affect the tax consequences discussed below.  </w:t>
      </w:r>
      <w:r w:rsidRPr="00D04298">
        <w:rPr>
          <w:rFonts w:ascii="Times" w:hAnsi="Times" w:eastAsia="Calibri"/>
          <w:b/>
          <w:bCs/>
          <w:sz w:val="20"/>
          <w:szCs w:val="20"/>
        </w:rPr>
        <w:t xml:space="preserve">Interest on the </w:t>
      </w:r>
      <w:r w:rsidR="00C7294C">
        <w:rPr>
          <w:rFonts w:ascii="Times" w:hAnsi="Times" w:eastAsia="Calibri"/>
          <w:b/>
          <w:bCs/>
          <w:sz w:val="20"/>
          <w:szCs w:val="20"/>
        </w:rPr>
        <w:t>2024 Series C</w:t>
      </w:r>
      <w:r w:rsidR="00B4438E">
        <w:rPr>
          <w:rFonts w:ascii="Times" w:hAnsi="Times" w:eastAsia="Calibri"/>
          <w:b/>
          <w:bCs/>
          <w:sz w:val="20"/>
          <w:szCs w:val="20"/>
        </w:rPr>
        <w:t>-2 Bond</w:t>
      </w:r>
      <w:r w:rsidRPr="00D04298">
        <w:rPr>
          <w:rFonts w:ascii="Times" w:hAnsi="Times" w:eastAsia="Calibri"/>
          <w:b/>
          <w:bCs/>
          <w:sz w:val="20"/>
          <w:szCs w:val="20"/>
        </w:rPr>
        <w:t xml:space="preserve">s is not excludable from gross income </w:t>
      </w:r>
      <w:r w:rsidR="006E7E52">
        <w:rPr>
          <w:rFonts w:ascii="Times" w:hAnsi="Times" w:eastAsia="Calibri"/>
          <w:b/>
          <w:bCs/>
          <w:sz w:val="20"/>
          <w:szCs w:val="20"/>
        </w:rPr>
        <w:t>for</w:t>
      </w:r>
      <w:r w:rsidRPr="00D04298">
        <w:rPr>
          <w:rFonts w:ascii="Times" w:hAnsi="Times" w:eastAsia="Calibri"/>
          <w:b/>
          <w:bCs/>
          <w:sz w:val="20"/>
          <w:szCs w:val="20"/>
        </w:rPr>
        <w:t xml:space="preserve"> federal income tax purposes.</w:t>
      </w:r>
      <w:r w:rsidRPr="008B6A59" w:rsidR="00694D4E">
        <w:rPr>
          <w:rFonts w:ascii="Times" w:hAnsi="Times" w:eastAsia="Calibri"/>
          <w:sz w:val="20"/>
          <w:szCs w:val="20"/>
        </w:rPr>
        <w:t xml:space="preserve">  </w:t>
      </w:r>
    </w:p>
    <w:p w:rsidRPr="008B6A59" w:rsidR="00694D4E" w:rsidP="00694D4E" w:rsidRDefault="00D04298" w14:paraId="0296AFCA" w14:textId="6C767537">
      <w:pPr>
        <w:pStyle w:val="ParaNORMAL"/>
        <w:spacing w:before="240"/>
        <w:rPr>
          <w:rFonts w:ascii="Times" w:hAnsi="Times" w:eastAsia="Calibri"/>
          <w:sz w:val="20"/>
          <w:szCs w:val="20"/>
        </w:rPr>
      </w:pPr>
      <w:r w:rsidRPr="00D04298">
        <w:rPr>
          <w:rFonts w:ascii="Times" w:hAnsi="Times" w:eastAsia="Calibri"/>
          <w:sz w:val="20"/>
          <w:szCs w:val="20"/>
        </w:rPr>
        <w:t xml:space="preserve">The following is a summary of certain </w:t>
      </w:r>
      <w:r w:rsidR="006E7E52">
        <w:rPr>
          <w:rFonts w:ascii="Times" w:hAnsi="Times" w:eastAsia="Calibri"/>
          <w:sz w:val="20"/>
          <w:szCs w:val="20"/>
        </w:rPr>
        <w:t>anticipated</w:t>
      </w:r>
      <w:r w:rsidRPr="00D04298">
        <w:rPr>
          <w:rFonts w:ascii="Times" w:hAnsi="Times" w:eastAsia="Calibri"/>
          <w:sz w:val="20"/>
          <w:szCs w:val="20"/>
        </w:rPr>
        <w:t xml:space="preserve"> federal income tax consequences of holding and disposing of the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This summary is based upon laws, regulations, rulings and judicial decisions now in effect.  Legislative, judicial and administrative changes may occur, possibly with retroactive effect, that could alter or modify the continued validity of the statements and conclusions set forth herein.  This summary does not </w:t>
      </w:r>
      <w:r w:rsidR="006E7E52">
        <w:rPr>
          <w:rFonts w:ascii="Times" w:hAnsi="Times" w:eastAsia="Calibri"/>
          <w:sz w:val="20"/>
          <w:szCs w:val="20"/>
        </w:rPr>
        <w:t>purport to address</w:t>
      </w:r>
      <w:r w:rsidRPr="00D04298">
        <w:rPr>
          <w:rFonts w:ascii="Times" w:hAnsi="Times" w:eastAsia="Calibri"/>
          <w:sz w:val="20"/>
          <w:szCs w:val="20"/>
        </w:rPr>
        <w:t xml:space="preserve"> all aspects of federal income taxation that may be relevant to investors.  This summary is intended as a general explanatory discussion of the consequences of holding the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s generally and does not purport to furnish information in the level of detail or with the investor</w:t>
      </w:r>
      <w:r w:rsidR="00C34AEA">
        <w:rPr>
          <w:rFonts w:ascii="Times" w:hAnsi="Times" w:eastAsia="Calibri"/>
          <w:sz w:val="20"/>
          <w:szCs w:val="20"/>
        </w:rPr>
        <w:t>’</w:t>
      </w:r>
      <w:r w:rsidRPr="00D04298">
        <w:rPr>
          <w:rFonts w:ascii="Times" w:hAnsi="Times" w:eastAsia="Calibri"/>
          <w:sz w:val="20"/>
          <w:szCs w:val="20"/>
        </w:rPr>
        <w:t>s specific tax circumstances that would be provided by an investor</w:t>
      </w:r>
      <w:r w:rsidR="00C34AEA">
        <w:rPr>
          <w:rFonts w:ascii="Times" w:hAnsi="Times" w:eastAsia="Calibri"/>
          <w:sz w:val="20"/>
          <w:szCs w:val="20"/>
        </w:rPr>
        <w:t>’</w:t>
      </w:r>
      <w:r w:rsidRPr="00D04298">
        <w:rPr>
          <w:rFonts w:ascii="Times" w:hAnsi="Times" w:eastAsia="Calibri"/>
          <w:sz w:val="20"/>
          <w:szCs w:val="20"/>
        </w:rPr>
        <w:t xml:space="preserve">s own tax advisor.  For example, except as explicitly provided below, it generally is addressed only to original purchasers of the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that are </w:t>
      </w:r>
      <w:r w:rsidR="00C34AEA">
        <w:rPr>
          <w:rFonts w:ascii="Times" w:hAnsi="Times" w:eastAsia="Calibri"/>
          <w:sz w:val="20"/>
          <w:szCs w:val="20"/>
        </w:rPr>
        <w:t>“</w:t>
      </w:r>
      <w:r w:rsidRPr="00D04298">
        <w:rPr>
          <w:rFonts w:ascii="Times" w:hAnsi="Times" w:eastAsia="Calibri"/>
          <w:sz w:val="20"/>
          <w:szCs w:val="20"/>
        </w:rPr>
        <w:t>U.S. Holders</w:t>
      </w:r>
      <w:r w:rsidR="00C34AEA">
        <w:rPr>
          <w:rFonts w:ascii="Times" w:hAnsi="Times" w:eastAsia="Calibri"/>
          <w:sz w:val="20"/>
          <w:szCs w:val="20"/>
        </w:rPr>
        <w:t>”</w:t>
      </w:r>
      <w:r w:rsidRPr="00D04298">
        <w:rPr>
          <w:rFonts w:ascii="Times" w:hAnsi="Times" w:eastAsia="Calibri"/>
          <w:sz w:val="20"/>
          <w:szCs w:val="20"/>
        </w:rPr>
        <w:t xml:space="preserve"> (as defined below), deals only with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s held as capital assets within the meaning of Section 1221 of the Code and does not address tax consequences to holders that may be relevant to investors subject to special rules, such as individuals, trusts, estates, tax</w:t>
      </w:r>
      <w:r w:rsidRPr="00D04298">
        <w:rPr>
          <w:rFonts w:ascii="Times" w:hAnsi="Times" w:eastAsia="Calibri"/>
          <w:sz w:val="20"/>
          <w:szCs w:val="20"/>
        </w:rPr>
        <w:noBreakHyphen/>
        <w:t xml:space="preserve">exempt investors, cash method taxpayers, dealers in securities, currencies or commodities, banks, thrifts, insurance companies, electing large partnerships, mutual funds, regulated investment companies, real estate investment trusts, S corporations, persons that hold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as part of a straddle, hedge, integrated or conversion transaction, and persons whose </w:t>
      </w:r>
      <w:r w:rsidR="00C34AEA">
        <w:rPr>
          <w:rFonts w:ascii="Times" w:hAnsi="Times" w:eastAsia="Calibri"/>
          <w:sz w:val="20"/>
          <w:szCs w:val="20"/>
        </w:rPr>
        <w:t>“</w:t>
      </w:r>
      <w:r w:rsidRPr="00D04298">
        <w:rPr>
          <w:rFonts w:ascii="Times" w:hAnsi="Times" w:eastAsia="Calibri"/>
          <w:sz w:val="20"/>
          <w:szCs w:val="20"/>
        </w:rPr>
        <w:t>functional currency</w:t>
      </w:r>
      <w:r w:rsidR="00C34AEA">
        <w:rPr>
          <w:rFonts w:ascii="Times" w:hAnsi="Times" w:eastAsia="Calibri"/>
          <w:sz w:val="20"/>
          <w:szCs w:val="20"/>
        </w:rPr>
        <w:t>”</w:t>
      </w:r>
      <w:r w:rsidRPr="00D04298">
        <w:rPr>
          <w:rFonts w:ascii="Times" w:hAnsi="Times" w:eastAsia="Calibri"/>
          <w:sz w:val="20"/>
          <w:szCs w:val="20"/>
        </w:rPr>
        <w:t xml:space="preserve"> is not the U.S. dollar.  In addition, this summary does not address alternative minimum tax issues or the indirect consequences to a holder of an equity interest in a holder of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This summary was prepared in connection with the offering of the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s.  Each prospective investor should consult with its own tax advisor regarding the application of United States federal income tax laws, as well as any state, local, foreign or other tax laws, to such investor</w:t>
      </w:r>
      <w:r w:rsidR="00C34AEA">
        <w:rPr>
          <w:rFonts w:ascii="Times" w:hAnsi="Times" w:eastAsia="Calibri"/>
          <w:sz w:val="20"/>
          <w:szCs w:val="20"/>
        </w:rPr>
        <w:t>’</w:t>
      </w:r>
      <w:r w:rsidRPr="00D04298">
        <w:rPr>
          <w:rFonts w:ascii="Times" w:hAnsi="Times" w:eastAsia="Calibri"/>
          <w:sz w:val="20"/>
          <w:szCs w:val="20"/>
        </w:rPr>
        <w:t>s particular situation.</w:t>
      </w:r>
    </w:p>
    <w:p w:rsidRPr="008B6A59" w:rsidR="00694D4E" w:rsidP="00694D4E" w:rsidRDefault="00D04298" w14:paraId="69E29094" w14:textId="1386CAEC">
      <w:pPr>
        <w:pStyle w:val="ParaNORMAL"/>
        <w:spacing w:before="240"/>
        <w:rPr>
          <w:rFonts w:ascii="Times" w:hAnsi="Times"/>
          <w:color w:val="000000"/>
          <w:sz w:val="20"/>
          <w:szCs w:val="20"/>
        </w:rPr>
      </w:pPr>
      <w:r w:rsidRPr="00D04298">
        <w:rPr>
          <w:rFonts w:ascii="Times" w:hAnsi="Times" w:eastAsia="Calibri"/>
          <w:sz w:val="20"/>
          <w:szCs w:val="20"/>
        </w:rPr>
        <w:t xml:space="preserve">As used herein, a </w:t>
      </w:r>
      <w:r w:rsidR="00C34AEA">
        <w:rPr>
          <w:rFonts w:ascii="Times" w:hAnsi="Times" w:eastAsia="Calibri"/>
          <w:sz w:val="20"/>
          <w:szCs w:val="20"/>
        </w:rPr>
        <w:t>“</w:t>
      </w:r>
      <w:r w:rsidRPr="00D04298">
        <w:rPr>
          <w:rFonts w:ascii="Times" w:hAnsi="Times" w:eastAsia="Calibri"/>
          <w:sz w:val="20"/>
          <w:szCs w:val="20"/>
        </w:rPr>
        <w:t>U.S. Holder</w:t>
      </w:r>
      <w:r w:rsidR="00C34AEA">
        <w:rPr>
          <w:rFonts w:ascii="Times" w:hAnsi="Times" w:eastAsia="Calibri"/>
          <w:sz w:val="20"/>
          <w:szCs w:val="20"/>
        </w:rPr>
        <w:t>”</w:t>
      </w:r>
      <w:r w:rsidRPr="00D04298">
        <w:rPr>
          <w:rFonts w:ascii="Times" w:hAnsi="Times" w:eastAsia="Calibri"/>
          <w:sz w:val="20"/>
          <w:szCs w:val="20"/>
        </w:rPr>
        <w:t xml:space="preserve"> is a </w:t>
      </w:r>
      <w:r w:rsidR="00C34AEA">
        <w:rPr>
          <w:rFonts w:ascii="Times" w:hAnsi="Times" w:eastAsia="Calibri"/>
          <w:sz w:val="20"/>
          <w:szCs w:val="20"/>
        </w:rPr>
        <w:t>“</w:t>
      </w:r>
      <w:r w:rsidRPr="00D04298">
        <w:rPr>
          <w:rFonts w:ascii="Times" w:hAnsi="Times" w:eastAsia="Calibri"/>
          <w:sz w:val="20"/>
          <w:szCs w:val="20"/>
        </w:rPr>
        <w:t>U.S. person</w:t>
      </w:r>
      <w:r w:rsidR="00C34AEA">
        <w:rPr>
          <w:rFonts w:ascii="Times" w:hAnsi="Times" w:eastAsia="Calibri"/>
          <w:sz w:val="20"/>
          <w:szCs w:val="20"/>
        </w:rPr>
        <w:t>”</w:t>
      </w:r>
      <w:r w:rsidRPr="00D04298">
        <w:rPr>
          <w:rFonts w:ascii="Times" w:hAnsi="Times" w:eastAsia="Calibri"/>
          <w:sz w:val="20"/>
          <w:szCs w:val="20"/>
        </w:rPr>
        <w:t xml:space="preserve"> that is a beneficial owner of a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  A </w:t>
      </w:r>
      <w:r w:rsidR="00C34AEA">
        <w:rPr>
          <w:rFonts w:ascii="Times" w:hAnsi="Times" w:eastAsia="Calibri"/>
          <w:sz w:val="20"/>
          <w:szCs w:val="20"/>
        </w:rPr>
        <w:t>“</w:t>
      </w:r>
      <w:r w:rsidRPr="00D04298">
        <w:rPr>
          <w:rFonts w:ascii="Times" w:hAnsi="Times" w:eastAsia="Calibri"/>
          <w:sz w:val="20"/>
          <w:szCs w:val="20"/>
        </w:rPr>
        <w:t>Non</w:t>
      </w:r>
      <w:r w:rsidRPr="00D04298">
        <w:rPr>
          <w:rFonts w:ascii="Times" w:hAnsi="Times" w:eastAsia="Calibri"/>
          <w:sz w:val="20"/>
          <w:szCs w:val="20"/>
        </w:rPr>
        <w:noBreakHyphen/>
        <w:t>U.S. Holder</w:t>
      </w:r>
      <w:r w:rsidR="00C34AEA">
        <w:rPr>
          <w:rFonts w:ascii="Times" w:hAnsi="Times" w:eastAsia="Calibri"/>
          <w:sz w:val="20"/>
          <w:szCs w:val="20"/>
        </w:rPr>
        <w:t>”</w:t>
      </w:r>
      <w:r w:rsidRPr="00D04298">
        <w:rPr>
          <w:rFonts w:ascii="Times" w:hAnsi="Times" w:eastAsia="Calibri"/>
          <w:sz w:val="20"/>
          <w:szCs w:val="20"/>
        </w:rPr>
        <w:t xml:space="preserve"> is a holder (or beneficial owner) of a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 that is not a U.S. Person.  For these purposes, a </w:t>
      </w:r>
      <w:r w:rsidR="00C34AEA">
        <w:rPr>
          <w:rFonts w:ascii="Times" w:hAnsi="Times" w:eastAsia="Calibri"/>
          <w:sz w:val="20"/>
          <w:szCs w:val="20"/>
        </w:rPr>
        <w:t>“</w:t>
      </w:r>
      <w:r w:rsidRPr="00D04298">
        <w:rPr>
          <w:rFonts w:ascii="Times" w:hAnsi="Times" w:eastAsia="Calibri"/>
          <w:sz w:val="20"/>
          <w:szCs w:val="20"/>
        </w:rPr>
        <w:t>U.S. person</w:t>
      </w:r>
      <w:r w:rsidR="00C34AEA">
        <w:rPr>
          <w:rFonts w:ascii="Times" w:hAnsi="Times" w:eastAsia="Calibri"/>
          <w:sz w:val="20"/>
          <w:szCs w:val="20"/>
        </w:rPr>
        <w:t>”</w:t>
      </w:r>
      <w:r w:rsidRPr="00D04298">
        <w:rPr>
          <w:rFonts w:ascii="Times" w:hAnsi="Times" w:eastAsia="Calibri"/>
          <w:sz w:val="20"/>
          <w:szCs w:val="20"/>
        </w:rPr>
        <w:t xml:space="preserve"> is a citizen or resident of the United States, a corporation or partnership created or organized in or under the laws of the United States or any political subdivision thereof (except, in the case of a partnership, to the extent otherwise provided in Treasury regulations), an estate the income of which is subject to United States federal income taxation regardless of its source or a trust if (i) a United States court is able to exercise primary supervision over the trust</w:t>
      </w:r>
      <w:r w:rsidR="00C34AEA">
        <w:rPr>
          <w:rFonts w:ascii="Times" w:hAnsi="Times" w:eastAsia="Calibri"/>
          <w:sz w:val="20"/>
          <w:szCs w:val="20"/>
        </w:rPr>
        <w:t>’</w:t>
      </w:r>
      <w:r w:rsidRPr="00D04298">
        <w:rPr>
          <w:rFonts w:ascii="Times" w:hAnsi="Times" w:eastAsia="Calibri"/>
          <w:sz w:val="20"/>
          <w:szCs w:val="20"/>
        </w:rPr>
        <w:t>s administration and (ii) one or more United States persons have the authority to control all of the trust</w:t>
      </w:r>
      <w:r w:rsidR="00C34AEA">
        <w:rPr>
          <w:rFonts w:ascii="Times" w:hAnsi="Times" w:eastAsia="Calibri"/>
          <w:sz w:val="20"/>
          <w:szCs w:val="20"/>
        </w:rPr>
        <w:t>’</w:t>
      </w:r>
      <w:r w:rsidRPr="00D04298">
        <w:rPr>
          <w:rFonts w:ascii="Times" w:hAnsi="Times" w:eastAsia="Calibri"/>
          <w:sz w:val="20"/>
          <w:szCs w:val="20"/>
        </w:rPr>
        <w:t xml:space="preserve">s substantial decisions.  If a partnership (or an entity taxable as a partnership) holds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the United States federal income tax treatment of a partner generally will depend upon the status of the partner and the tax status of the partnership.  Partners of partnerships holding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 xml:space="preserve">s should consult their own tax advisors with regard to the U.S. federal income tax treatment of the purchase, ownership and disposition of the </w:t>
      </w:r>
      <w:r w:rsidR="00C7294C">
        <w:rPr>
          <w:rFonts w:ascii="Times" w:hAnsi="Times" w:eastAsia="Calibri"/>
          <w:sz w:val="20"/>
          <w:szCs w:val="20"/>
        </w:rPr>
        <w:t>2024 Series C</w:t>
      </w:r>
      <w:r w:rsidR="00B4438E">
        <w:rPr>
          <w:rFonts w:ascii="Times" w:hAnsi="Times" w:eastAsia="Calibri"/>
          <w:sz w:val="20"/>
          <w:szCs w:val="20"/>
        </w:rPr>
        <w:t>-2 Bond</w:t>
      </w:r>
      <w:r w:rsidRPr="00D04298">
        <w:rPr>
          <w:rFonts w:ascii="Times" w:hAnsi="Times" w:eastAsia="Calibri"/>
          <w:sz w:val="20"/>
          <w:szCs w:val="20"/>
        </w:rPr>
        <w:t>s.</w:t>
      </w:r>
    </w:p>
    <w:p w:rsidRPr="00D04298" w:rsidR="00D04298" w:rsidP="00D04298" w:rsidRDefault="00D04298" w14:paraId="55F4CD91" w14:textId="2CB148A9">
      <w:pPr>
        <w:spacing w:before="240"/>
        <w:ind w:firstLine="720"/>
        <w:rPr>
          <w:rFonts w:ascii="Times" w:hAnsi="Times" w:eastAsia="Calibri"/>
        </w:rPr>
      </w:pPr>
      <w:r w:rsidRPr="00D04298">
        <w:rPr>
          <w:rFonts w:ascii="Times" w:hAnsi="Times" w:eastAsia="Calibri"/>
        </w:rPr>
        <w:t xml:space="preserve">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s will be treated, for federal income tax purposes, as a debt instrument.  Accordingly, interest will be included in the income of the holder as it is paid (or, if the holder is an accrual method taxpayer, as it is accrued) as interest.</w:t>
      </w:r>
    </w:p>
    <w:p w:rsidRPr="00D04298" w:rsidR="00D04298" w:rsidP="00D04298" w:rsidRDefault="00D04298" w14:paraId="2B7F0559" w14:textId="524FC617">
      <w:pPr>
        <w:spacing w:before="240"/>
        <w:ind w:firstLine="720"/>
        <w:rPr>
          <w:rFonts w:ascii="Times" w:hAnsi="Times" w:eastAsia="Calibri"/>
        </w:rPr>
      </w:pPr>
      <w:r w:rsidRPr="00D04298">
        <w:rPr>
          <w:rFonts w:ascii="Times" w:hAnsi="Times" w:eastAsia="Calibri"/>
        </w:rPr>
        <w:lastRenderedPageBreak/>
        <w:t xml:space="preserve">If the excess of the stated redemption price at maturity of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over its </w:t>
      </w:r>
      <w:r w:rsidR="00C34AEA">
        <w:rPr>
          <w:rFonts w:ascii="Times" w:hAnsi="Times" w:eastAsia="Calibri"/>
        </w:rPr>
        <w:t>“</w:t>
      </w:r>
      <w:r w:rsidRPr="00D04298">
        <w:rPr>
          <w:rFonts w:ascii="Times" w:hAnsi="Times" w:eastAsia="Calibri"/>
        </w:rPr>
        <w:t>issue price</w:t>
      </w:r>
      <w:r w:rsidR="00C34AEA">
        <w:rPr>
          <w:rFonts w:ascii="Times" w:hAnsi="Times" w:eastAsia="Calibri"/>
        </w:rPr>
        <w:t>”</w:t>
      </w:r>
      <w:r w:rsidRPr="00D04298">
        <w:rPr>
          <w:rFonts w:ascii="Times" w:hAnsi="Times" w:eastAsia="Calibri"/>
        </w:rPr>
        <w:t xml:space="preserve"> exceeds a specified de minimis amount (generally equal to 0.25% of the stated redemption price at maturity multiplied by the number of complete years to maturity), the excess is treated as original issue discount (</w:t>
      </w:r>
      <w:r w:rsidR="00C34AEA">
        <w:rPr>
          <w:rFonts w:ascii="Times" w:hAnsi="Times" w:eastAsia="Calibri"/>
          <w:i/>
        </w:rPr>
        <w:t>“</w:t>
      </w:r>
      <w:r w:rsidRPr="00D04298">
        <w:rPr>
          <w:rFonts w:ascii="Times" w:hAnsi="Times" w:eastAsia="Calibri"/>
          <w:i/>
        </w:rPr>
        <w:t>OID</w:t>
      </w:r>
      <w:r w:rsidR="00C34AEA">
        <w:rPr>
          <w:rFonts w:ascii="Times" w:hAnsi="Times" w:eastAsia="Calibri"/>
          <w:i/>
        </w:rPr>
        <w:t>”</w:t>
      </w:r>
      <w:r w:rsidRPr="00D04298">
        <w:rPr>
          <w:rFonts w:ascii="Times" w:hAnsi="Times" w:eastAsia="Calibri"/>
        </w:rPr>
        <w:t xml:space="preserve">).  The issue price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s is the first price at which a substantial amount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s is sold to the public.  The issue price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s is expected to be the amount set forth on the inside cover pages of this Official Statement but is subject to change based on actual sales.</w:t>
      </w:r>
    </w:p>
    <w:p w:rsidRPr="00D04298" w:rsidR="00D04298" w:rsidP="00D04298" w:rsidRDefault="00D04298" w14:paraId="42FD00B9" w14:textId="17CB0A79">
      <w:pPr>
        <w:spacing w:before="240"/>
        <w:ind w:firstLine="720"/>
        <w:rPr>
          <w:rFonts w:ascii="Times" w:hAnsi="Times" w:eastAsia="Calibri"/>
        </w:rPr>
      </w:pPr>
      <w:r w:rsidRPr="00D04298">
        <w:rPr>
          <w:rFonts w:ascii="Times" w:hAnsi="Times" w:eastAsia="Calibri"/>
        </w:rPr>
        <w:t xml:space="preserve">With respect to a U.S. Holder that purchases in the initial offering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issued with OID, the amount of OID that accrues during any accrual period equals (i) the </w:t>
      </w:r>
      <w:r w:rsidR="00C34AEA">
        <w:rPr>
          <w:rFonts w:ascii="Times" w:hAnsi="Times" w:eastAsia="Calibri"/>
        </w:rPr>
        <w:t>“</w:t>
      </w:r>
      <w:r w:rsidRPr="00D04298">
        <w:rPr>
          <w:rFonts w:ascii="Times" w:hAnsi="Times" w:eastAsia="Calibri"/>
        </w:rPr>
        <w:t>adjusted issue price</w:t>
      </w:r>
      <w:r w:rsidR="00C34AEA">
        <w:rPr>
          <w:rFonts w:ascii="Times" w:hAnsi="Times" w:eastAsia="Calibri"/>
        </w:rPr>
        <w:t>”</w:t>
      </w:r>
      <w:r w:rsidRPr="00D04298">
        <w:rPr>
          <w:rFonts w:ascii="Times" w:hAnsi="Times" w:eastAsia="Calibri"/>
        </w:rPr>
        <w:t xml:space="preserve"> of the Bond at the </w:t>
      </w:r>
      <w:bookmarkStart w:name="ElPgBr55" w:id="729"/>
      <w:bookmarkEnd w:id="729"/>
      <w:r w:rsidRPr="00D04298">
        <w:rPr>
          <w:rFonts w:ascii="Times" w:hAnsi="Times" w:eastAsia="Calibri"/>
        </w:rPr>
        <w:t xml:space="preserve">beginning of the accrual period (which price equals the issue price of such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plus the amount of OID that has accrued on a constant</w:t>
      </w:r>
      <w:r w:rsidRPr="00D04298">
        <w:rPr>
          <w:rFonts w:ascii="Times" w:hAnsi="Times" w:eastAsia="Calibri"/>
        </w:rPr>
        <w:noBreakHyphen/>
        <w:t xml:space="preserve">yield basis in all prior accrual periods minus the amount of any payments, other than </w:t>
      </w:r>
      <w:r w:rsidR="00C34AEA">
        <w:rPr>
          <w:rFonts w:ascii="Times" w:hAnsi="Times" w:eastAsia="Calibri"/>
        </w:rPr>
        <w:t>“</w:t>
      </w:r>
      <w:r w:rsidRPr="00D04298">
        <w:rPr>
          <w:rFonts w:ascii="Times" w:hAnsi="Times" w:eastAsia="Calibri"/>
        </w:rPr>
        <w:t>qualified stated interest,</w:t>
      </w:r>
      <w:r w:rsidR="00C34AEA">
        <w:rPr>
          <w:rFonts w:ascii="Times" w:hAnsi="Times" w:eastAsia="Calibri"/>
        </w:rPr>
        <w:t>”</w:t>
      </w:r>
      <w:r w:rsidRPr="00D04298">
        <w:rPr>
          <w:rFonts w:ascii="Times" w:hAnsi="Times" w:eastAsia="Calibri"/>
        </w:rPr>
        <w:t xml:space="preserve"> received on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in prior accrual periods) multiplied by (ii) the yield to maturity of such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(determined on the basis of compounding at the close of each accrual period and properly adjusted for the length of each accrual period) less (iii) any qualified stated interest payable on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during such accrual period.  The amount of OID so accrued in a particular accrual period will be considered to be received ratably on each day of the accrual period.</w:t>
      </w:r>
    </w:p>
    <w:p w:rsidRPr="00D04298" w:rsidR="00D04298" w:rsidP="00D04298" w:rsidRDefault="00D04298" w14:paraId="7F11876E" w14:textId="5CD23D23">
      <w:pPr>
        <w:spacing w:before="240"/>
        <w:ind w:firstLine="720"/>
        <w:rPr>
          <w:rFonts w:ascii="Times" w:hAnsi="Times" w:eastAsia="Calibri"/>
        </w:rPr>
      </w:pPr>
      <w:r w:rsidRPr="00D04298">
        <w:rPr>
          <w:rFonts w:ascii="Times" w:hAnsi="Times" w:eastAsia="Calibri"/>
        </w:rPr>
        <w:t xml:space="preserve">A U.S. Holder of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issued with OID must include in gross income for federal income tax purposes the amount of OID accrued with respect to each day during the taxable year that the U.S. Holder owns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Such an inclusion in advance of receipt of the cash attributable to the income is required even if the U.S. Holder is on the cash method of accounting for United States federal income tax purposes.  The amount of OID that is includible in a U.S. Holder</w:t>
      </w:r>
      <w:r w:rsidR="00C34AEA">
        <w:rPr>
          <w:rFonts w:ascii="Times" w:hAnsi="Times" w:eastAsia="Calibri"/>
        </w:rPr>
        <w:t>’</w:t>
      </w:r>
      <w:r w:rsidRPr="00D04298">
        <w:rPr>
          <w:rFonts w:ascii="Times" w:hAnsi="Times" w:eastAsia="Calibri"/>
        </w:rPr>
        <w:t>s gross income will increase the U.S. Holder</w:t>
      </w:r>
      <w:r w:rsidR="00C34AEA">
        <w:rPr>
          <w:rFonts w:ascii="Times" w:hAnsi="Times" w:eastAsia="Calibri"/>
        </w:rPr>
        <w:t>’</w:t>
      </w:r>
      <w:r w:rsidRPr="00D04298">
        <w:rPr>
          <w:rFonts w:ascii="Times" w:hAnsi="Times" w:eastAsia="Calibri"/>
        </w:rPr>
        <w:t xml:space="preserve">s tax basis in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The adjusted tax basis in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will be used to determine taxable gain or loss upon a disposition (for example, upon a sale or retirement)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w:t>
      </w:r>
    </w:p>
    <w:p w:rsidRPr="00D04298" w:rsidR="00D04298" w:rsidP="00D04298" w:rsidRDefault="00D04298" w14:paraId="5E857913" w14:textId="6CAE17B3">
      <w:pPr>
        <w:spacing w:before="240"/>
        <w:ind w:firstLine="720"/>
        <w:rPr>
          <w:rFonts w:ascii="Times" w:hAnsi="Times" w:eastAsia="Calibri"/>
        </w:rPr>
      </w:pPr>
      <w:r w:rsidRPr="00D04298">
        <w:rPr>
          <w:rFonts w:ascii="Times" w:hAnsi="Times" w:eastAsia="Calibri"/>
        </w:rPr>
        <w:t xml:space="preserve">A holder of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who purchases such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at a cost that exceeds the stated principal amount of such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will have amortizable bond premium equal to such excess.  If the holder elects to amortize the bond premium, such election will apply to all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s held by the holder on the first day of the taxable year to which the election applies, and to all </w:t>
      </w:r>
      <w:r w:rsidR="00C7294C">
        <w:rPr>
          <w:rFonts w:ascii="Times" w:hAnsi="Times" w:eastAsia="Calibri"/>
        </w:rPr>
        <w:t>2024 Series C</w:t>
      </w:r>
      <w:r w:rsidR="00B4438E">
        <w:rPr>
          <w:rFonts w:ascii="Times" w:hAnsi="Times" w:eastAsia="Calibri"/>
        </w:rPr>
        <w:t>-2 Bond</w:t>
      </w:r>
      <w:r w:rsidRPr="00D04298">
        <w:rPr>
          <w:rFonts w:ascii="Times" w:hAnsi="Times" w:eastAsia="Calibri"/>
        </w:rPr>
        <w:t>s thereafter acquired by the holder.  The premium must be amortized using constant yield principles based on the purchaser</w:t>
      </w:r>
      <w:r w:rsidR="00C34AEA">
        <w:rPr>
          <w:rFonts w:ascii="Times" w:hAnsi="Times" w:eastAsia="Calibri"/>
        </w:rPr>
        <w:t>’</w:t>
      </w:r>
      <w:r w:rsidRPr="00D04298">
        <w:rPr>
          <w:rFonts w:ascii="Times" w:hAnsi="Times" w:eastAsia="Calibri"/>
        </w:rPr>
        <w:t xml:space="preserve">s yield to maturity.  Amortizable bond premium is generally treated as an offset to interest income, but a reduction in basis is required for amortizable bond premium even though such premium is applied to reduce interest payments.  Bond premium on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held by a holder that has not elected to amortize bond premium will decrease the gain or loss otherwise recognized on the disposition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w:t>
      </w:r>
    </w:p>
    <w:p w:rsidRPr="008B6A59" w:rsidR="00694D4E" w:rsidP="00D04298" w:rsidRDefault="00D04298" w14:paraId="4E51790A" w14:textId="3380AEC9">
      <w:pPr>
        <w:spacing w:before="240"/>
        <w:ind w:firstLine="720"/>
        <w:rPr>
          <w:rFonts w:ascii="Times" w:hAnsi="Times" w:eastAsia="Calibri"/>
        </w:rPr>
      </w:pPr>
      <w:r w:rsidRPr="00D04298">
        <w:rPr>
          <w:rFonts w:ascii="Times" w:hAnsi="Times" w:eastAsia="Calibri"/>
        </w:rPr>
        <w:t xml:space="preserve">If a holder purchases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s after the initial offering for an amount that is less than the principal amount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s, and such difference is not considered to be de minimis, then such discount will represent market discount that ultimately will constitute ordinary income (and not capital gain).  Further, absent an election to accrue market discount currently, upon a sale or exchange of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a portion of any gain will be ordinary income to the extent it represents the amount of any such market discount that was accrued through the date of sale.  In addition, absent an election to accrue market discount currently, the portion of any interest expense incurred or continued to carry a market discount Bond that does not exceed the accrued market discount for any taxable year, will be deferred.</w:t>
      </w:r>
    </w:p>
    <w:p w:rsidRPr="008B6A59" w:rsidR="00694D4E" w:rsidP="00694D4E" w:rsidRDefault="00694D4E" w14:paraId="269D5179" w14:textId="77777777">
      <w:pPr>
        <w:keepNext/>
        <w:numPr>
          <w:ilvl w:val="1"/>
          <w:numId w:val="0"/>
        </w:numPr>
        <w:spacing w:before="240"/>
        <w:outlineLvl w:val="1"/>
        <w:rPr>
          <w:rFonts w:ascii="Times" w:hAnsi="Times"/>
          <w:b/>
          <w:bCs/>
          <w:iCs/>
        </w:rPr>
      </w:pPr>
      <w:bookmarkStart w:name="_Toc100923498" w:id="730"/>
      <w:r w:rsidRPr="008B6A59">
        <w:rPr>
          <w:rFonts w:ascii="Times" w:hAnsi="Times"/>
          <w:b/>
          <w:bCs/>
          <w:iCs/>
        </w:rPr>
        <w:t>Medicare Tax</w:t>
      </w:r>
      <w:bookmarkEnd w:id="730"/>
    </w:p>
    <w:p w:rsidRPr="008B6A59" w:rsidR="00694D4E" w:rsidP="00694D4E" w:rsidRDefault="006E7E52" w14:paraId="7C4B4474" w14:textId="3124503E">
      <w:pPr>
        <w:spacing w:before="240"/>
        <w:ind w:firstLine="720"/>
        <w:rPr>
          <w:rFonts w:ascii="Times" w:hAnsi="Times" w:eastAsia="Calibri"/>
        </w:rPr>
      </w:pPr>
      <w:r>
        <w:rPr>
          <w:rFonts w:ascii="Times" w:hAnsi="Times" w:eastAsia="Calibri"/>
        </w:rPr>
        <w:t>An additional</w:t>
      </w:r>
      <w:r w:rsidRPr="00D04298" w:rsidR="00D04298">
        <w:rPr>
          <w:rFonts w:ascii="Times" w:hAnsi="Times" w:eastAsia="Calibri"/>
        </w:rPr>
        <w:t xml:space="preserve"> tax will be imposed on the net investment income (which includes interest, original issue discount and gains from a disposition of a </w:t>
      </w:r>
      <w:r w:rsidR="00C7294C">
        <w:rPr>
          <w:rFonts w:ascii="Times" w:hAnsi="Times" w:eastAsia="Calibri"/>
        </w:rPr>
        <w:t>2024 Series C</w:t>
      </w:r>
      <w:r w:rsidR="00B4438E">
        <w:rPr>
          <w:rFonts w:ascii="Times" w:hAnsi="Times" w:eastAsia="Calibri"/>
        </w:rPr>
        <w:t>-2 Bond</w:t>
      </w:r>
      <w:r w:rsidRPr="00D04298" w:rsidR="00D04298">
        <w:rPr>
          <w:rFonts w:ascii="Times" w:hAnsi="Times" w:eastAsia="Calibri"/>
        </w:rPr>
        <w:t xml:space="preserve">) of certain individuals, trusts and estates.  Prospective investors in the </w:t>
      </w:r>
      <w:r w:rsidR="00C7294C">
        <w:rPr>
          <w:rFonts w:ascii="Times" w:hAnsi="Times" w:eastAsia="Calibri"/>
        </w:rPr>
        <w:t>2024 Series C</w:t>
      </w:r>
      <w:r w:rsidR="00B4438E">
        <w:rPr>
          <w:rFonts w:ascii="Times" w:hAnsi="Times" w:eastAsia="Calibri"/>
        </w:rPr>
        <w:t>-2 Bond</w:t>
      </w:r>
      <w:r w:rsidRPr="00D04298" w:rsidR="00D04298">
        <w:rPr>
          <w:rFonts w:ascii="Times" w:hAnsi="Times" w:eastAsia="Calibri"/>
        </w:rPr>
        <w:t xml:space="preserve">s should consult their tax advisors regarding the possible applicability of this tax to an investment in the </w:t>
      </w:r>
      <w:r w:rsidR="00C7294C">
        <w:rPr>
          <w:rFonts w:ascii="Times" w:hAnsi="Times" w:eastAsia="Calibri"/>
        </w:rPr>
        <w:t>2024 Series C</w:t>
      </w:r>
      <w:r w:rsidR="00B4438E">
        <w:rPr>
          <w:rFonts w:ascii="Times" w:hAnsi="Times" w:eastAsia="Calibri"/>
        </w:rPr>
        <w:t>-2 Bond</w:t>
      </w:r>
      <w:r w:rsidRPr="00D04298" w:rsidR="00D04298">
        <w:rPr>
          <w:rFonts w:ascii="Times" w:hAnsi="Times" w:eastAsia="Calibri"/>
        </w:rPr>
        <w:t>s.</w:t>
      </w:r>
    </w:p>
    <w:p w:rsidRPr="008B6A59" w:rsidR="00694D4E" w:rsidP="00694D4E" w:rsidRDefault="00694D4E" w14:paraId="6E8E0A80" w14:textId="4EA675C0">
      <w:pPr>
        <w:keepNext/>
        <w:numPr>
          <w:ilvl w:val="1"/>
          <w:numId w:val="0"/>
        </w:numPr>
        <w:spacing w:before="240"/>
        <w:outlineLvl w:val="1"/>
        <w:rPr>
          <w:rFonts w:ascii="Times" w:hAnsi="Times"/>
          <w:b/>
          <w:bCs/>
          <w:iCs/>
        </w:rPr>
      </w:pPr>
      <w:bookmarkStart w:name="_Toc100923499" w:id="731"/>
      <w:r w:rsidRPr="008B6A59">
        <w:rPr>
          <w:rFonts w:ascii="Times" w:hAnsi="Times"/>
          <w:b/>
          <w:bCs/>
          <w:iCs/>
        </w:rPr>
        <w:t xml:space="preserve">Sale </w:t>
      </w:r>
      <w:r w:rsidR="006E7E52">
        <w:rPr>
          <w:rFonts w:ascii="Times" w:hAnsi="Times"/>
          <w:b/>
          <w:bCs/>
          <w:iCs/>
        </w:rPr>
        <w:t>or Other Disposition</w:t>
      </w:r>
      <w:r w:rsidRPr="008B6A59">
        <w:rPr>
          <w:rFonts w:ascii="Times" w:hAnsi="Times"/>
          <w:b/>
          <w:bCs/>
          <w:iCs/>
        </w:rPr>
        <w:t xml:space="preserve"> of a </w:t>
      </w:r>
      <w:r w:rsidR="00C7294C">
        <w:rPr>
          <w:rFonts w:ascii="Times" w:hAnsi="Times"/>
          <w:b/>
          <w:bCs/>
          <w:iCs/>
        </w:rPr>
        <w:t>2024 Series C</w:t>
      </w:r>
      <w:r w:rsidR="00B4438E">
        <w:rPr>
          <w:rFonts w:ascii="Times" w:hAnsi="Times"/>
          <w:b/>
          <w:bCs/>
          <w:iCs/>
        </w:rPr>
        <w:t>-2 Bond</w:t>
      </w:r>
      <w:r w:rsidRPr="008B6A59">
        <w:rPr>
          <w:rFonts w:ascii="Times" w:hAnsi="Times"/>
          <w:b/>
          <w:bCs/>
          <w:iCs/>
        </w:rPr>
        <w:t>; Defeasance</w:t>
      </w:r>
      <w:bookmarkEnd w:id="731"/>
    </w:p>
    <w:p w:rsidRPr="00D04298" w:rsidR="00D04298" w:rsidP="00D04298" w:rsidRDefault="00D04298" w14:paraId="2EA4204B" w14:textId="22B1036A">
      <w:pPr>
        <w:spacing w:before="240"/>
        <w:ind w:firstLine="720"/>
        <w:rPr>
          <w:rFonts w:ascii="Times" w:hAnsi="Times" w:eastAsia="Calibri"/>
        </w:rPr>
      </w:pPr>
      <w:r w:rsidRPr="00D04298">
        <w:rPr>
          <w:rFonts w:ascii="Times" w:hAnsi="Times" w:eastAsia="Calibri"/>
        </w:rPr>
        <w:t xml:space="preserve">Upon a sale or exchange of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a holder generally will recognize gain or loss on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s equal to the difference between the amount realized on the sale and its adjusted tax basis in such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Such gain or loss generally will be capital gain (although any gain attributable to accrued market discount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not yet taken into income will be ordinary) if the holder holds a </w:t>
      </w:r>
      <w:r w:rsidR="00C7294C">
        <w:rPr>
          <w:rFonts w:ascii="Times" w:hAnsi="Times" w:eastAsia="Calibri"/>
        </w:rPr>
        <w:t xml:space="preserve">2024 </w:t>
      </w:r>
      <w:r w:rsidR="00C7294C">
        <w:rPr>
          <w:rFonts w:ascii="Times" w:hAnsi="Times" w:eastAsia="Calibri"/>
        </w:rPr>
        <w:lastRenderedPageBreak/>
        <w:t>Series C</w:t>
      </w:r>
      <w:r w:rsidR="00B4438E">
        <w:rPr>
          <w:rFonts w:ascii="Times" w:hAnsi="Times" w:eastAsia="Calibri"/>
        </w:rPr>
        <w:t>-2 Bond</w:t>
      </w:r>
      <w:r w:rsidRPr="00D04298">
        <w:rPr>
          <w:rFonts w:ascii="Times" w:hAnsi="Times" w:eastAsia="Calibri"/>
        </w:rPr>
        <w:t xml:space="preserve"> as a capital asset.  The adjusted basis of the holder in a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(without OID) will (in general) equal its original purchase price and decreased by any payments received on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In general, if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is held for longer than one year, any gain or loss would be long term capital gain or loss, and capital losses are subject to certain limitations.</w:t>
      </w:r>
    </w:p>
    <w:p w:rsidRPr="008B6A59" w:rsidR="00694D4E" w:rsidP="00D04298" w:rsidRDefault="00D04298" w14:paraId="5E189530" w14:textId="2D3CCC5E">
      <w:pPr>
        <w:spacing w:before="240"/>
        <w:ind w:firstLine="720"/>
        <w:rPr>
          <w:rFonts w:ascii="Times" w:hAnsi="Times" w:eastAsia="Calibri"/>
        </w:rPr>
      </w:pPr>
      <w:r w:rsidRPr="00D04298">
        <w:rPr>
          <w:rFonts w:ascii="Times" w:hAnsi="Times" w:eastAsia="Calibri"/>
        </w:rPr>
        <w:t xml:space="preserve">If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s are legally defeased, under current tax law a holder will be deemed to have sold or exchanged such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In the event of such a legal defeasance, a holder generally will recognize gain or loss on the deemed exchange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  Ownership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 xml:space="preserve">s after a deemed sale or exchange as a result of a legal defeasance may have tax consequences different than those described </w:t>
      </w:r>
      <w:bookmarkStart w:name="ElPgBr56" w:id="732"/>
      <w:bookmarkEnd w:id="732"/>
      <w:r w:rsidRPr="00D04298">
        <w:rPr>
          <w:rFonts w:ascii="Times" w:hAnsi="Times" w:eastAsia="Calibri"/>
        </w:rPr>
        <w:t xml:space="preserve">in this </w:t>
      </w:r>
      <w:r w:rsidR="00C34AEA">
        <w:rPr>
          <w:rFonts w:ascii="Times" w:hAnsi="Times" w:eastAsia="Calibri"/>
        </w:rPr>
        <w:t>“</w:t>
      </w:r>
      <w:r w:rsidRPr="00D04298" w:rsidR="007C455B">
        <w:rPr>
          <w:rFonts w:ascii="Times" w:hAnsi="Times" w:eastAsia="Calibri"/>
        </w:rPr>
        <w:t>TAX MATTERS</w:t>
      </w:r>
      <w:r w:rsidR="00C34AEA">
        <w:rPr>
          <w:rFonts w:ascii="Times" w:hAnsi="Times" w:eastAsia="Calibri"/>
        </w:rPr>
        <w:t>”</w:t>
      </w:r>
      <w:r w:rsidRPr="00D04298">
        <w:rPr>
          <w:rFonts w:ascii="Times" w:hAnsi="Times" w:eastAsia="Calibri"/>
        </w:rPr>
        <w:t xml:space="preserve"> section and each holder should consult its own tax advisor regarding the consequences to such holder of a legal defeasance of the </w:t>
      </w:r>
      <w:r w:rsidR="00C7294C">
        <w:rPr>
          <w:rFonts w:ascii="Times" w:hAnsi="Times" w:eastAsia="Calibri"/>
        </w:rPr>
        <w:t>2024 Series C</w:t>
      </w:r>
      <w:r w:rsidR="00B4438E">
        <w:rPr>
          <w:rFonts w:ascii="Times" w:hAnsi="Times" w:eastAsia="Calibri"/>
        </w:rPr>
        <w:t>-2 Bond</w:t>
      </w:r>
      <w:r w:rsidRPr="00D04298">
        <w:rPr>
          <w:rFonts w:ascii="Times" w:hAnsi="Times" w:eastAsia="Calibri"/>
        </w:rPr>
        <w:t>s.</w:t>
      </w:r>
    </w:p>
    <w:p w:rsidRPr="008B6A59" w:rsidR="00694D4E" w:rsidP="00694D4E" w:rsidRDefault="00694D4E" w14:paraId="7020350A" w14:textId="77777777">
      <w:pPr>
        <w:keepNext/>
        <w:numPr>
          <w:ilvl w:val="1"/>
          <w:numId w:val="0"/>
        </w:numPr>
        <w:spacing w:before="240"/>
        <w:outlineLvl w:val="1"/>
        <w:rPr>
          <w:rFonts w:ascii="Times" w:hAnsi="Times"/>
          <w:b/>
          <w:bCs/>
          <w:iCs/>
        </w:rPr>
      </w:pPr>
      <w:bookmarkStart w:name="_Toc100923500" w:id="733"/>
      <w:r w:rsidRPr="008B6A59">
        <w:rPr>
          <w:rFonts w:ascii="Times" w:hAnsi="Times"/>
          <w:b/>
          <w:bCs/>
          <w:iCs/>
        </w:rPr>
        <w:t>Backup Withholding</w:t>
      </w:r>
      <w:bookmarkEnd w:id="733"/>
    </w:p>
    <w:p w:rsidRPr="008B6A59" w:rsidR="00694D4E" w:rsidP="00694D4E" w:rsidRDefault="00A20CFC" w14:paraId="1E9FC256" w14:textId="60565832">
      <w:pPr>
        <w:spacing w:before="240"/>
        <w:ind w:firstLine="720"/>
        <w:rPr>
          <w:rFonts w:ascii="Times" w:hAnsi="Times" w:eastAsia="Calibri"/>
        </w:rPr>
      </w:pPr>
      <w:r w:rsidRPr="00A20CFC">
        <w:rPr>
          <w:rFonts w:ascii="Times" w:hAnsi="Times" w:eastAsia="Calibri"/>
        </w:rPr>
        <w:t>The Trustee must report annually to the IRS and to each U.S. Holder any interest that is payable to the U.S. Holder, subject to certain exceptions.  Backup withholding is not an additional tax.  The amount of any backup withholding from a payment to a U.S. Holder will be allowed as a credit against the U.S. Holder</w:t>
      </w:r>
      <w:r w:rsidR="00C34AEA">
        <w:rPr>
          <w:rFonts w:ascii="Times" w:hAnsi="Times" w:eastAsia="Calibri"/>
        </w:rPr>
        <w:t>’</w:t>
      </w:r>
      <w:r w:rsidRPr="00A20CFC">
        <w:rPr>
          <w:rFonts w:ascii="Times" w:hAnsi="Times" w:eastAsia="Calibri"/>
        </w:rPr>
        <w:t>s federal income tax liability and may entitle the owner to a refund, provided that the required information is timely furnished to the IRS.  U.S. Holders should consult their tax advisors concerning the application of information reporting and backup withholding rules.</w:t>
      </w:r>
    </w:p>
    <w:p w:rsidRPr="008B6A59" w:rsidR="00694D4E" w:rsidP="00694D4E" w:rsidRDefault="00694D4E" w14:paraId="71EF20E6" w14:textId="77777777">
      <w:pPr>
        <w:keepNext/>
        <w:numPr>
          <w:ilvl w:val="1"/>
          <w:numId w:val="0"/>
        </w:numPr>
        <w:spacing w:before="240"/>
        <w:outlineLvl w:val="1"/>
        <w:rPr>
          <w:rFonts w:ascii="Times" w:hAnsi="Times"/>
          <w:b/>
          <w:bCs/>
          <w:iCs/>
        </w:rPr>
      </w:pPr>
      <w:bookmarkStart w:name="_Toc100923501" w:id="734"/>
      <w:r w:rsidRPr="008B6A59">
        <w:rPr>
          <w:rFonts w:ascii="Times" w:hAnsi="Times"/>
          <w:b/>
          <w:bCs/>
          <w:iCs/>
        </w:rPr>
        <w:t>Certain U.S. Federal Income and Estate Tax Consequences to Non</w:t>
      </w:r>
      <w:r w:rsidRPr="008B6A59">
        <w:rPr>
          <w:rFonts w:ascii="Times" w:hAnsi="Times"/>
          <w:b/>
          <w:bCs/>
          <w:iCs/>
        </w:rPr>
        <w:noBreakHyphen/>
        <w:t>U.S. Holders</w:t>
      </w:r>
      <w:bookmarkEnd w:id="734"/>
    </w:p>
    <w:p w:rsidRPr="00A20CFC" w:rsidR="00A20CFC" w:rsidP="00A20CFC" w:rsidRDefault="00A20CFC" w14:paraId="7F5DEB65" w14:textId="77777777">
      <w:pPr>
        <w:spacing w:before="240"/>
        <w:ind w:firstLine="720"/>
        <w:rPr>
          <w:rFonts w:ascii="Times" w:hAnsi="Times" w:eastAsia="Calibri"/>
        </w:rPr>
      </w:pPr>
      <w:r w:rsidRPr="00A20CFC">
        <w:rPr>
          <w:rFonts w:ascii="Times" w:hAnsi="Times" w:eastAsia="Calibri"/>
        </w:rPr>
        <w:t>This section describes certain U.S. federal income and estate tax consequences to Non-U.S. Holders.</w:t>
      </w:r>
    </w:p>
    <w:p w:rsidRPr="008B6A59" w:rsidR="00694D4E" w:rsidP="00A20CFC" w:rsidRDefault="00A20CFC" w14:paraId="6691DDE0" w14:textId="0EDEF9CF">
      <w:pPr>
        <w:spacing w:before="240"/>
        <w:ind w:firstLine="720"/>
        <w:rPr>
          <w:rFonts w:ascii="Times" w:hAnsi="Times" w:eastAsia="Calibri"/>
        </w:rPr>
      </w:pPr>
      <w:r w:rsidRPr="00A20CFC">
        <w:rPr>
          <w:rFonts w:ascii="Times" w:hAnsi="Times" w:eastAsia="Calibri"/>
        </w:rPr>
        <w:t xml:space="preserve">Payments of interest (including OID) on a </w:t>
      </w:r>
      <w:r w:rsidR="00C7294C">
        <w:rPr>
          <w:rFonts w:ascii="Times" w:hAnsi="Times" w:eastAsia="Calibri"/>
        </w:rPr>
        <w:t>2024 Series C</w:t>
      </w:r>
      <w:r w:rsidR="00B4438E">
        <w:rPr>
          <w:rFonts w:ascii="Times" w:hAnsi="Times" w:eastAsia="Calibri"/>
        </w:rPr>
        <w:t>-2 Bond</w:t>
      </w:r>
      <w:r w:rsidRPr="00A20CFC">
        <w:rPr>
          <w:rFonts w:ascii="Times" w:hAnsi="Times" w:eastAsia="Calibri"/>
        </w:rPr>
        <w:t xml:space="preserve"> to an owner that is not a United States Holder (a </w:t>
      </w:r>
      <w:r w:rsidR="00C34AEA">
        <w:rPr>
          <w:rFonts w:ascii="Times" w:hAnsi="Times" w:eastAsia="Calibri"/>
        </w:rPr>
        <w:t>“</w:t>
      </w:r>
      <w:r w:rsidRPr="00A20CFC">
        <w:rPr>
          <w:rFonts w:ascii="Times" w:hAnsi="Times" w:eastAsia="Calibri"/>
          <w:i/>
        </w:rPr>
        <w:t>Non-U.S. Holder</w:t>
      </w:r>
      <w:r w:rsidR="00C34AEA">
        <w:rPr>
          <w:rFonts w:ascii="Times" w:hAnsi="Times" w:eastAsia="Calibri"/>
        </w:rPr>
        <w:t>”</w:t>
      </w:r>
      <w:r w:rsidRPr="00A20CFC">
        <w:rPr>
          <w:rFonts w:ascii="Times" w:hAnsi="Times" w:eastAsia="Calibri"/>
        </w:rPr>
        <w:t>) are generally not subject to United States federal income tax or nonresident withholding tax so long as the requirements under Code Section 871(h) are satisfied, including that that:</w:t>
      </w:r>
    </w:p>
    <w:p w:rsidRPr="008B6A59" w:rsidR="00694D4E" w:rsidP="00A20CFC" w:rsidRDefault="00694D4E" w14:paraId="04F9BAD0" w14:textId="133BBC6B">
      <w:pPr>
        <w:widowControl/>
        <w:numPr>
          <w:ilvl w:val="0"/>
          <w:numId w:val="45"/>
        </w:numPr>
        <w:autoSpaceDE/>
        <w:autoSpaceDN/>
        <w:adjustRightInd/>
        <w:spacing w:before="180" w:after="180"/>
        <w:ind w:firstLine="720"/>
        <w:rPr>
          <w:rFonts w:ascii="Times" w:hAnsi="Times" w:eastAsia="Calibri"/>
        </w:rPr>
      </w:pPr>
      <w:r w:rsidRPr="008B6A59">
        <w:rPr>
          <w:rFonts w:ascii="Times" w:hAnsi="Times" w:eastAsia="Calibri"/>
        </w:rPr>
        <w:t xml:space="preserve">the Non-U.S. Holder is not actually or constructively a </w:t>
      </w:r>
      <w:r w:rsidR="00C34AEA">
        <w:rPr>
          <w:rFonts w:ascii="Times" w:hAnsi="Times" w:eastAsia="Calibri"/>
        </w:rPr>
        <w:t>“</w:t>
      </w:r>
      <w:r w:rsidRPr="008B6A59">
        <w:rPr>
          <w:rFonts w:ascii="Times" w:hAnsi="Times" w:eastAsia="Calibri"/>
        </w:rPr>
        <w:t>10-percent shareholder</w:t>
      </w:r>
      <w:r w:rsidR="00C34AEA">
        <w:rPr>
          <w:rFonts w:ascii="Times" w:hAnsi="Times" w:eastAsia="Calibri"/>
        </w:rPr>
        <w:t>”</w:t>
      </w:r>
      <w:r w:rsidRPr="008B6A59">
        <w:rPr>
          <w:rFonts w:ascii="Times" w:hAnsi="Times" w:eastAsia="Calibri"/>
        </w:rPr>
        <w:t xml:space="preserve"> under Section 871(h) or 881(c)(3)(B) of the Code;</w:t>
      </w:r>
    </w:p>
    <w:p w:rsidRPr="008B6A59" w:rsidR="00694D4E" w:rsidP="00A20CFC" w:rsidRDefault="00694D4E" w14:paraId="7B806845" w14:textId="543F22D5">
      <w:pPr>
        <w:widowControl/>
        <w:numPr>
          <w:ilvl w:val="0"/>
          <w:numId w:val="45"/>
        </w:numPr>
        <w:autoSpaceDE/>
        <w:autoSpaceDN/>
        <w:adjustRightInd/>
        <w:spacing w:after="180"/>
        <w:ind w:firstLine="720"/>
        <w:rPr>
          <w:rFonts w:ascii="Times" w:hAnsi="Times" w:eastAsia="Calibri"/>
        </w:rPr>
      </w:pPr>
      <w:r w:rsidRPr="008B6A59">
        <w:rPr>
          <w:rFonts w:ascii="Times" w:hAnsi="Times" w:eastAsia="Calibri"/>
        </w:rPr>
        <w:t xml:space="preserve">the Non-U.S. Holder is not, for United States federal income tax purposes, a controlled foreign corporation with respect to which the Authority is a </w:t>
      </w:r>
      <w:r w:rsidR="00C34AEA">
        <w:rPr>
          <w:rFonts w:ascii="Times" w:hAnsi="Times" w:eastAsia="Calibri"/>
        </w:rPr>
        <w:t>“</w:t>
      </w:r>
      <w:r w:rsidRPr="008B6A59">
        <w:rPr>
          <w:rFonts w:ascii="Times" w:hAnsi="Times" w:eastAsia="Calibri"/>
        </w:rPr>
        <w:t>related person</w:t>
      </w:r>
      <w:r w:rsidR="00C34AEA">
        <w:rPr>
          <w:rFonts w:ascii="Times" w:hAnsi="Times" w:eastAsia="Calibri"/>
        </w:rPr>
        <w:t>”</w:t>
      </w:r>
      <w:r w:rsidRPr="008B6A59">
        <w:rPr>
          <w:rFonts w:ascii="Times" w:hAnsi="Times" w:eastAsia="Calibri"/>
        </w:rPr>
        <w:t xml:space="preserve"> within the meaning of Section 881(c)(3)(C) of the Code;</w:t>
      </w:r>
    </w:p>
    <w:p w:rsidRPr="008B6A59" w:rsidR="00694D4E" w:rsidP="00A20CFC" w:rsidRDefault="00694D4E" w14:paraId="082D0D71" w14:textId="77777777">
      <w:pPr>
        <w:widowControl/>
        <w:numPr>
          <w:ilvl w:val="0"/>
          <w:numId w:val="45"/>
        </w:numPr>
        <w:autoSpaceDE/>
        <w:autoSpaceDN/>
        <w:adjustRightInd/>
        <w:spacing w:after="180"/>
        <w:ind w:firstLine="720"/>
        <w:rPr>
          <w:rFonts w:ascii="Times" w:hAnsi="Times" w:eastAsia="Calibri"/>
        </w:rPr>
      </w:pPr>
      <w:r w:rsidRPr="008B6A59">
        <w:rPr>
          <w:rFonts w:ascii="Times" w:hAnsi="Times" w:eastAsia="Calibri"/>
        </w:rPr>
        <w:t>the Non-U.S. Holder is not a bank receiving interest described in Section 881(c)(3)(A) of the Code;</w:t>
      </w:r>
    </w:p>
    <w:p w:rsidRPr="008B6A59" w:rsidR="00694D4E" w:rsidP="00A20CFC" w:rsidRDefault="00694D4E" w14:paraId="43694A98" w14:textId="77777777">
      <w:pPr>
        <w:widowControl/>
        <w:numPr>
          <w:ilvl w:val="0"/>
          <w:numId w:val="45"/>
        </w:numPr>
        <w:autoSpaceDE/>
        <w:autoSpaceDN/>
        <w:adjustRightInd/>
        <w:spacing w:after="180"/>
        <w:ind w:firstLine="720"/>
        <w:rPr>
          <w:rFonts w:ascii="Times" w:hAnsi="Times" w:eastAsia="Calibri"/>
        </w:rPr>
      </w:pPr>
      <w:r w:rsidRPr="008B6A59">
        <w:rPr>
          <w:rFonts w:ascii="Times" w:hAnsi="Times" w:eastAsia="Calibri"/>
        </w:rPr>
        <w:t>the certification requirements under Section 871(h) or 881(c) of the Code and regulations (summarized below) are met; and</w:t>
      </w:r>
    </w:p>
    <w:p w:rsidRPr="008B6A59" w:rsidR="00694D4E" w:rsidP="00A20CFC" w:rsidRDefault="00694D4E" w14:paraId="395F78F1" w14:textId="0B3900C3">
      <w:pPr>
        <w:widowControl/>
        <w:numPr>
          <w:ilvl w:val="0"/>
          <w:numId w:val="45"/>
        </w:numPr>
        <w:autoSpaceDE/>
        <w:autoSpaceDN/>
        <w:adjustRightInd/>
        <w:spacing w:after="180"/>
        <w:ind w:firstLine="720"/>
        <w:rPr>
          <w:rFonts w:ascii="Times" w:hAnsi="Times" w:eastAsia="Calibri"/>
        </w:rPr>
      </w:pPr>
      <w:r w:rsidRPr="008B6A59">
        <w:rPr>
          <w:rFonts w:ascii="Times" w:hAnsi="Times" w:eastAsia="Calibri"/>
        </w:rPr>
        <w:t xml:space="preserve">the </w:t>
      </w:r>
      <w:r w:rsidR="00C7294C">
        <w:rPr>
          <w:rFonts w:ascii="Times" w:hAnsi="Times" w:eastAsia="Calibri"/>
        </w:rPr>
        <w:t>2024 Series C</w:t>
      </w:r>
      <w:r w:rsidR="00B4438E">
        <w:rPr>
          <w:rFonts w:ascii="Times" w:hAnsi="Times" w:eastAsia="Calibri"/>
        </w:rPr>
        <w:t>-2 Bond</w:t>
      </w:r>
      <w:r w:rsidRPr="008B6A59">
        <w:rPr>
          <w:rFonts w:ascii="Times" w:hAnsi="Times" w:eastAsia="Calibri"/>
        </w:rPr>
        <w:t xml:space="preserve"> interest is not effectively connected with the conduct by the Non-U.S. Holder of a trade or business in the United States under Section 871(b) or Section 882 of the Code.</w:t>
      </w:r>
    </w:p>
    <w:p w:rsidRPr="008B6A59" w:rsidR="00694D4E" w:rsidP="00694D4E" w:rsidRDefault="00A20CFC" w14:paraId="1EAF9995" w14:textId="17956BAB">
      <w:pPr>
        <w:spacing w:after="200"/>
        <w:ind w:firstLine="720"/>
        <w:rPr>
          <w:rFonts w:ascii="Times" w:hAnsi="Times" w:eastAsia="Calibri"/>
        </w:rPr>
      </w:pPr>
      <w:r w:rsidRPr="00A20CFC">
        <w:rPr>
          <w:rFonts w:ascii="Times" w:hAnsi="Times" w:eastAsia="Calibri"/>
        </w:rPr>
        <w:t>In order to obtain the exemption from income and withholding tax, either (1) the Non-U.S. Holder must provide its name and address, and certify, under penalties of perjury on Internal Revenue Service Form W-8BEN, W-8BEN-E, W-8IMY or W-8EXP, as applicable, to the Authority, its paying agent, or other applicable withholding agent as the case may be, that such Owner is a Non-U.S. Holder or (2) a securities clearing organization, bank or other financial institution that holds customers</w:t>
      </w:r>
      <w:r w:rsidR="00C34AEA">
        <w:rPr>
          <w:rFonts w:ascii="Times" w:hAnsi="Times" w:eastAsia="Calibri"/>
        </w:rPr>
        <w:t>’</w:t>
      </w:r>
      <w:r w:rsidRPr="00A20CFC">
        <w:rPr>
          <w:rFonts w:ascii="Times" w:hAnsi="Times" w:eastAsia="Calibri"/>
        </w:rPr>
        <w:t xml:space="preserve"> securities in the ordinary course of its trade or business (</w:t>
      </w:r>
      <w:r w:rsidR="00C34AEA">
        <w:rPr>
          <w:rFonts w:ascii="Times" w:hAnsi="Times" w:eastAsia="Calibri"/>
        </w:rPr>
        <w:t>“</w:t>
      </w:r>
      <w:r w:rsidRPr="00A20CFC">
        <w:rPr>
          <w:rFonts w:ascii="Times" w:hAnsi="Times" w:eastAsia="Calibri"/>
          <w:i/>
        </w:rPr>
        <w:t>Financial Institution</w:t>
      </w:r>
      <w:r w:rsidR="00C34AEA">
        <w:rPr>
          <w:rFonts w:ascii="Times" w:hAnsi="Times" w:eastAsia="Calibri"/>
        </w:rPr>
        <w:t>”</w:t>
      </w:r>
      <w:r w:rsidRPr="00A20CFC">
        <w:rPr>
          <w:rFonts w:ascii="Times" w:hAnsi="Times" w:eastAsia="Calibri"/>
        </w:rPr>
        <w:t xml:space="preserve">) and holds a </w:t>
      </w:r>
      <w:r w:rsidR="00C7294C">
        <w:rPr>
          <w:rFonts w:ascii="Times" w:hAnsi="Times" w:eastAsia="Calibri"/>
        </w:rPr>
        <w:t>2024 Series C</w:t>
      </w:r>
      <w:r w:rsidR="00B4438E">
        <w:rPr>
          <w:rFonts w:ascii="Times" w:hAnsi="Times" w:eastAsia="Calibri"/>
        </w:rPr>
        <w:t>-2 Bond</w:t>
      </w:r>
      <w:r w:rsidRPr="00A20CFC">
        <w:rPr>
          <w:rFonts w:ascii="Times" w:hAnsi="Times" w:eastAsia="Calibri"/>
        </w:rPr>
        <w:t xml:space="preserve"> on behalf of the Non-U.S. Holder, must certify, under penalties of perjury, to the Authority or its paying agent that such certificate has been received from the Owner by it or by any intermediary Financial Institution and must furnish the Authority or its paying agent with a copy of the certificate.  A certificate is generally effective only with respect to payments of interest made to the certifying Non-U.S. Holder after issuance of the certificate in the calendar year of its issuance and the two immediately succeeding calendar years.  A Non-U.S. Holder who does not satisfy the exemption requirements under Code Section 871(h) is generally subject to United States withholding tax on payments of interest (including OID).</w:t>
      </w:r>
    </w:p>
    <w:p w:rsidRPr="008B6A59" w:rsidR="00694D4E" w:rsidP="00694D4E" w:rsidRDefault="00A20CFC" w14:paraId="51A3AF69" w14:textId="546F49B3">
      <w:pPr>
        <w:spacing w:before="240"/>
        <w:ind w:firstLine="720"/>
        <w:rPr>
          <w:rFonts w:ascii="Times" w:hAnsi="Times" w:eastAsia="Calibri"/>
        </w:rPr>
      </w:pPr>
      <w:r w:rsidRPr="00A20CFC">
        <w:rPr>
          <w:rFonts w:ascii="Times" w:hAnsi="Times" w:eastAsia="Calibri"/>
        </w:rPr>
        <w:lastRenderedPageBreak/>
        <w:t xml:space="preserve">Interest on a </w:t>
      </w:r>
      <w:r w:rsidR="00C7294C">
        <w:rPr>
          <w:rFonts w:ascii="Times" w:hAnsi="Times" w:eastAsia="Calibri"/>
        </w:rPr>
        <w:t>2024 Series C</w:t>
      </w:r>
      <w:r w:rsidR="00B4438E">
        <w:rPr>
          <w:rFonts w:ascii="Times" w:hAnsi="Times" w:eastAsia="Calibri"/>
        </w:rPr>
        <w:t>-2 Bond</w:t>
      </w:r>
      <w:r w:rsidRPr="00A20CFC">
        <w:rPr>
          <w:rFonts w:ascii="Times" w:hAnsi="Times" w:eastAsia="Calibri"/>
        </w:rPr>
        <w:t xml:space="preserve"> (including OID) that is effectively connected with the conduct of a United States trade or business by the Non-U.S. Holder is generally subject to United States federal income tax in the same manner as with a United States Owner, except to the extent otherwise provided under an applicable tax treaty.  Effectively connected interest income received by a corporate Non-U.S. Holder may also, under certain circumstances, be subject to an additional branch profits tax.  Effectively connected interest income will not be subject to withholding tax if the </w:t>
      </w:r>
      <w:r w:rsidRPr="00A20CFC">
        <w:rPr>
          <w:rFonts w:ascii="Times" w:hAnsi="Times" w:eastAsia="Calibri"/>
          <w:iCs/>
        </w:rPr>
        <w:t>Non-U.S. Holder</w:t>
      </w:r>
      <w:r w:rsidRPr="00A20CFC">
        <w:rPr>
          <w:rFonts w:ascii="Times" w:hAnsi="Times" w:eastAsia="Calibri"/>
        </w:rPr>
        <w:t xml:space="preserve"> delivers a properly completed Internal Revenue Service Form W-8ECI to the Trustee.</w:t>
      </w:r>
    </w:p>
    <w:p w:rsidRPr="008B6A59" w:rsidR="00694D4E" w:rsidP="00D85AD4" w:rsidRDefault="00694D4E" w14:paraId="0F8D3786" w14:textId="77777777">
      <w:pPr>
        <w:keepNext/>
        <w:numPr>
          <w:ilvl w:val="1"/>
          <w:numId w:val="0"/>
        </w:numPr>
        <w:spacing w:before="240"/>
        <w:outlineLvl w:val="1"/>
        <w:rPr>
          <w:rFonts w:ascii="Times" w:hAnsi="Times"/>
          <w:b/>
          <w:bCs/>
          <w:iCs/>
        </w:rPr>
      </w:pPr>
      <w:bookmarkStart w:name="ElPgBr57" w:id="735"/>
      <w:bookmarkStart w:name="_Toc100923502" w:id="736"/>
      <w:bookmarkEnd w:id="735"/>
      <w:r w:rsidRPr="008B6A59">
        <w:rPr>
          <w:rFonts w:ascii="Times" w:hAnsi="Times"/>
          <w:b/>
          <w:bCs/>
          <w:iCs/>
        </w:rPr>
        <w:t xml:space="preserve">Foreign Account Tax Compliance Act </w:t>
      </w:r>
      <w:bookmarkEnd w:id="736"/>
    </w:p>
    <w:p w:rsidRPr="00A20CFC" w:rsidR="00A20CFC" w:rsidP="00A20CFC" w:rsidRDefault="00A20CFC" w14:paraId="4C082909" w14:textId="5B33C2BB">
      <w:pPr>
        <w:spacing w:before="240"/>
        <w:ind w:firstLine="720"/>
        <w:rPr>
          <w:rFonts w:ascii="Times" w:hAnsi="Times" w:eastAsia="Calibri"/>
        </w:rPr>
      </w:pPr>
      <w:r w:rsidRPr="00A20CFC">
        <w:rPr>
          <w:rFonts w:ascii="Times" w:hAnsi="Times" w:eastAsia="Calibri"/>
        </w:rPr>
        <w:t xml:space="preserve">Pursuant to the Foreign Account Tax Compliance Act (commonly referred to as </w:t>
      </w:r>
      <w:r w:rsidR="00C34AEA">
        <w:rPr>
          <w:rFonts w:ascii="Times" w:hAnsi="Times" w:eastAsia="Calibri"/>
        </w:rPr>
        <w:t>“</w:t>
      </w:r>
      <w:r w:rsidRPr="00A20CFC">
        <w:rPr>
          <w:rFonts w:ascii="Times" w:hAnsi="Times" w:eastAsia="Calibri"/>
          <w:i/>
        </w:rPr>
        <w:t>FATCA</w:t>
      </w:r>
      <w:r w:rsidR="00C34AEA">
        <w:rPr>
          <w:rFonts w:ascii="Times" w:hAnsi="Times" w:eastAsia="Calibri"/>
        </w:rPr>
        <w:t>”</w:t>
      </w:r>
      <w:r w:rsidRPr="00A20CFC">
        <w:rPr>
          <w:rFonts w:ascii="Times" w:hAnsi="Times" w:eastAsia="Calibri"/>
        </w:rPr>
        <w:t xml:space="preserve">), foreign financial institutions (which term includes most foreign banks, hedge funds, private equity funds, mutual funds, securitization vehicles and other investment vehicles) and certain other foreign entities generally must comply with certain information reporting rules with respect to their U.S. account holders and investors or confront a withholding tax on U.S.-source payments made to them (whether received as a Beneficial Owner or as an intermediary for another party).  A foreign financial institution or such other foreign entity that does not comply with the FATCA reporting requirements will generally be subject to a 30% withholding tax with respect to any </w:t>
      </w:r>
      <w:r w:rsidR="00C34AEA">
        <w:rPr>
          <w:rFonts w:ascii="Times" w:hAnsi="Times" w:eastAsia="Calibri"/>
        </w:rPr>
        <w:t>“</w:t>
      </w:r>
      <w:r w:rsidRPr="00A20CFC">
        <w:rPr>
          <w:rFonts w:ascii="Times" w:hAnsi="Times" w:eastAsia="Calibri"/>
        </w:rPr>
        <w:t>withholdable payments.</w:t>
      </w:r>
      <w:r w:rsidR="00C34AEA">
        <w:rPr>
          <w:rFonts w:ascii="Times" w:hAnsi="Times" w:eastAsia="Calibri"/>
        </w:rPr>
        <w:t>”</w:t>
      </w:r>
      <w:r w:rsidRPr="00A20CFC">
        <w:rPr>
          <w:rFonts w:ascii="Times" w:hAnsi="Times" w:eastAsia="Calibri"/>
        </w:rPr>
        <w:t xml:space="preserve">  For this purpose, withholdable payments generally include U.S.-source payments otherwise subject to nonresident withholding tax (e.g., U.S.-source interest including OID) and also include the entire gross proceeds from the sale or other disposition of any debt instruments of U.S. issuers, even if the payment would otherwise not be subject to U.S. nonresident withholding tax (e.g., because it is capital gain).  Under the applicable final Treasury regulations, withholding under FATCA, if required, generally will apply to payments of U.S.-source interest on the bonds and to payments of gross proceeds from dispositions (including redemptions) of the bonds.  </w:t>
      </w:r>
      <w:bookmarkStart w:name="_Hlk112700067" w:id="737"/>
      <w:r w:rsidRPr="00A20CFC">
        <w:rPr>
          <w:rFonts w:ascii="Times" w:hAnsi="Times" w:eastAsia="Calibri"/>
        </w:rPr>
        <w:t xml:space="preserve">However, the IRS issued proposed Treasury regulations that eliminate withholding on payments of gross proceeds (but not on payments of interest).  Pursuant to the proposed Treasury regulations, the </w:t>
      </w:r>
      <w:r w:rsidR="000E760C">
        <w:rPr>
          <w:rFonts w:ascii="Times" w:hAnsi="Times" w:eastAsia="Calibri"/>
        </w:rPr>
        <w:t>Authority</w:t>
      </w:r>
      <w:r w:rsidRPr="00A20CFC">
        <w:rPr>
          <w:rFonts w:ascii="Times" w:hAnsi="Times" w:eastAsia="Calibri"/>
        </w:rPr>
        <w:t xml:space="preserve"> and any applicable withholding agent may (but are not required to) rely on this proposed change to FATCA withholding until the final regulations are issued or the proposed regulations are withdrawn.</w:t>
      </w:r>
      <w:bookmarkEnd w:id="737"/>
      <w:r w:rsidRPr="00A20CFC">
        <w:rPr>
          <w:rFonts w:ascii="Times" w:hAnsi="Times" w:eastAsia="Calibri"/>
        </w:rPr>
        <w:t xml:space="preserve">  Foreign financial institutions located in jurisdictions that have an intergovernmental agreement with the United States pursuant to FATCA may be subject to different rules with respect to information reporting and related requirements.</w:t>
      </w:r>
    </w:p>
    <w:p w:rsidR="00694D4E" w:rsidP="00A20CFC" w:rsidRDefault="00A20CFC" w14:paraId="544C0585" w14:textId="57517A0D">
      <w:pPr>
        <w:spacing w:before="240"/>
        <w:ind w:firstLine="720"/>
        <w:rPr>
          <w:rFonts w:ascii="Times" w:hAnsi="Times" w:eastAsia="Calibri"/>
        </w:rPr>
      </w:pPr>
      <w:r w:rsidRPr="00A20CFC">
        <w:rPr>
          <w:rFonts w:ascii="Times" w:hAnsi="Times" w:eastAsia="Calibri"/>
        </w:rPr>
        <w:t>The Authority will not pay any additional amounts in respect of any amounts withheld, including pursuant to FATCA.  Under certain circumstances, a holder might be eligible for refunds or credits of such taxes.  Holders are urged to consult with their own tax advisors regarding the effect, if any, of the FATCA provisions to them based on their particular circumstances.</w:t>
      </w:r>
    </w:p>
    <w:p w:rsidRPr="00012014" w:rsidR="006E7E52" w:rsidP="006E7E52" w:rsidRDefault="006E7E52" w14:paraId="12345128" w14:textId="77777777">
      <w:pPr>
        <w:pStyle w:val="abodytextbold"/>
        <w:spacing w:before="240" w:after="0"/>
        <w:rPr>
          <w:rFonts w:ascii="Times" w:hAnsi="Times" w:eastAsia="Calibri"/>
          <w:bCs w:val="0"/>
          <w:iCs/>
        </w:rPr>
      </w:pPr>
      <w:r w:rsidRPr="00012014">
        <w:rPr>
          <w:bCs w:val="0"/>
          <w:iCs/>
        </w:rPr>
        <w:t>Tax</w:t>
      </w:r>
      <w:r w:rsidRPr="00012014">
        <w:rPr>
          <w:bCs w:val="0"/>
          <w:iCs/>
        </w:rPr>
        <w:noBreakHyphen/>
        <w:t xml:space="preserve">Exempt Investors </w:t>
      </w:r>
    </w:p>
    <w:p w:rsidR="006E7E52" w:rsidP="006E7E52" w:rsidRDefault="006E7E52" w14:paraId="7C1A19C2" w14:textId="77777777">
      <w:pPr>
        <w:pStyle w:val="Kutak1L3"/>
        <w:numPr>
          <w:ilvl w:val="2"/>
          <w:numId w:val="47"/>
        </w:numPr>
        <w:spacing w:after="0"/>
      </w:pPr>
    </w:p>
    <w:p w:rsidR="006E7E52" w:rsidP="006E7E52" w:rsidRDefault="006E7E52" w14:paraId="105B2A74" w14:textId="1D38EDD3">
      <w:pPr>
        <w:pStyle w:val="Kutak1L3"/>
        <w:numPr>
          <w:ilvl w:val="2"/>
          <w:numId w:val="47"/>
        </w:numPr>
        <w:spacing w:after="0"/>
      </w:pPr>
      <w:r>
        <w:t xml:space="preserve">In general, an entity that is exempt from federal income tax under the provisions of Section 501 of the Code is subject to tax on its unrelated business taxable income.  An unrelated trade or business is any trade or business that is not substantially related to the purpose that forms the basis for such entity’s exemption.  However, under the provisions of Section 512 of the Code, interest may be excluded from the calculation of unrelated business taxable income unless the obligation that gave rise to such interest is subject to acquisition indebtedness.  Therefore, except to the extent any owner of a </w:t>
      </w:r>
      <w:r w:rsidR="00C7294C">
        <w:t>2024 Series C</w:t>
      </w:r>
      <w:r w:rsidR="006370D5">
        <w:t>-2</w:t>
      </w:r>
      <w:r>
        <w:t xml:space="preserve"> Bond incurs acquisition indebtedness with respect to such bond, interest paid or accrued with respect to such owner may be excluded by such tax</w:t>
      </w:r>
      <w:r>
        <w:noBreakHyphen/>
        <w:t>exempt owner from the calculation of unrelated business taxable income.  Each potential tax</w:t>
      </w:r>
      <w:r>
        <w:noBreakHyphen/>
        <w:t xml:space="preserve">exempt holder of a </w:t>
      </w:r>
      <w:r w:rsidR="00C7294C">
        <w:t>2024 Series C</w:t>
      </w:r>
      <w:r w:rsidR="006370D5">
        <w:t>-2</w:t>
      </w:r>
      <w:r>
        <w:t xml:space="preserve"> Bond is urged to consult their own tax advisor regarding the application of these provisions.</w:t>
      </w:r>
    </w:p>
    <w:p w:rsidR="006E7E52" w:rsidP="006E7E52" w:rsidRDefault="006E7E52" w14:paraId="14786B1A" w14:textId="77777777">
      <w:pPr>
        <w:pStyle w:val="BodyText"/>
      </w:pPr>
    </w:p>
    <w:p w:rsidR="006E7E52" w:rsidP="006E7E52" w:rsidRDefault="006E7E52" w14:paraId="6AB17871" w14:textId="77777777">
      <w:pPr>
        <w:pStyle w:val="Kutak1L3"/>
        <w:numPr>
          <w:ilvl w:val="0"/>
          <w:numId w:val="0"/>
        </w:numPr>
        <w:tabs>
          <w:tab w:val="left" w:pos="720"/>
        </w:tabs>
        <w:spacing w:after="0"/>
        <w:rPr>
          <w:iCs/>
        </w:rPr>
      </w:pPr>
      <w:r>
        <w:rPr>
          <w:b/>
          <w:iCs/>
        </w:rPr>
        <w:t>ERISA Considerations</w:t>
      </w:r>
    </w:p>
    <w:p w:rsidR="006E7E52" w:rsidP="006E7E52" w:rsidRDefault="006E7E52" w14:paraId="35668980" w14:textId="77777777">
      <w:pPr>
        <w:pStyle w:val="Kutak1L3"/>
        <w:numPr>
          <w:ilvl w:val="0"/>
          <w:numId w:val="0"/>
        </w:numPr>
        <w:tabs>
          <w:tab w:val="left" w:pos="720"/>
        </w:tabs>
        <w:spacing w:after="0"/>
        <w:rPr>
          <w:iCs/>
        </w:rPr>
      </w:pPr>
    </w:p>
    <w:p w:rsidRPr="00012014" w:rsidR="006E7E52" w:rsidP="006E7E52" w:rsidRDefault="006E7E52" w14:paraId="39B5D668" w14:textId="5A925C31">
      <w:pPr>
        <w:pStyle w:val="Kutak1L3"/>
        <w:rPr>
          <w:iCs/>
        </w:rPr>
      </w:pPr>
      <w:r>
        <w:t>The Employee Retirement Income Security Act of 1974, as amended (“</w:t>
      </w:r>
      <w:r>
        <w:rPr>
          <w:b/>
          <w:bCs/>
        </w:rPr>
        <w:t>ERISA</w:t>
      </w:r>
      <w:r>
        <w:t>”), imposes certain requirements on “employee benefit plans” (as defined in Section 3(3) of ERISA) subject to ERISA, including entities</w:t>
      </w:r>
      <w:bookmarkStart w:name="_DV_C11" w:id="738"/>
      <w:r>
        <w:t xml:space="preserve"> whose underlying assets are considered to include “plan assets” (within the meaning of 29 C.F.R. Section 2510.3 (as modified by Section 3(42) of ERISA)),</w:t>
      </w:r>
      <w:bookmarkStart w:name="_DV_M63" w:id="739"/>
      <w:bookmarkEnd w:id="738"/>
      <w:bookmarkEnd w:id="739"/>
      <w:r>
        <w:t xml:space="preserve"> such as collective investment funds and separate accounts whose underlying assets include the assets of such plans (collectively, “</w:t>
      </w:r>
      <w:r>
        <w:rPr>
          <w:b/>
          <w:bCs/>
        </w:rPr>
        <w:t>ERISA Plans</w:t>
      </w:r>
      <w:bookmarkStart w:name="_DV_C12" w:id="740"/>
      <w:r>
        <w:t>,” and together with arrangements that are subject to Section 4975 of the Code or similar provisions under any other federal, state, local, non-United States or other laws or regulations or similar law, as applicable, “</w:t>
      </w:r>
      <w:r>
        <w:rPr>
          <w:b/>
          <w:bCs/>
        </w:rPr>
        <w:t>Plans</w:t>
      </w:r>
      <w:bookmarkEnd w:id="740"/>
      <w:r>
        <w:t xml:space="preserve">”) and on those persons who are fiduciaries with respect to ERISA Plans.  Investments by ERISA Plans are subject to ERISA’s general fiduciary requirements, including the requirement </w:t>
      </w:r>
      <w:r>
        <w:lastRenderedPageBreak/>
        <w:t xml:space="preserve">of investment prudence and diversification and the requirement that an ERISA Plan’s investments be made in accordance with the documents governing the ERISA Plan.  The prudence of any investment by an ERISA Plan in the </w:t>
      </w:r>
      <w:r w:rsidR="00C7294C">
        <w:t>2024 Series C</w:t>
      </w:r>
      <w:r>
        <w:t>-</w:t>
      </w:r>
      <w:r w:rsidR="006370D5">
        <w:t>2</w:t>
      </w:r>
      <w:r>
        <w:t xml:space="preserve"> Bonds must be determined by the responsible fiduciary of the ERISA Plan by taking into account the ERISA Plan’s particular circumstances and all of the facts and circumstances of the investment.  Government and non-electing church plans are generally not subject to ERISA.  However, such plans may be subject to similar or other restrictions under state or local law.</w:t>
      </w:r>
    </w:p>
    <w:p w:rsidR="006E7E52" w:rsidP="006E7E52" w:rsidRDefault="006E7E52" w14:paraId="0FEF24A2" w14:textId="123FEC45">
      <w:pPr>
        <w:pStyle w:val="BodyText"/>
        <w:ind w:firstLine="720"/>
      </w:pPr>
      <w:r>
        <w:t xml:space="preserve">In addition, ERISA and the Code generally prohibit certain transactions between an ERISA Plan or a qualified employee benefit plan under the Code and persons who, with respect to that plan, are fiduciaries or other “parties in interest” within the meaning of ERISA or “disqualified persons” within the meaning of the Code.  In the absence of an applicable statutory, class or administrative exemption, transactions between an ERISA Plan and a party in interest with respect to an ERISA Plan, including the acquisition by one from the other of the </w:t>
      </w:r>
      <w:r w:rsidR="00C7294C">
        <w:t>2024 Series C</w:t>
      </w:r>
      <w:r w:rsidR="006370D5">
        <w:t>-2</w:t>
      </w:r>
      <w:r>
        <w:t xml:space="preserve"> Bonds, could be viewed as violating those prohibitions.  In addition, Section 4975 of the Code prohibits transactions between certain tax-favored vehicles such as Individual Retirement Accounts and disqualified persons.  Section 503 of the Code includes similar restrictions with respect to governmental and church plans.  In this regard, the Authority or any dealer of the </w:t>
      </w:r>
      <w:r w:rsidR="00C7294C">
        <w:t>2024 Series C</w:t>
      </w:r>
      <w:r w:rsidR="006370D5">
        <w:t>-2</w:t>
      </w:r>
      <w:r>
        <w:t xml:space="preserve"> Bonds might be considered or might become a “party in interest” within the meaning of ERISA or a “disqualified person” within the meaning of the Code, with respect to an ERISA Plan or a plan or arrangement subject to Sections 4975 or 503 of the Code.  Prohibited transactions within the meaning of ERISA and the Code may arise if the </w:t>
      </w:r>
      <w:r w:rsidR="00C7294C">
        <w:t>2024 Series C</w:t>
      </w:r>
      <w:r w:rsidR="006370D5">
        <w:t>-2</w:t>
      </w:r>
      <w:r>
        <w:t xml:space="preserve"> Bonds are acquired by such plans or arrangements with respect to which the Authority or any dealer is a party in interest or disqualified person.</w:t>
      </w:r>
    </w:p>
    <w:p w:rsidR="006E7E52" w:rsidP="006E7E52" w:rsidRDefault="006E7E52" w14:paraId="645D0DF3" w14:textId="629B5233">
      <w:pPr>
        <w:pStyle w:val="BodyText"/>
        <w:ind w:firstLine="720"/>
      </w:pPr>
      <w:r>
        <w:t xml:space="preserve">In all events, fiduciaries of ERISA Plans and plans or arrangements subject to the above sections of the Code, in consultation with their advisors, should carefully consider the impact of ERISA and the Code on an investment in the </w:t>
      </w:r>
      <w:r w:rsidR="00C7294C">
        <w:t>2024 Series C</w:t>
      </w:r>
      <w:r w:rsidR="006370D5">
        <w:t>-2</w:t>
      </w:r>
      <w:r>
        <w:t xml:space="preserve"> Bonds.  The sale of the </w:t>
      </w:r>
      <w:r w:rsidR="00C7294C">
        <w:t>2024 Series C</w:t>
      </w:r>
      <w:r w:rsidR="006370D5">
        <w:t>-2</w:t>
      </w:r>
      <w:r>
        <w:t xml:space="preserve"> Bonds to a Plan is in no respect a representation by the Authority or the Underwriter that such an investment meets the relevant legal or fiduciary requirements with respect to benefit plans generally or any particular Plan.  Any ERISA Plan proposing to invest in the </w:t>
      </w:r>
      <w:r w:rsidR="00C7294C">
        <w:t>2024 Series C</w:t>
      </w:r>
      <w:r w:rsidR="006370D5">
        <w:t>-2</w:t>
      </w:r>
      <w:r>
        <w:t xml:space="preserve"> Bonds should consult with its counsel to confirm that such investment is permitted under the plan documents and will not result in a non-exempt prohibited transaction and will satisfy the other requirements of ERISA, the Code and other applicable law.</w:t>
      </w:r>
    </w:p>
    <w:p w:rsidR="006E7E52" w:rsidP="006E7E52" w:rsidRDefault="006E7E52" w14:paraId="60ED1ED5" w14:textId="643A1827">
      <w:pPr>
        <w:pStyle w:val="BodyText"/>
        <w:ind w:firstLine="720"/>
      </w:pPr>
      <w:r>
        <w:t xml:space="preserve">Neither the Authority nor the Underwriter is acting as a fiduciary, or undertaking to provide impartial investment advice, or to give advice in a fiduciary capacity, to such purchaser or transferee with respect to the decision to purchase or hold the </w:t>
      </w:r>
      <w:r w:rsidR="00C7294C">
        <w:t>2024 Series C</w:t>
      </w:r>
      <w:r w:rsidR="006370D5">
        <w:t>-2</w:t>
      </w:r>
      <w:r>
        <w:t xml:space="preserve"> Bonds or an interest in the </w:t>
      </w:r>
      <w:r w:rsidR="00C7294C">
        <w:t>2024 Series C</w:t>
      </w:r>
      <w:r w:rsidR="006370D5">
        <w:t>-2</w:t>
      </w:r>
      <w:r>
        <w:t xml:space="preserve"> Bonds. </w:t>
      </w:r>
    </w:p>
    <w:p w:rsidR="006E7E52" w:rsidP="006E7E52" w:rsidRDefault="006E7E52" w14:paraId="03C4BF61" w14:textId="3FA3C8AA">
      <w:pPr>
        <w:pStyle w:val="BodyText"/>
        <w:ind w:firstLine="720"/>
      </w:pPr>
      <w:r>
        <w:t xml:space="preserve">The foregoing discussion is general in nature and is not intended to be all-inclusive.  Due to the complexity of these rules and the penalties that may be imposed on persons involved in non-exempt prohibited transactions, it is particularly important that fiduciaries, or other persons considering purchasing the </w:t>
      </w:r>
      <w:r w:rsidR="00C7294C">
        <w:t>2024 Series C</w:t>
      </w:r>
      <w:r w:rsidR="006370D5">
        <w:t>-2</w:t>
      </w:r>
      <w:r>
        <w:t xml:space="preserve"> Bonds on behalf of, or with the assets of, any Plan, consult with their counsel regarding the potential applicability of ERISA, Section 4975 of the Code and any similar laws to such investment and whether an exemption would be applicable to the purchase and holding of the </w:t>
      </w:r>
      <w:r w:rsidR="00C7294C">
        <w:t>2024 Series C</w:t>
      </w:r>
      <w:r w:rsidR="006370D5">
        <w:t>-2</w:t>
      </w:r>
      <w:r>
        <w:t xml:space="preserve"> Bonds.</w:t>
      </w:r>
    </w:p>
    <w:p w:rsidRPr="00E510B8" w:rsidR="006E7E52" w:rsidP="00E510B8" w:rsidRDefault="006E7E52" w14:paraId="6BC42B5F" w14:textId="4A8E9F6C">
      <w:pPr>
        <w:pStyle w:val="OSparaboldindentcaps"/>
        <w:widowControl w:val="0"/>
        <w:autoSpaceDE w:val="0"/>
        <w:autoSpaceDN w:val="0"/>
        <w:adjustRightInd w:val="0"/>
        <w:spacing w:before="240" w:after="0"/>
        <w:rPr>
          <w:rFonts w:ascii="Times" w:hAnsi="Times" w:eastAsia="Calibri"/>
          <w:szCs w:val="20"/>
        </w:rPr>
      </w:pPr>
      <w:r w:rsidRPr="00E510B8">
        <w:rPr>
          <w:szCs w:val="20"/>
        </w:rPr>
        <w:t xml:space="preserve">PROSPECTIVE PURCHASERS OF THE </w:t>
      </w:r>
      <w:r w:rsidR="00C7294C">
        <w:rPr>
          <w:szCs w:val="20"/>
        </w:rPr>
        <w:t>2024 Series C</w:t>
      </w:r>
      <w:r w:rsidR="006370D5">
        <w:rPr>
          <w:szCs w:val="20"/>
        </w:rPr>
        <w:t>-2</w:t>
      </w:r>
      <w:r w:rsidRPr="00E510B8">
        <w:rPr>
          <w:szCs w:val="20"/>
        </w:rPr>
        <w:t xml:space="preserve"> Bonds ARE ADVISED TO CONSULT THEIR OWN TAX and/or fiduciary ADVISORS PRIOR TO ANY PURCHASE OF THE </w:t>
      </w:r>
      <w:r w:rsidR="00C7294C">
        <w:rPr>
          <w:szCs w:val="20"/>
        </w:rPr>
        <w:t>2024 Series C</w:t>
      </w:r>
      <w:r w:rsidR="006370D5">
        <w:rPr>
          <w:szCs w:val="20"/>
        </w:rPr>
        <w:t>-2</w:t>
      </w:r>
      <w:r w:rsidRPr="00E510B8">
        <w:rPr>
          <w:szCs w:val="20"/>
        </w:rPr>
        <w:t xml:space="preserve"> Bonds AS TO THE IMPACT OF THE CODE UPON THEIR ACQUISITION, HOLDING OR DISPOSITION OF THE </w:t>
      </w:r>
      <w:r w:rsidR="00C7294C">
        <w:rPr>
          <w:szCs w:val="20"/>
        </w:rPr>
        <w:t>2024 Series C</w:t>
      </w:r>
      <w:r w:rsidR="006370D5">
        <w:rPr>
          <w:szCs w:val="20"/>
        </w:rPr>
        <w:t>-2</w:t>
      </w:r>
      <w:r w:rsidRPr="00E510B8">
        <w:rPr>
          <w:szCs w:val="20"/>
        </w:rPr>
        <w:t xml:space="preserve"> Bonds.</w:t>
      </w:r>
    </w:p>
    <w:p w:rsidRPr="00B34407" w:rsidR="001D2354" w:rsidP="00694D4E" w:rsidRDefault="00DF0B5C" w14:paraId="4C333A86" w14:textId="78B5981C">
      <w:pPr>
        <w:pStyle w:val="aHEADING"/>
        <w:spacing w:before="240"/>
      </w:pPr>
      <w:bookmarkStart w:name="_Toc172841984" w:id="741"/>
      <w:bookmarkStart w:name="_Toc337470421" w:id="742"/>
      <w:bookmarkStart w:name="_Toc495516429" w:id="743"/>
      <w:bookmarkStart w:name="_Toc534620377" w:id="744"/>
      <w:bookmarkStart w:name="_Toc534620487" w:id="745"/>
      <w:bookmarkStart w:name="_Toc534620605" w:id="746"/>
      <w:bookmarkStart w:name="_Toc534620926" w:id="747"/>
      <w:bookmarkStart w:name="_Toc534621157" w:id="748"/>
      <w:r>
        <w:t>AMORTIZABLE BOND PREMIUM</w:t>
      </w:r>
      <w:bookmarkEnd w:id="741"/>
    </w:p>
    <w:bookmarkEnd w:id="742"/>
    <w:bookmarkEnd w:id="743"/>
    <w:bookmarkEnd w:id="744"/>
    <w:bookmarkEnd w:id="745"/>
    <w:bookmarkEnd w:id="746"/>
    <w:bookmarkEnd w:id="747"/>
    <w:bookmarkEnd w:id="748"/>
    <w:p w:rsidRPr="00B34407" w:rsidR="00AA5827" w:rsidP="00F828E4" w:rsidRDefault="00AA5827" w14:paraId="1EBC67E1" w14:textId="3D63A365">
      <w:pPr>
        <w:pStyle w:val="BodyTextFirstIndent"/>
      </w:pPr>
      <w:r w:rsidRPr="00B34407">
        <w:t>The initial offering price</w:t>
      </w:r>
      <w:r w:rsidR="009275B3">
        <w:t>s</w:t>
      </w:r>
      <w:r w:rsidRPr="00B34407">
        <w:t xml:space="preserve"> of </w:t>
      </w:r>
      <w:r w:rsidRPr="00EC2941">
        <w:t>the</w:t>
      </w:r>
      <w:r w:rsidRPr="00EC2941" w:rsidR="00CC1EC1">
        <w:t xml:space="preserve"> </w:t>
      </w:r>
      <w:r w:rsidR="00C7294C">
        <w:t>2024 Series C</w:t>
      </w:r>
      <w:r w:rsidRPr="00EC2941" w:rsidR="009275B3">
        <w:t>-1</w:t>
      </w:r>
      <w:r w:rsidR="009275B3">
        <w:t xml:space="preserve"> </w:t>
      </w:r>
      <w:r w:rsidR="002D0436">
        <w:t>Premium Term Bonds</w:t>
      </w:r>
      <w:bookmarkStart w:name="_GoBack" w:id="749"/>
      <w:bookmarkEnd w:id="749"/>
      <w:r w:rsidR="00E510B8">
        <w:t xml:space="preserve"> </w:t>
      </w:r>
      <w:r w:rsidR="009275B3">
        <w:t>are</w:t>
      </w:r>
      <w:r w:rsidRPr="00B34407">
        <w:t xml:space="preserve"> greater than the principal amount</w:t>
      </w:r>
      <w:r w:rsidR="00D043EE">
        <w:t>s</w:t>
      </w:r>
      <w:r w:rsidRPr="00B34407">
        <w:t xml:space="preserve"> payable at maturity.  As a result, the</w:t>
      </w:r>
      <w:r w:rsidR="00553BC8">
        <w:t xml:space="preserve"> Premium Bonds</w:t>
      </w:r>
      <w:r w:rsidRPr="00B34407">
        <w:t xml:space="preserve"> will be considered to be issued with amortizable bond premium (the </w:t>
      </w:r>
      <w:r w:rsidR="00C34AEA">
        <w:t>“</w:t>
      </w:r>
      <w:r w:rsidRPr="00B34407">
        <w:t>Bond Premium</w:t>
      </w:r>
      <w:r w:rsidR="00C34AEA">
        <w:t>”</w:t>
      </w:r>
      <w:r w:rsidRPr="00B34407">
        <w:t>).  An owner who acquires a</w:t>
      </w:r>
      <w:r w:rsidR="00553BC8">
        <w:t xml:space="preserve"> Premium Bond</w:t>
      </w:r>
      <w:r w:rsidRPr="00B34407">
        <w:t xml:space="preserve"> in the initial offering will be required to adjust the owner</w:t>
      </w:r>
      <w:r w:rsidR="00C34AEA">
        <w:t>’</w:t>
      </w:r>
      <w:r w:rsidRPr="00B34407">
        <w:t xml:space="preserve">s basis in the </w:t>
      </w:r>
      <w:r w:rsidR="00553BC8">
        <w:t>Premium Bond</w:t>
      </w:r>
      <w:r w:rsidRPr="00B34407">
        <w:t xml:space="preserve"> downward as a result of the amortization of the Bond Premium, pursuant to Section 1016(a)(5) of the Code.  Such adjusted tax basis will be used to determine taxable gain or loss upon the disposition of the </w:t>
      </w:r>
      <w:r w:rsidR="00553BC8">
        <w:t xml:space="preserve">Premium </w:t>
      </w:r>
      <w:r w:rsidRPr="00B34407">
        <w:t>Bond (including sale, redemption or payment at maturity).  The amount of amortizable Bond Premium will be computed on the basis of the taxpayer</w:t>
      </w:r>
      <w:r w:rsidR="00C34AEA">
        <w:t>’</w:t>
      </w:r>
      <w:r w:rsidRPr="00B34407">
        <w:t xml:space="preserve">s yield to maturity with compounding at the end of each accrual period.  Rules for determining (i) the amount of amortizable Bond Premium and (ii) the amount amortizable in a particular year are set forth in Section 171(b) of the Code.  No income tax deduction for the amount of amortizable </w:t>
      </w:r>
      <w:r w:rsidRPr="00B34407">
        <w:lastRenderedPageBreak/>
        <w:t>Bond Premium will be allowed pursuant to Section 171(a)(2) of the Code, but amortization of Bond Premium may be taken into account as a reduction in the amount of tax exempt income for purposes of determining other tax consequences of owning the</w:t>
      </w:r>
      <w:r w:rsidR="00553BC8">
        <w:t xml:space="preserve"> Premium</w:t>
      </w:r>
      <w:r w:rsidRPr="00B34407">
        <w:t xml:space="preserve"> Bonds.  Owners of the</w:t>
      </w:r>
      <w:r w:rsidR="00553BC8">
        <w:t xml:space="preserve"> Premium Bon</w:t>
      </w:r>
      <w:r w:rsidRPr="00B34407">
        <w:t xml:space="preserve">ds should consult their tax advisors with respect to the precise determination for federal income tax purposes of the treatment of Bond Premium upon the sale or other disposition of Premium Bonds and with respect to the state and local tax consequences of owning and disposing of </w:t>
      </w:r>
      <w:r w:rsidR="00553BC8">
        <w:t>the Premium</w:t>
      </w:r>
      <w:r w:rsidRPr="00B34407">
        <w:t xml:space="preserve"> Bonds.</w:t>
      </w:r>
    </w:p>
    <w:p w:rsidRPr="00B34407" w:rsidR="00AA5827" w:rsidP="00F828E4" w:rsidRDefault="00AA5827" w14:paraId="3CE9E799" w14:textId="46AA656E">
      <w:pPr>
        <w:pStyle w:val="BodyTextFirstIndent"/>
      </w:pPr>
      <w:r w:rsidRPr="00B34407">
        <w:t>Special rules governing the treatment of Bond Premium, which are applicable to dealers in tax exempt securities are found at Section 75 of the Code.  Dealers in tax exempt securities are urged to consult their own tax advisors concerning treatment of Bond Premium.</w:t>
      </w:r>
      <w:r w:rsidR="003D3C46">
        <w:t xml:space="preserve">  </w:t>
      </w:r>
    </w:p>
    <w:p w:rsidRPr="00B34407" w:rsidR="00AF72E5" w:rsidP="003900EB" w:rsidRDefault="00AF72E5" w14:paraId="7466AFA5" w14:textId="77777777">
      <w:pPr>
        <w:pStyle w:val="aHEADING"/>
        <w:widowControl/>
        <w:outlineLvl w:val="0"/>
      </w:pPr>
      <w:bookmarkStart w:name="_DV_M658" w:id="750"/>
      <w:bookmarkStart w:name="_Toc212948810" w:id="751"/>
      <w:bookmarkStart w:name="_Toc3865668" w:id="752"/>
      <w:bookmarkStart w:name="_Toc85337913" w:id="753"/>
      <w:bookmarkStart w:name="_Toc534620378" w:id="754"/>
      <w:bookmarkStart w:name="_Toc534620488" w:id="755"/>
      <w:bookmarkStart w:name="_Toc534620606" w:id="756"/>
      <w:bookmarkStart w:name="_Toc534620927" w:id="757"/>
      <w:bookmarkStart w:name="_Toc534621158" w:id="758"/>
      <w:bookmarkStart w:name="_Toc172841985" w:id="759"/>
      <w:bookmarkEnd w:id="750"/>
      <w:r w:rsidRPr="00B34407">
        <w:t>ABSENCE OF LITIGATION</w:t>
      </w:r>
      <w:bookmarkEnd w:id="751"/>
      <w:bookmarkEnd w:id="752"/>
      <w:bookmarkEnd w:id="753"/>
      <w:bookmarkEnd w:id="754"/>
      <w:bookmarkEnd w:id="755"/>
      <w:bookmarkEnd w:id="756"/>
      <w:bookmarkEnd w:id="757"/>
      <w:bookmarkEnd w:id="758"/>
      <w:bookmarkEnd w:id="759"/>
    </w:p>
    <w:p w:rsidRPr="00B34407" w:rsidR="00AF72E5" w:rsidP="00AF72E5" w:rsidRDefault="00AF72E5" w14:paraId="226D4FB2" w14:textId="3C016944">
      <w:pPr>
        <w:pStyle w:val="BodyTextFirstIndent"/>
      </w:pPr>
      <w:bookmarkStart w:name="_DV_M659" w:id="760"/>
      <w:bookmarkEnd w:id="760"/>
      <w:r w:rsidRPr="00B34407">
        <w:t xml:space="preserve">Upon delivery of the </w:t>
      </w:r>
      <w:r w:rsidR="00C7294C">
        <w:t>2024 Series C</w:t>
      </w:r>
      <w:r w:rsidR="005B3036">
        <w:t xml:space="preserve"> Bond</w:t>
      </w:r>
      <w:r w:rsidR="006C550F">
        <w:t>s</w:t>
      </w:r>
      <w:r w:rsidRPr="00B34407">
        <w:t>, an officer of the Authority will certify that no litigation is pending or, to the Authority</w:t>
      </w:r>
      <w:r w:rsidR="00C34AEA">
        <w:t>’</w:t>
      </w:r>
      <w:r w:rsidRPr="00B34407">
        <w:t xml:space="preserve">s knowledge, threatened in any court in any way affecting the existence of the Authority or the titles of its officers to their respective offices, or seeking to restrain or to enjoin the issuance, sale or delivery of the </w:t>
      </w:r>
      <w:r w:rsidR="00C7294C">
        <w:t>2024 Series C</w:t>
      </w:r>
      <w:r w:rsidR="005B3036">
        <w:t xml:space="preserve"> Bond</w:t>
      </w:r>
      <w:r w:rsidR="006C550F">
        <w:t>s</w:t>
      </w:r>
      <w:r w:rsidRPr="00B34407">
        <w:t xml:space="preserve">, or the collection of revenues and assets of the Authority pledged or to be pledged to pay the principal of and interest on the </w:t>
      </w:r>
      <w:r w:rsidR="00C7294C">
        <w:t>2024 Series C</w:t>
      </w:r>
      <w:r w:rsidR="005B3036">
        <w:t xml:space="preserve"> Bond</w:t>
      </w:r>
      <w:r w:rsidR="006C550F">
        <w:t>s</w:t>
      </w:r>
      <w:r w:rsidRPr="00B34407">
        <w:t xml:space="preserve">, or the pledge thereof, or in any way contesting or affecting the validity or enforceability of the </w:t>
      </w:r>
      <w:r w:rsidR="00C7294C">
        <w:t>2024 Series C</w:t>
      </w:r>
      <w:r w:rsidR="005B3036">
        <w:t xml:space="preserve"> Bond</w:t>
      </w:r>
      <w:r w:rsidR="006C550F">
        <w:t>s</w:t>
      </w:r>
      <w:r w:rsidRPr="00B34407">
        <w:t xml:space="preserve"> or contesting the powers of the Authority or its authority with respect to the </w:t>
      </w:r>
      <w:r w:rsidR="00C7294C">
        <w:t>2024 Series C</w:t>
      </w:r>
      <w:r w:rsidR="005B3036">
        <w:t xml:space="preserve"> Bond</w:t>
      </w:r>
      <w:r w:rsidR="006C550F">
        <w:t>s</w:t>
      </w:r>
      <w:r w:rsidRPr="00B34407">
        <w:t>.</w:t>
      </w:r>
    </w:p>
    <w:p w:rsidRPr="00B34407" w:rsidR="00AF72E5" w:rsidP="003900EB" w:rsidRDefault="00AF72E5" w14:paraId="569711CA" w14:textId="77777777">
      <w:pPr>
        <w:pStyle w:val="aHEADING"/>
        <w:widowControl/>
        <w:outlineLvl w:val="0"/>
      </w:pPr>
      <w:bookmarkStart w:name="_DV_M660" w:id="761"/>
      <w:bookmarkStart w:name="_Toc212948811" w:id="762"/>
      <w:bookmarkStart w:name="_Toc3865669" w:id="763"/>
      <w:bookmarkStart w:name="_Toc85337914" w:id="764"/>
      <w:bookmarkStart w:name="_Toc534620379" w:id="765"/>
      <w:bookmarkStart w:name="_Toc534620489" w:id="766"/>
      <w:bookmarkStart w:name="_Toc534620607" w:id="767"/>
      <w:bookmarkStart w:name="_Toc534620928" w:id="768"/>
      <w:bookmarkStart w:name="_Toc534621159" w:id="769"/>
      <w:bookmarkStart w:name="_Toc172841986" w:id="770"/>
      <w:bookmarkEnd w:id="761"/>
      <w:r w:rsidRPr="00B34407">
        <w:t>CERTAIN LEGAL MATTERS</w:t>
      </w:r>
      <w:bookmarkEnd w:id="762"/>
      <w:bookmarkEnd w:id="763"/>
      <w:bookmarkEnd w:id="764"/>
      <w:bookmarkEnd w:id="765"/>
      <w:bookmarkEnd w:id="766"/>
      <w:bookmarkEnd w:id="767"/>
      <w:bookmarkEnd w:id="768"/>
      <w:bookmarkEnd w:id="769"/>
      <w:bookmarkEnd w:id="770"/>
    </w:p>
    <w:p w:rsidRPr="00B34407" w:rsidR="00AF72E5" w:rsidP="00AF72E5" w:rsidRDefault="00AF72E5" w14:paraId="7C926013" w14:textId="5BE4C172">
      <w:pPr>
        <w:pStyle w:val="BodyTextFirstIndent"/>
      </w:pPr>
      <w:bookmarkStart w:name="_DV_M661" w:id="771"/>
      <w:bookmarkEnd w:id="771"/>
      <w:r w:rsidRPr="00B34407">
        <w:t xml:space="preserve">Certain legal matters related to the authorization, issuance and delivery of the </w:t>
      </w:r>
      <w:r w:rsidR="00C7294C">
        <w:t>2024 Series C</w:t>
      </w:r>
      <w:r w:rsidR="005B3036">
        <w:t xml:space="preserve"> Bond</w:t>
      </w:r>
      <w:r w:rsidR="006C550F">
        <w:t>s</w:t>
      </w:r>
      <w:r w:rsidRPr="00B34407">
        <w:t xml:space="preserve"> are subject to the approval of Ice Miller LLP, Indianapolis, Indiana</w:t>
      </w:r>
      <w:r w:rsidRPr="00B34407" w:rsidR="00897D8B">
        <w:t xml:space="preserve">, </w:t>
      </w:r>
      <w:r w:rsidRPr="00B34407">
        <w:t>Bond Counsel.  The opinion of Bond Counsel will be in substantially the form included in this Official Statement as APPENDIX C.  Certain legal matters will be passed upon for the Authority by its special counsel, Ice Miller LLP, Indianapolis, Indiana, and for the Underwriters by their special counsel</w:t>
      </w:r>
      <w:r w:rsidRPr="00B34407" w:rsidR="006E2BA6">
        <w:t>, Barnes &amp; Thornburg LLP</w:t>
      </w:r>
      <w:r w:rsidRPr="00B34407" w:rsidR="00C670DA">
        <w:t>, Indianapolis, Indiana</w:t>
      </w:r>
      <w:r w:rsidRPr="00B34407">
        <w:t>.</w:t>
      </w:r>
    </w:p>
    <w:p w:rsidRPr="00B34407" w:rsidR="00AF72E5" w:rsidP="00AF72E5" w:rsidRDefault="00AF72E5" w14:paraId="167CB61C" w14:textId="6DBFB456">
      <w:pPr>
        <w:pStyle w:val="BodyTextFirstIndent"/>
      </w:pPr>
      <w:bookmarkStart w:name="_DV_M662" w:id="772"/>
      <w:bookmarkEnd w:id="772"/>
      <w:r w:rsidRPr="00B34407">
        <w:t xml:space="preserve">The various legal opinions to be delivered concurrently with the delivery of the </w:t>
      </w:r>
      <w:r w:rsidR="00C7294C">
        <w:t>2024 Series C</w:t>
      </w:r>
      <w:r w:rsidR="005B3036">
        <w:t xml:space="preserve"> Bond</w:t>
      </w:r>
      <w:r w:rsidR="006C550F">
        <w:t>s</w:t>
      </w:r>
      <w:r w:rsidRPr="00B34407">
        <w:t xml:space="preserve"> will be qualified as to the enforceability of the various legal instruments by limitations imposed by the valid exercise of the constitutional powers of the State of Indiana and the United States of America and bankruptcy, reorganization, insolvency or other similar laws affecting the rights of creditors generally, and by general principles of equity (regardless of whether such enforceability is considered in a proceeding in equity or at law).</w:t>
      </w:r>
    </w:p>
    <w:p w:rsidRPr="00B34407" w:rsidR="00AF72E5" w:rsidP="00AF72E5" w:rsidRDefault="00AF72E5" w14:paraId="496317BA" w14:textId="77777777">
      <w:pPr>
        <w:pStyle w:val="BodyTextFirstIndent"/>
      </w:pPr>
      <w:bookmarkStart w:name="_DV_M663" w:id="773"/>
      <w:bookmarkStart w:name="ElPgBr59" w:id="774"/>
      <w:bookmarkEnd w:id="773"/>
      <w:bookmarkEnd w:id="774"/>
      <w:r w:rsidRPr="00B34407">
        <w:t>The remedies available to the bondholders upon a default under the Indenture are in many respects dependent upon judicial actions which are often subject to discretion and delay.  Under existing constitutional and statutory law and judicial decisions, including specifically Title 11 of the United States Code (the federal bankruptcy code), the remedies provided in the Indenture may not be readily available or may be limited.</w:t>
      </w:r>
    </w:p>
    <w:p w:rsidRPr="00B34407" w:rsidR="00AF72E5" w:rsidP="00AF72E5" w:rsidRDefault="00AF72E5" w14:paraId="79922650" w14:textId="47CB52C0">
      <w:pPr>
        <w:pStyle w:val="BodyTextFirstIndent"/>
      </w:pPr>
      <w:bookmarkStart w:name="_DV_M664" w:id="775"/>
      <w:bookmarkEnd w:id="775"/>
      <w:r w:rsidRPr="00B34407">
        <w:t xml:space="preserve">The various legal opinions to be delivered concurrently with the delivery of the </w:t>
      </w:r>
      <w:r w:rsidR="00C7294C">
        <w:t>2024 Series C</w:t>
      </w:r>
      <w:r w:rsidR="005B3036">
        <w:t xml:space="preserve"> Bond</w:t>
      </w:r>
      <w:r w:rsidR="006C550F">
        <w:t>s</w:t>
      </w:r>
      <w:r w:rsidRPr="00B34407">
        <w:t xml:space="preserve"> express the professional judgment of the attorneys rendering the opinions on the legal issues explicitly addressed therein.  By rendering a legal opinion, the opinion giver does not become an insurer or guarantor of that expression of professional judgment, of the transaction opined upon, or of the future performance of parties to such transaction.  Nor does the rendering of an opinion guarantee the outcome of any legal dispute that may arise out of the transaction.</w:t>
      </w:r>
    </w:p>
    <w:p w:rsidRPr="00B34407" w:rsidR="00AF72E5" w:rsidP="003900EB" w:rsidRDefault="00AF72E5" w14:paraId="76D4D2E8" w14:textId="77777777">
      <w:pPr>
        <w:pStyle w:val="aHEADING"/>
        <w:widowControl/>
        <w:outlineLvl w:val="0"/>
      </w:pPr>
      <w:bookmarkStart w:name="_DV_M665" w:id="776"/>
      <w:bookmarkStart w:name="_Toc212948812" w:id="777"/>
      <w:bookmarkStart w:name="_Toc3865670" w:id="778"/>
      <w:bookmarkStart w:name="_Toc85337915" w:id="779"/>
      <w:bookmarkStart w:name="_Toc534620380" w:id="780"/>
      <w:bookmarkStart w:name="_Toc534620490" w:id="781"/>
      <w:bookmarkStart w:name="_Toc534620608" w:id="782"/>
      <w:bookmarkStart w:name="_Toc534620929" w:id="783"/>
      <w:bookmarkStart w:name="_Toc534621160" w:id="784"/>
      <w:bookmarkStart w:name="_Toc172841987" w:id="785"/>
      <w:bookmarkEnd w:id="776"/>
      <w:r w:rsidRPr="00B34407">
        <w:t>RATINGS</w:t>
      </w:r>
      <w:bookmarkEnd w:id="777"/>
      <w:bookmarkEnd w:id="778"/>
      <w:bookmarkEnd w:id="779"/>
      <w:bookmarkEnd w:id="780"/>
      <w:bookmarkEnd w:id="781"/>
      <w:bookmarkEnd w:id="782"/>
      <w:bookmarkEnd w:id="783"/>
      <w:bookmarkEnd w:id="784"/>
      <w:bookmarkEnd w:id="785"/>
    </w:p>
    <w:p w:rsidR="00AF72E5" w:rsidP="00AF72E5" w:rsidRDefault="00AF72E5" w14:paraId="5DABF442" w14:textId="44131CB1">
      <w:pPr>
        <w:pStyle w:val="BodyTextFirstIndent"/>
      </w:pPr>
      <w:bookmarkStart w:name="_DV_M666" w:id="786"/>
      <w:bookmarkEnd w:id="786"/>
      <w:r w:rsidRPr="00B34407">
        <w:t>Moody</w:t>
      </w:r>
      <w:r w:rsidR="00C34AEA">
        <w:t>’</w:t>
      </w:r>
      <w:r w:rsidRPr="00B34407">
        <w:t xml:space="preserve">s Investors Service and Fitch Ratings (each, a </w:t>
      </w:r>
      <w:r w:rsidR="00C34AEA">
        <w:t>“</w:t>
      </w:r>
      <w:r w:rsidRPr="00B34407">
        <w:rPr>
          <w:i/>
        </w:rPr>
        <w:t>Rating Agency</w:t>
      </w:r>
      <w:r w:rsidR="00C34AEA">
        <w:t>”</w:t>
      </w:r>
      <w:r w:rsidRPr="00B34407">
        <w:t xml:space="preserve">) </w:t>
      </w:r>
      <w:r w:rsidRPr="008F0062">
        <w:t xml:space="preserve">have assigned the </w:t>
      </w:r>
      <w:r w:rsidRPr="00EC2941">
        <w:t>rating</w:t>
      </w:r>
      <w:r w:rsidRPr="00EC2941" w:rsidR="008118F7">
        <w:t>s</w:t>
      </w:r>
      <w:r w:rsidRPr="00EC2941">
        <w:t xml:space="preserve"> of </w:t>
      </w:r>
      <w:r w:rsidRPr="00EC2941" w:rsidR="00C34AEA">
        <w:t>“</w:t>
      </w:r>
      <w:r w:rsidRPr="00EC2941" w:rsidR="004A4D79">
        <w:t>Aaa</w:t>
      </w:r>
      <w:r w:rsidRPr="00EC2941" w:rsidR="00C34AEA">
        <w:t>”</w:t>
      </w:r>
      <w:r w:rsidRPr="00EC2941" w:rsidR="00BD237E">
        <w:t xml:space="preserve"> </w:t>
      </w:r>
      <w:r w:rsidRPr="00EC2941" w:rsidR="00A97530">
        <w:t xml:space="preserve">(stable) </w:t>
      </w:r>
      <w:r w:rsidRPr="00EC2941">
        <w:t xml:space="preserve">and </w:t>
      </w:r>
      <w:r w:rsidRPr="00EC2941" w:rsidR="00C34AEA">
        <w:t>“</w:t>
      </w:r>
      <w:r w:rsidRPr="00EC2941" w:rsidR="00E510B8">
        <w:t>AA+</w:t>
      </w:r>
      <w:r w:rsidRPr="00EC2941" w:rsidR="00C34AEA">
        <w:t>”</w:t>
      </w:r>
      <w:r w:rsidRPr="00EC2941" w:rsidR="00A97530">
        <w:t xml:space="preserve"> (</w:t>
      </w:r>
      <w:r w:rsidRPr="00EC2941" w:rsidR="00E510B8">
        <w:t>stable outlook</w:t>
      </w:r>
      <w:r w:rsidRPr="00EC2941" w:rsidR="00A97530">
        <w:t>)</w:t>
      </w:r>
      <w:r w:rsidRPr="00EC2941" w:rsidR="00F07012">
        <w:t>, respectively,</w:t>
      </w:r>
      <w:r w:rsidRPr="00EC2941" w:rsidR="00583DC6">
        <w:t xml:space="preserve"> </w:t>
      </w:r>
      <w:r w:rsidRPr="00EC2941">
        <w:t xml:space="preserve">to the </w:t>
      </w:r>
      <w:r w:rsidR="00C7294C">
        <w:t>2024 Series C</w:t>
      </w:r>
      <w:r w:rsidRPr="00EC2941" w:rsidR="005B3036">
        <w:t xml:space="preserve"> Bond</w:t>
      </w:r>
      <w:r w:rsidRPr="00EC2941" w:rsidR="006C550F">
        <w:t>s</w:t>
      </w:r>
      <w:r w:rsidRPr="00EC2941" w:rsidR="00F6182D">
        <w:t>.</w:t>
      </w:r>
      <w:r w:rsidRPr="00EC2941">
        <w:t xml:space="preserve">  Each such rating reflects only the views of the applicable Rating Agency, and an explanation of the significance of such rating may be obtained</w:t>
      </w:r>
      <w:r w:rsidRPr="00B34407">
        <w:t xml:space="preserve"> directly from each such Rating Agency.  There is no assurance that either or both of the current ratings will continue for any given period of time or that either or both of the current ratings will not be revised downward or withdrawn entirely if, in the judgment of the applicable Rating Agency, circumstances so warrant.  Any such downward revision or withdrawal of either rating may have an adverse effect on the market price or marketability of the </w:t>
      </w:r>
      <w:r w:rsidR="00C7294C">
        <w:t>2024 Series C</w:t>
      </w:r>
      <w:r w:rsidR="005B3036">
        <w:t xml:space="preserve"> Bond</w:t>
      </w:r>
      <w:r w:rsidR="006C550F">
        <w:t>s</w:t>
      </w:r>
      <w:r w:rsidRPr="00B34407">
        <w:t>.</w:t>
      </w:r>
    </w:p>
    <w:p w:rsidRPr="00B34407" w:rsidR="00AF72E5" w:rsidP="003900EB" w:rsidRDefault="00AF72E5" w14:paraId="28C66A0F" w14:textId="77777777">
      <w:pPr>
        <w:pStyle w:val="aHEADING"/>
        <w:widowControl/>
        <w:outlineLvl w:val="0"/>
      </w:pPr>
      <w:bookmarkStart w:name="_DV_M667" w:id="787"/>
      <w:bookmarkStart w:name="_Toc212948813" w:id="788"/>
      <w:bookmarkStart w:name="_Toc534620381" w:id="789"/>
      <w:bookmarkStart w:name="_Toc534620491" w:id="790"/>
      <w:bookmarkStart w:name="_Toc534620609" w:id="791"/>
      <w:bookmarkStart w:name="_Toc534620930" w:id="792"/>
      <w:bookmarkStart w:name="_Toc534621161" w:id="793"/>
      <w:bookmarkStart w:name="_Toc172841988" w:id="794"/>
      <w:bookmarkStart w:name="_Toc112124223" w:id="795"/>
      <w:bookmarkStart w:name="_Toc3865672" w:id="796"/>
      <w:bookmarkStart w:name="_Toc85337917" w:id="797"/>
      <w:bookmarkEnd w:id="787"/>
      <w:r w:rsidRPr="00B34407">
        <w:lastRenderedPageBreak/>
        <w:t>UNDERWRITING</w:t>
      </w:r>
      <w:bookmarkEnd w:id="788"/>
      <w:bookmarkEnd w:id="789"/>
      <w:bookmarkEnd w:id="790"/>
      <w:bookmarkEnd w:id="791"/>
      <w:bookmarkEnd w:id="792"/>
      <w:bookmarkEnd w:id="793"/>
      <w:bookmarkEnd w:id="794"/>
    </w:p>
    <w:p w:rsidRPr="00D472C0" w:rsidR="00D472C0" w:rsidP="00D472C0" w:rsidRDefault="00D472C0" w14:paraId="66A6B407" w14:textId="4C358713">
      <w:pPr>
        <w:pStyle w:val="BodyTextFirstIndent"/>
      </w:pPr>
      <w:bookmarkStart w:name="_DV_M668" w:id="798"/>
      <w:bookmarkEnd w:id="798"/>
      <w:r w:rsidRPr="00D472C0">
        <w:t xml:space="preserve">The </w:t>
      </w:r>
      <w:r w:rsidR="00C7294C">
        <w:t>2024 Series C</w:t>
      </w:r>
      <w:r w:rsidR="005B3036">
        <w:t xml:space="preserve"> Bond</w:t>
      </w:r>
      <w:r w:rsidR="006C550F">
        <w:t>s</w:t>
      </w:r>
      <w:r w:rsidRPr="00D472C0">
        <w:t xml:space="preserve"> are being purchased by </w:t>
      </w:r>
      <w:r w:rsidRPr="00C07245" w:rsidR="00C07245">
        <w:t xml:space="preserve">RBC Capital Markets, LLC </w:t>
      </w:r>
      <w:r w:rsidRPr="00D472C0">
        <w:t>(</w:t>
      </w:r>
      <w:r w:rsidR="00C34AEA">
        <w:t>“</w:t>
      </w:r>
      <w:r w:rsidR="00C07245">
        <w:rPr>
          <w:i/>
        </w:rPr>
        <w:t>RBC</w:t>
      </w:r>
      <w:r w:rsidR="00C34AEA">
        <w:t>”</w:t>
      </w:r>
      <w:r w:rsidRPr="00D472C0">
        <w:t xml:space="preserve">), as Representative of the underwriters listed on the front cover of this Official Statement (the </w:t>
      </w:r>
      <w:r w:rsidR="00C34AEA">
        <w:t>“</w:t>
      </w:r>
      <w:r w:rsidRPr="00D472C0">
        <w:rPr>
          <w:i/>
        </w:rPr>
        <w:t>Underwriters</w:t>
      </w:r>
      <w:r w:rsidR="00C34AEA">
        <w:t>”</w:t>
      </w:r>
      <w:r w:rsidRPr="00D472C0">
        <w:t xml:space="preserve">).  The Underwriters have jointly and severally agreed to purchase the </w:t>
      </w:r>
      <w:r w:rsidR="00C7294C">
        <w:t>2024 Series C</w:t>
      </w:r>
      <w:r w:rsidR="005B3036">
        <w:t xml:space="preserve"> Bond</w:t>
      </w:r>
      <w:r w:rsidR="006C550F">
        <w:t>s</w:t>
      </w:r>
      <w:r w:rsidRPr="00D472C0">
        <w:t xml:space="preserve"> at an aggregate price of $</w:t>
      </w:r>
      <w:r w:rsidR="001579BE">
        <w:t>199,994,913.50</w:t>
      </w:r>
      <w:r w:rsidRPr="00D472C0">
        <w:t xml:space="preserve"> representing the par amount thereof ($</w:t>
      </w:r>
      <w:r w:rsidR="001579BE">
        <w:t>197,900,000</w:t>
      </w:r>
      <w:r w:rsidRPr="00D472C0">
        <w:t>) plus a premium of $</w:t>
      </w:r>
      <w:r w:rsidR="001579BE">
        <w:t>2,094,913.50</w:t>
      </w:r>
      <w:r w:rsidRPr="00D472C0">
        <w:t>.  The Underwriters will receive underwriting compensation in the amount of $</w:t>
      </w:r>
      <w:r w:rsidR="00AF3A7C">
        <w:t>1,380,3</w:t>
      </w:r>
      <w:r w:rsidR="001579BE">
        <w:t>00.00</w:t>
      </w:r>
      <w:r w:rsidRPr="00D472C0">
        <w:t xml:space="preserve"> with respect to the </w:t>
      </w:r>
      <w:r w:rsidR="00C7294C">
        <w:t>2024 Series C</w:t>
      </w:r>
      <w:r w:rsidR="005B3036">
        <w:t xml:space="preserve"> Bond</w:t>
      </w:r>
      <w:r w:rsidR="006C550F">
        <w:t>s</w:t>
      </w:r>
      <w:r w:rsidRPr="00D472C0">
        <w:t xml:space="preserve">.  </w:t>
      </w:r>
    </w:p>
    <w:p w:rsidRPr="00D472C0" w:rsidR="00D472C0" w:rsidP="00D472C0" w:rsidRDefault="00D472C0" w14:paraId="24556E93" w14:textId="4DD757D6">
      <w:pPr>
        <w:pStyle w:val="BodyTextFirstIndent"/>
      </w:pPr>
      <w:r w:rsidRPr="00D472C0">
        <w:t xml:space="preserve">The bond purchase agreement with respect to the </w:t>
      </w:r>
      <w:r w:rsidR="00C7294C">
        <w:t>2024 Series C</w:t>
      </w:r>
      <w:r w:rsidR="005B3036">
        <w:t xml:space="preserve"> Bond</w:t>
      </w:r>
      <w:r w:rsidR="006C550F">
        <w:t>s</w:t>
      </w:r>
      <w:r w:rsidRPr="00D472C0">
        <w:t xml:space="preserve"> (the </w:t>
      </w:r>
      <w:r w:rsidR="00C34AEA">
        <w:t>“</w:t>
      </w:r>
      <w:r w:rsidRPr="00844003" w:rsidR="00844003">
        <w:rPr>
          <w:i/>
        </w:rPr>
        <w:t>Bond Purchase Agreement</w:t>
      </w:r>
      <w:r w:rsidR="00C34AEA">
        <w:t>”</w:t>
      </w:r>
      <w:r w:rsidRPr="00D472C0">
        <w:t xml:space="preserve">) provides that the respective Underwriters shall purchase all the </w:t>
      </w:r>
      <w:r w:rsidR="00C7294C">
        <w:t>2024 Series C</w:t>
      </w:r>
      <w:r w:rsidR="005B3036">
        <w:t xml:space="preserve"> Bond</w:t>
      </w:r>
      <w:r w:rsidR="006C550F">
        <w:t>s</w:t>
      </w:r>
      <w:r w:rsidRPr="00D472C0">
        <w:t>, if any are purchased, the obligation being subject to certain terms a</w:t>
      </w:r>
      <w:r w:rsidR="006370D5">
        <w:t>nd conditions set forth in the</w:t>
      </w:r>
      <w:r w:rsidRPr="00D472C0">
        <w:t xml:space="preserve"> Bond Purchase Agreement, the approval of certain legal matters by counsel and certain other conditions.  The initial public offering prices may be changed, from time to time, by the Underwriters.  The Underwriter may offer and sell the </w:t>
      </w:r>
      <w:r w:rsidR="00C7294C">
        <w:t>2024 Series C</w:t>
      </w:r>
      <w:r w:rsidR="005B3036">
        <w:t xml:space="preserve"> Bond</w:t>
      </w:r>
      <w:r w:rsidR="006C550F">
        <w:t>s</w:t>
      </w:r>
      <w:r w:rsidRPr="00D472C0">
        <w:t xml:space="preserve"> to certain dealers (including dealers depositing </w:t>
      </w:r>
      <w:r w:rsidR="00C7294C">
        <w:t>2024 Series C</w:t>
      </w:r>
      <w:r w:rsidR="005B3036">
        <w:t xml:space="preserve"> Bond</w:t>
      </w:r>
      <w:r w:rsidR="006C550F">
        <w:t>s</w:t>
      </w:r>
      <w:r w:rsidRPr="00D472C0">
        <w:t xml:space="preserve"> into investment trusts) and certain dealer banks and banks acting as agents at prices lower than the public offering prices stated on the inside cover page</w:t>
      </w:r>
      <w:r w:rsidR="00B15CA4">
        <w:t>s</w:t>
      </w:r>
      <w:r w:rsidRPr="00D472C0">
        <w:t xml:space="preserve"> hereof.</w:t>
      </w:r>
    </w:p>
    <w:p w:rsidRPr="00D472C0" w:rsidR="00D472C0" w:rsidP="00D472C0" w:rsidRDefault="00C07245" w14:paraId="7C7FC4CE" w14:textId="5481B2F6">
      <w:pPr>
        <w:pStyle w:val="BodyTextFirstIndent"/>
      </w:pPr>
      <w:r>
        <w:t>J.P. Morgan Securities LLC (“</w:t>
      </w:r>
      <w:r>
        <w:rPr>
          <w:i/>
        </w:rPr>
        <w:t>JPMS</w:t>
      </w:r>
      <w:r>
        <w:t xml:space="preserve">”), one of the Underwriters of the </w:t>
      </w:r>
      <w:r w:rsidR="00C7294C">
        <w:t>2024 Series C</w:t>
      </w:r>
      <w:r>
        <w:t xml:space="preserve"> Bonds,</w:t>
      </w:r>
      <w:r w:rsidRPr="00D472C0" w:rsidR="00D472C0">
        <w:t xml:space="preserve"> has entered into negotiated dealer agreements (each, a </w:t>
      </w:r>
      <w:r w:rsidR="00C34AEA">
        <w:t>“</w:t>
      </w:r>
      <w:r w:rsidRPr="00D472C0" w:rsidR="00D472C0">
        <w:rPr>
          <w:i/>
        </w:rPr>
        <w:t>Dealer Agreement</w:t>
      </w:r>
      <w:r w:rsidR="00C34AEA">
        <w:t>”</w:t>
      </w:r>
      <w:r w:rsidRPr="00D472C0" w:rsidR="00D472C0">
        <w:t>) with each of Charles Schwab &amp; Co., Inc. (</w:t>
      </w:r>
      <w:r w:rsidR="00C34AEA">
        <w:t>“</w:t>
      </w:r>
      <w:r w:rsidRPr="00D472C0" w:rsidR="00D472C0">
        <w:rPr>
          <w:i/>
        </w:rPr>
        <w:t>CS&amp;Co.</w:t>
      </w:r>
      <w:r w:rsidR="00C34AEA">
        <w:t>”</w:t>
      </w:r>
      <w:r w:rsidRPr="00D472C0" w:rsidR="00D472C0">
        <w:t>) and LPL Financial LLC (</w:t>
      </w:r>
      <w:r w:rsidR="00C34AEA">
        <w:t>“</w:t>
      </w:r>
      <w:r w:rsidRPr="00D472C0" w:rsidR="00D472C0">
        <w:rPr>
          <w:i/>
        </w:rPr>
        <w:t>LPL</w:t>
      </w:r>
      <w:r w:rsidR="00C34AEA">
        <w:t>”</w:t>
      </w:r>
      <w:r w:rsidRPr="00D472C0" w:rsidR="00D472C0">
        <w:t xml:space="preserve">) for the retail distribution of certain securities offerings at the original issue prices.  Pursuant to each Dealer Agreement, each of CS&amp;Co. and LPL may purchase </w:t>
      </w:r>
      <w:r w:rsidR="00C7294C">
        <w:t>2024 Series C</w:t>
      </w:r>
      <w:r w:rsidR="005B3036">
        <w:t xml:space="preserve"> Bond</w:t>
      </w:r>
      <w:r w:rsidR="006C550F">
        <w:t>s</w:t>
      </w:r>
      <w:r w:rsidRPr="00D472C0" w:rsidR="00D472C0">
        <w:t xml:space="preserve"> from JPMS at the original issue price less a negotiated portion of the selling concession applicable to any </w:t>
      </w:r>
      <w:r w:rsidR="00C7294C">
        <w:t>2024 Series C</w:t>
      </w:r>
      <w:r w:rsidR="005B3036">
        <w:t xml:space="preserve"> Bond</w:t>
      </w:r>
      <w:r w:rsidR="006C550F">
        <w:t>s</w:t>
      </w:r>
      <w:r w:rsidRPr="00D472C0" w:rsidR="00D472C0">
        <w:t xml:space="preserve"> that such firm sells.</w:t>
      </w:r>
      <w:r w:rsidR="008A3437">
        <w:t xml:space="preserve"> </w:t>
      </w:r>
    </w:p>
    <w:p w:rsidRPr="00D472C0" w:rsidR="00D472C0" w:rsidP="00D472C0" w:rsidRDefault="00D472C0" w14:paraId="4999CDEE" w14:textId="67838265">
      <w:pPr>
        <w:pStyle w:val="BodyTextFirstIndent"/>
      </w:pPr>
      <w:r w:rsidRPr="00D472C0">
        <w:rPr>
          <w:iCs/>
        </w:rPr>
        <w:t>TD Securities (USA) LLC (</w:t>
      </w:r>
      <w:r w:rsidR="00C34AEA">
        <w:rPr>
          <w:iCs/>
        </w:rPr>
        <w:t>“</w:t>
      </w:r>
      <w:r w:rsidRPr="00D472C0">
        <w:rPr>
          <w:i/>
          <w:iCs/>
        </w:rPr>
        <w:t>TD Securities</w:t>
      </w:r>
      <w:r w:rsidR="00C34AEA">
        <w:rPr>
          <w:iCs/>
        </w:rPr>
        <w:t>”</w:t>
      </w:r>
      <w:r w:rsidRPr="00D472C0">
        <w:rPr>
          <w:iCs/>
        </w:rPr>
        <w:t xml:space="preserve">), one of the Underwriters of the </w:t>
      </w:r>
      <w:r w:rsidR="00C7294C">
        <w:t>2024 Series C</w:t>
      </w:r>
      <w:r w:rsidR="005B3036">
        <w:t xml:space="preserve"> Bond</w:t>
      </w:r>
      <w:r w:rsidR="006C550F">
        <w:t>s</w:t>
      </w:r>
      <w:r w:rsidRPr="00D472C0">
        <w:rPr>
          <w:iCs/>
        </w:rPr>
        <w:t xml:space="preserve">, has entered into a negotiated dealer agreement (the </w:t>
      </w:r>
      <w:r w:rsidR="00C34AEA">
        <w:rPr>
          <w:iCs/>
        </w:rPr>
        <w:t>“</w:t>
      </w:r>
      <w:r w:rsidRPr="00D472C0">
        <w:rPr>
          <w:i/>
          <w:iCs/>
        </w:rPr>
        <w:t>TD Dealer Agreement</w:t>
      </w:r>
      <w:r w:rsidR="00C34AEA">
        <w:rPr>
          <w:iCs/>
        </w:rPr>
        <w:t>”</w:t>
      </w:r>
      <w:r w:rsidRPr="00D472C0">
        <w:rPr>
          <w:iCs/>
        </w:rPr>
        <w:t xml:space="preserve">) with </w:t>
      </w:r>
      <w:r w:rsidR="00BF44B8">
        <w:rPr>
          <w:iCs/>
        </w:rPr>
        <w:t>InvestorLink Capital Markets, LLC (“</w:t>
      </w:r>
      <w:r w:rsidR="00BF44B8">
        <w:rPr>
          <w:i/>
          <w:iCs/>
        </w:rPr>
        <w:t>ICM</w:t>
      </w:r>
      <w:r w:rsidR="00BF44B8">
        <w:rPr>
          <w:iCs/>
        </w:rPr>
        <w:t>”)</w:t>
      </w:r>
      <w:r w:rsidRPr="00D472C0">
        <w:rPr>
          <w:iCs/>
        </w:rPr>
        <w:t xml:space="preserve"> for the retail distribution of certain securities offerings, including the </w:t>
      </w:r>
      <w:r w:rsidR="00C7294C">
        <w:t>2024 Series C</w:t>
      </w:r>
      <w:r w:rsidR="005B3036">
        <w:t xml:space="preserve"> Bond</w:t>
      </w:r>
      <w:r w:rsidR="006C550F">
        <w:t>s</w:t>
      </w:r>
      <w:r w:rsidRPr="00D472C0">
        <w:rPr>
          <w:iCs/>
        </w:rPr>
        <w:t xml:space="preserve"> at the original issue price.  Pursuant to the TD Dealer Agreement, </w:t>
      </w:r>
      <w:r w:rsidR="0083279A">
        <w:rPr>
          <w:iCs/>
        </w:rPr>
        <w:t>ICM</w:t>
      </w:r>
      <w:r w:rsidRPr="00D472C0">
        <w:rPr>
          <w:iCs/>
        </w:rPr>
        <w:t xml:space="preserve"> may purchase </w:t>
      </w:r>
      <w:r w:rsidR="00C7294C">
        <w:t>2024 Series C</w:t>
      </w:r>
      <w:r w:rsidR="005B3036">
        <w:t xml:space="preserve"> Bond</w:t>
      </w:r>
      <w:r w:rsidR="006C550F">
        <w:t>s</w:t>
      </w:r>
      <w:r w:rsidRPr="00D472C0">
        <w:rPr>
          <w:iCs/>
        </w:rPr>
        <w:t xml:space="preserve"> from </w:t>
      </w:r>
      <w:r w:rsidRPr="00D472C0" w:rsidR="004E70BB">
        <w:rPr>
          <w:iCs/>
        </w:rPr>
        <w:t>TD Securities</w:t>
      </w:r>
      <w:r w:rsidRPr="00D472C0">
        <w:rPr>
          <w:iCs/>
        </w:rPr>
        <w:t xml:space="preserve"> at the original issue prices less a negotiated portion of the selling concession applicable to any of the </w:t>
      </w:r>
      <w:r w:rsidR="00C7294C">
        <w:rPr>
          <w:iCs/>
        </w:rPr>
        <w:t>2024 Series C</w:t>
      </w:r>
      <w:r w:rsidR="005B3036">
        <w:rPr>
          <w:iCs/>
        </w:rPr>
        <w:t xml:space="preserve"> Bond</w:t>
      </w:r>
      <w:r w:rsidR="006C550F">
        <w:rPr>
          <w:iCs/>
        </w:rPr>
        <w:t>s</w:t>
      </w:r>
      <w:r w:rsidRPr="00D472C0">
        <w:rPr>
          <w:iCs/>
        </w:rPr>
        <w:t xml:space="preserve"> TD</w:t>
      </w:r>
      <w:r w:rsidR="00C15C9A">
        <w:rPr>
          <w:iCs/>
        </w:rPr>
        <w:t xml:space="preserve"> Securities sells</w:t>
      </w:r>
      <w:r w:rsidRPr="00D472C0">
        <w:rPr>
          <w:iCs/>
        </w:rPr>
        <w:t>.</w:t>
      </w:r>
    </w:p>
    <w:p w:rsidRPr="001F29C9" w:rsidR="00322509" w:rsidP="00E07A83" w:rsidRDefault="00E07A83" w14:paraId="04FB655E" w14:textId="1F840755">
      <w:pPr>
        <w:pStyle w:val="BodyTextFirstIndent"/>
      </w:pPr>
      <w:bookmarkStart w:name="ElPgBr60" w:id="799"/>
      <w:bookmarkEnd w:id="799"/>
      <w:r>
        <w:t xml:space="preserve">The Underwriters and their respective affiliates are full-service financial institutions engaged in various activities that may include securities trading, commercial and investment banking, municipal advisory, brokerage, and asset management. </w:t>
      </w:r>
      <w:r w:rsidR="00D57CD4">
        <w:t xml:space="preserve"> </w:t>
      </w:r>
      <w:r w:rsidR="000E6B48">
        <w:t xml:space="preserve">The Underwriters and their respective affiliates </w:t>
      </w:r>
      <w:r w:rsidRPr="00D472C0" w:rsidR="000E6B48">
        <w:t xml:space="preserve">may have, from time to time, performed and may in the future perform, various investment banking services for the Authority for which they received or will receive customary fees and expenses.  </w:t>
      </w:r>
      <w:r>
        <w:t xml:space="preserve">In the ordinary course of business, the Underwriters and their respective affiliates may actively trade debt and, if applicable, equity securities (or related derivative securities) and provide financial instruments (which may include bank loans, credit support or interest rate swaps). </w:t>
      </w:r>
      <w:r w:rsidR="00D57CD4">
        <w:t xml:space="preserve"> </w:t>
      </w:r>
      <w:r>
        <w:t xml:space="preserve">The Underwriters and their respective affiliates may engage in transactions for their own accounts involving the securities and instruments made the subject of this securities offering or other offering of the Authority. </w:t>
      </w:r>
      <w:r w:rsidR="00D57CD4">
        <w:t xml:space="preserve"> </w:t>
      </w:r>
      <w:r>
        <w:t xml:space="preserve">The Underwriters and their respective affiliates may make a market in credit default swaps with respect to municipal securities in the future. </w:t>
      </w:r>
      <w:r w:rsidR="00D57CD4">
        <w:t xml:space="preserve"> </w:t>
      </w:r>
      <w:r>
        <w:t>The Underwriters and their respective affiliates may also communicate independent investment recommendations, market color or trading ideas and publish independent research views in respect of this securities offering or other offerings of the Authority.</w:t>
      </w:r>
    </w:p>
    <w:p w:rsidRPr="00B34407" w:rsidR="00484DDD" w:rsidP="00F828E4" w:rsidRDefault="00880D53" w14:paraId="69DDE38A" w14:textId="77777777">
      <w:pPr>
        <w:pStyle w:val="aHEADING"/>
        <w:widowControl/>
        <w:outlineLvl w:val="0"/>
      </w:pPr>
      <w:bookmarkStart w:name="_Toc534620382" w:id="800"/>
      <w:bookmarkStart w:name="_Toc534620492" w:id="801"/>
      <w:bookmarkStart w:name="_Toc534620610" w:id="802"/>
      <w:bookmarkStart w:name="_Toc534620931" w:id="803"/>
      <w:bookmarkStart w:name="_Toc534621162" w:id="804"/>
      <w:bookmarkStart w:name="_Toc172841989" w:id="805"/>
      <w:bookmarkEnd w:id="795"/>
      <w:r w:rsidRPr="00B34407">
        <w:t>MUNICIPAL ADVISOR</w:t>
      </w:r>
      <w:bookmarkEnd w:id="800"/>
      <w:bookmarkEnd w:id="801"/>
      <w:bookmarkEnd w:id="802"/>
      <w:bookmarkEnd w:id="803"/>
      <w:bookmarkEnd w:id="804"/>
      <w:bookmarkEnd w:id="805"/>
    </w:p>
    <w:p w:rsidRPr="00B34407" w:rsidR="00484DDD" w:rsidP="00F828E4" w:rsidRDefault="00484DDD" w14:paraId="006F0DE3" w14:textId="0D0C74FD">
      <w:pPr>
        <w:pStyle w:val="BodyTextFirstIndent"/>
      </w:pPr>
      <w:bookmarkStart w:name="_Toc445204048" w:id="806"/>
      <w:r w:rsidRPr="00B34407">
        <w:t>cfX serves as the Authority</w:t>
      </w:r>
      <w:r w:rsidR="00C34AEA">
        <w:t>’</w:t>
      </w:r>
      <w:r w:rsidRPr="00B34407">
        <w:t xml:space="preserve">s </w:t>
      </w:r>
      <w:r w:rsidRPr="00B34407" w:rsidR="00880D53">
        <w:t>municipal advisor</w:t>
      </w:r>
      <w:r w:rsidRPr="00B34407">
        <w:t xml:space="preserve"> pursuant to an engagement agreement.  Subject to the terms of such engagement agreement, cfX will provide certain work products to the Authority and the Trustee to be utilized in connection with their respective operating obligations under the Indenture.  Each such work product will be based on certain information provided to cfX by the Authority and the Trustee and other third party sources as believed by cfX to be reliable, certain assumptions provided to cfX by the Authority and certain instructions from Bond Counsel.  cfX will make no representation with respect to the accuracy of certain of such information or as to the reasonableness of such assumptions and instructions.  cfX is not obligated to undertake and has not undertaken to make an independent verification or to assume responsibility for the accuracy, completeness or fairness of the information contained in this Official Statement and is not obligated to review or ensure compliance with continuing disclosure undertakings.  cfX has registered with the Securities and Exchange Commission and the Municipal Securities Rule Making Board as a Municipal Advisor.</w:t>
      </w:r>
      <w:bookmarkEnd w:id="806"/>
    </w:p>
    <w:p w:rsidRPr="00B34407" w:rsidR="00AF72E5" w:rsidP="003900EB" w:rsidRDefault="00AF72E5" w14:paraId="3F746E65" w14:textId="77777777">
      <w:pPr>
        <w:pStyle w:val="aHEADING"/>
        <w:widowControl/>
        <w:outlineLvl w:val="0"/>
      </w:pPr>
      <w:bookmarkStart w:name="_DV_M673" w:id="807"/>
      <w:bookmarkStart w:name="_Toc212948814" w:id="808"/>
      <w:bookmarkStart w:name="_Toc534620383" w:id="809"/>
      <w:bookmarkStart w:name="_Toc534620493" w:id="810"/>
      <w:bookmarkStart w:name="_Toc534620611" w:id="811"/>
      <w:bookmarkStart w:name="_Toc534620932" w:id="812"/>
      <w:bookmarkStart w:name="_Toc534621163" w:id="813"/>
      <w:bookmarkStart w:name="_Toc172841990" w:id="814"/>
      <w:bookmarkEnd w:id="807"/>
      <w:r w:rsidRPr="00B34407">
        <w:lastRenderedPageBreak/>
        <w:t>AGREEMENT OF STATE</w:t>
      </w:r>
      <w:bookmarkEnd w:id="796"/>
      <w:bookmarkEnd w:id="797"/>
      <w:bookmarkEnd w:id="808"/>
      <w:bookmarkEnd w:id="809"/>
      <w:bookmarkEnd w:id="810"/>
      <w:bookmarkEnd w:id="811"/>
      <w:bookmarkEnd w:id="812"/>
      <w:bookmarkEnd w:id="813"/>
      <w:bookmarkEnd w:id="814"/>
    </w:p>
    <w:p w:rsidRPr="00B34407" w:rsidR="00AF72E5" w:rsidP="00AF72E5" w:rsidRDefault="00AF72E5" w14:paraId="70BBE39E" w14:textId="77777777">
      <w:pPr>
        <w:pStyle w:val="BodyTextFirstIndent"/>
      </w:pPr>
      <w:bookmarkStart w:name="_DV_M674" w:id="815"/>
      <w:bookmarkEnd w:id="815"/>
      <w:r w:rsidRPr="00B34407">
        <w:t>Under the Act, the State may at any time, or from time to time, alter or change the structure, organization, programs, activities or powers of the Authority and may, at its sole discretion, terminate the existence of the Authority.  However, in the Act, the State pledges and agrees with the holders of any obligations issued pursuant to the Act that the State will not limit or alter the rights vested in the Authority to fulfill the terms of any agreements made with the holders thereof, or in any way impair the rights and remedies of the holders until the notes or bonds are fully discharged.</w:t>
      </w:r>
    </w:p>
    <w:p w:rsidRPr="00B34407" w:rsidR="00AF72E5" w:rsidP="003900EB" w:rsidRDefault="00AF72E5" w14:paraId="73182246" w14:textId="77777777">
      <w:pPr>
        <w:pStyle w:val="aHEADING"/>
        <w:widowControl/>
        <w:outlineLvl w:val="0"/>
      </w:pPr>
      <w:bookmarkStart w:name="_DV_M675" w:id="816"/>
      <w:bookmarkStart w:name="_Toc212948815" w:id="817"/>
      <w:bookmarkStart w:name="_Toc3865673" w:id="818"/>
      <w:bookmarkStart w:name="_Toc85337918" w:id="819"/>
      <w:bookmarkStart w:name="_Toc534620384" w:id="820"/>
      <w:bookmarkStart w:name="_Toc534620494" w:id="821"/>
      <w:bookmarkStart w:name="_Toc534620612" w:id="822"/>
      <w:bookmarkStart w:name="_Toc534620933" w:id="823"/>
      <w:bookmarkStart w:name="_Toc534621164" w:id="824"/>
      <w:bookmarkStart w:name="_Toc172841991" w:id="825"/>
      <w:bookmarkEnd w:id="816"/>
      <w:r w:rsidRPr="00B34407">
        <w:t>LEGALITY FOR INVESTMENT</w:t>
      </w:r>
      <w:bookmarkEnd w:id="817"/>
      <w:bookmarkEnd w:id="818"/>
      <w:bookmarkEnd w:id="819"/>
      <w:bookmarkEnd w:id="820"/>
      <w:bookmarkEnd w:id="821"/>
      <w:bookmarkEnd w:id="822"/>
      <w:bookmarkEnd w:id="823"/>
      <w:bookmarkEnd w:id="824"/>
      <w:bookmarkEnd w:id="825"/>
    </w:p>
    <w:p w:rsidRPr="00B34407" w:rsidR="00AF72E5" w:rsidP="00AF72E5" w:rsidRDefault="00AF72E5" w14:paraId="7FE7DD9F" w14:textId="3DEC3CBF">
      <w:pPr>
        <w:pStyle w:val="BodyTextFirstIndent"/>
      </w:pPr>
      <w:bookmarkStart w:name="_DV_M676" w:id="826"/>
      <w:bookmarkEnd w:id="826"/>
      <w:r w:rsidRPr="00B34407">
        <w:t xml:space="preserve">The Act provides that, in Indiana, the </w:t>
      </w:r>
      <w:r w:rsidR="00C7294C">
        <w:t>2024 Series C</w:t>
      </w:r>
      <w:r w:rsidR="005B3036">
        <w:t xml:space="preserve"> Bond</w:t>
      </w:r>
      <w:r w:rsidR="006C550F">
        <w:t>s</w:t>
      </w:r>
      <w:r w:rsidRPr="00B34407">
        <w:t xml:space="preserve"> are securities in which all public officers and public bodies of the State and its political subdivisions, all insurance companies, trust companies, banking associations, savings and loan associations, investment companies, executors, administrators, trustees and other fiduciaries may properly and legally invest funds, including capital in their control or belonging to them.</w:t>
      </w:r>
    </w:p>
    <w:p w:rsidRPr="00B34407" w:rsidR="00AF72E5" w:rsidP="003900EB" w:rsidRDefault="00AF72E5" w14:paraId="7D2E2940" w14:textId="77777777">
      <w:pPr>
        <w:pStyle w:val="aHEADING"/>
        <w:widowControl/>
        <w:outlineLvl w:val="0"/>
      </w:pPr>
      <w:bookmarkStart w:name="_DV_M677" w:id="827"/>
      <w:bookmarkStart w:name="_Toc212948816" w:id="828"/>
      <w:bookmarkStart w:name="_Toc3865674" w:id="829"/>
      <w:bookmarkStart w:name="_Toc85337919" w:id="830"/>
      <w:bookmarkStart w:name="_Toc534620385" w:id="831"/>
      <w:bookmarkStart w:name="_Toc534620495" w:id="832"/>
      <w:bookmarkStart w:name="_Toc534620613" w:id="833"/>
      <w:bookmarkStart w:name="_Toc534620934" w:id="834"/>
      <w:bookmarkStart w:name="_Toc534621165" w:id="835"/>
      <w:bookmarkStart w:name="_Toc172841992" w:id="836"/>
      <w:bookmarkEnd w:id="827"/>
      <w:r w:rsidRPr="00B34407">
        <w:t>FINANCIAL STATEMENTS</w:t>
      </w:r>
      <w:bookmarkEnd w:id="828"/>
      <w:bookmarkEnd w:id="829"/>
      <w:bookmarkEnd w:id="830"/>
      <w:bookmarkEnd w:id="831"/>
      <w:bookmarkEnd w:id="832"/>
      <w:bookmarkEnd w:id="833"/>
      <w:bookmarkEnd w:id="834"/>
      <w:bookmarkEnd w:id="835"/>
      <w:bookmarkEnd w:id="836"/>
    </w:p>
    <w:p w:rsidRPr="00B34407" w:rsidR="00AF72E5" w:rsidP="00AF72E5" w:rsidRDefault="001E4C92" w14:paraId="6EF16C44" w14:textId="00EC819E">
      <w:pPr>
        <w:pStyle w:val="BodyTextFirstIndent"/>
        <w:rPr>
          <w:bCs/>
        </w:rPr>
      </w:pPr>
      <w:bookmarkStart w:name="_DV_M678" w:id="837"/>
      <w:bookmarkEnd w:id="837"/>
      <w:r w:rsidRPr="006D1A47">
        <w:rPr>
          <w:bCs/>
        </w:rPr>
        <w:t>The statement of net position of the A</w:t>
      </w:r>
      <w:r w:rsidRPr="006D1A47" w:rsidR="004E5116">
        <w:rPr>
          <w:bCs/>
        </w:rPr>
        <w:t xml:space="preserve">uthority as of </w:t>
      </w:r>
      <w:r w:rsidR="00C578AD">
        <w:rPr>
          <w:bCs/>
        </w:rPr>
        <w:t>December 31, 2023</w:t>
      </w:r>
      <w:r w:rsidRPr="006D1A47">
        <w:rPr>
          <w:bCs/>
        </w:rPr>
        <w:t xml:space="preserve">, and the related statements of revenues, expenses and changes in net position and cash flows for the year then ended </w:t>
      </w:r>
      <w:r w:rsidRPr="006D1A47" w:rsidR="00AF72E5">
        <w:rPr>
          <w:bCs/>
        </w:rPr>
        <w:t xml:space="preserve">(the </w:t>
      </w:r>
      <w:r w:rsidRPr="006D1A47" w:rsidR="00C34AEA">
        <w:rPr>
          <w:bCs/>
        </w:rPr>
        <w:t>“</w:t>
      </w:r>
      <w:r w:rsidRPr="006D1A47" w:rsidR="00AF72E5">
        <w:rPr>
          <w:bCs/>
          <w:i/>
        </w:rPr>
        <w:t>Financial Statements</w:t>
      </w:r>
      <w:r w:rsidRPr="006D1A47" w:rsidR="00C34AEA">
        <w:rPr>
          <w:bCs/>
        </w:rPr>
        <w:t>”</w:t>
      </w:r>
      <w:r w:rsidRPr="006D1A47" w:rsidR="00AF72E5">
        <w:rPr>
          <w:bCs/>
        </w:rPr>
        <w:t xml:space="preserve">), appended hereto as part of this Official Statement (APPENDIX B), have been audited by </w:t>
      </w:r>
      <w:r w:rsidRPr="006D1A47" w:rsidR="001460B8">
        <w:rPr>
          <w:bCs/>
        </w:rPr>
        <w:t>Forvis</w:t>
      </w:r>
      <w:r w:rsidRPr="006D1A47" w:rsidR="001F4277">
        <w:rPr>
          <w:bCs/>
        </w:rPr>
        <w:t>, LLP</w:t>
      </w:r>
      <w:r w:rsidRPr="006D1A47" w:rsidR="00AF72E5">
        <w:rPr>
          <w:bCs/>
        </w:rPr>
        <w:t>, independent auditors, as stated in their report dated</w:t>
      </w:r>
      <w:r w:rsidRPr="006D1A47" w:rsidR="0066315E">
        <w:rPr>
          <w:bCs/>
        </w:rPr>
        <w:t xml:space="preserve"> </w:t>
      </w:r>
      <w:r w:rsidR="00C578AD">
        <w:rPr>
          <w:bCs/>
        </w:rPr>
        <w:t>April 18, 2024</w:t>
      </w:r>
      <w:r w:rsidRPr="006D1A47" w:rsidR="00AF72E5">
        <w:rPr>
          <w:bCs/>
        </w:rPr>
        <w:t>,</w:t>
      </w:r>
      <w:r w:rsidRPr="006D1A47" w:rsidR="00F554F4">
        <w:rPr>
          <w:bCs/>
        </w:rPr>
        <w:t xml:space="preserve"> </w:t>
      </w:r>
      <w:r w:rsidRPr="006D1A47" w:rsidR="00AF72E5">
        <w:rPr>
          <w:bCs/>
        </w:rPr>
        <w:t>appearing herein.  The Financial Statements present financial and other information only as of the dates and for the periods set forth therein.  The Finan</w:t>
      </w:r>
      <w:r w:rsidRPr="003A508B" w:rsidR="00AF72E5">
        <w:rPr>
          <w:bCs/>
        </w:rPr>
        <w:t xml:space="preserve">cial Statements are the most recent audited financial statements of the Authority; however, inclusion of the Financial Statements herein shall not create any implication that </w:t>
      </w:r>
      <w:r w:rsidRPr="003A508B" w:rsidR="001460B8">
        <w:rPr>
          <w:bCs/>
        </w:rPr>
        <w:t>Forvis</w:t>
      </w:r>
      <w:r w:rsidRPr="003A508B" w:rsidR="001F4277">
        <w:rPr>
          <w:bCs/>
        </w:rPr>
        <w:t>, LLP</w:t>
      </w:r>
      <w:r w:rsidRPr="003A508B" w:rsidR="00AF72E5">
        <w:rPr>
          <w:bCs/>
        </w:rPr>
        <w:t xml:space="preserve"> has undertaken any review or procedures with regard to financial statements or financial information as of any date or for any period beyond </w:t>
      </w:r>
      <w:r w:rsidR="00C578AD">
        <w:rPr>
          <w:bCs/>
        </w:rPr>
        <w:t>December 31, 2023</w:t>
      </w:r>
      <w:r w:rsidRPr="003A508B" w:rsidR="00AF72E5">
        <w:rPr>
          <w:bCs/>
        </w:rPr>
        <w:t>.</w:t>
      </w:r>
      <w:r w:rsidR="00BE72D6">
        <w:rPr>
          <w:bCs/>
        </w:rPr>
        <w:t xml:space="preserve"> </w:t>
      </w:r>
    </w:p>
    <w:p w:rsidRPr="00B34407" w:rsidR="00AF72E5" w:rsidP="00AF72E5" w:rsidRDefault="00AF72E5" w14:paraId="3ED35BD2" w14:textId="6B0AEC4B">
      <w:pPr>
        <w:pStyle w:val="BodyTextFirstIndent"/>
        <w:rPr>
          <w:b/>
          <w:bCs/>
        </w:rPr>
      </w:pPr>
      <w:bookmarkStart w:name="_DV_M679" w:id="838"/>
      <w:bookmarkEnd w:id="838"/>
      <w:r w:rsidRPr="00B34407">
        <w:rPr>
          <w:b/>
          <w:bCs/>
        </w:rPr>
        <w:t xml:space="preserve">THE </w:t>
      </w:r>
      <w:r w:rsidR="00C7294C">
        <w:rPr>
          <w:b/>
          <w:bCs/>
          <w:caps/>
        </w:rPr>
        <w:t>2024 Series C</w:t>
      </w:r>
      <w:r w:rsidR="005B3036">
        <w:rPr>
          <w:b/>
          <w:bCs/>
          <w:caps/>
        </w:rPr>
        <w:t xml:space="preserve"> Bond</w:t>
      </w:r>
      <w:r w:rsidR="006C550F">
        <w:rPr>
          <w:b/>
          <w:bCs/>
          <w:caps/>
        </w:rPr>
        <w:t>s</w:t>
      </w:r>
      <w:r w:rsidRPr="00B34407">
        <w:rPr>
          <w:b/>
          <w:bCs/>
        </w:rPr>
        <w:t xml:space="preserve"> ARE COLLATERALIZED ONLY BY THE ASSETS AND REVENUES PLEDGED UNDER THE INDENTURE AND NOT BY ANY OTHER SOURCE.  THE ASSETS AND REVENUES DESCRIBED IN THE AUTHORITY</w:t>
      </w:r>
      <w:r w:rsidR="00C34AEA">
        <w:rPr>
          <w:b/>
          <w:bCs/>
        </w:rPr>
        <w:t>’</w:t>
      </w:r>
      <w:r w:rsidRPr="00B34407">
        <w:rPr>
          <w:b/>
          <w:bCs/>
        </w:rPr>
        <w:t xml:space="preserve">S FINANCIAL STATEMENTS INCLUDE ASSETS </w:t>
      </w:r>
      <w:bookmarkStart w:name="ElPgBr61" w:id="839"/>
      <w:bookmarkEnd w:id="839"/>
      <w:r w:rsidRPr="00B34407">
        <w:rPr>
          <w:b/>
          <w:bCs/>
        </w:rPr>
        <w:t xml:space="preserve">AND REVENUES PLEDGED SOLELY TO THE PAYMENT OF OTHER INDEBTEDNESS OF THE AUTHORITY AND SUCH ASSETS AND REVENUES ARE NOT AVAILABLE TO PAY ANY PRINCIPAL OF OR INTEREST ON THE </w:t>
      </w:r>
      <w:r w:rsidR="00C7294C">
        <w:rPr>
          <w:b/>
          <w:bCs/>
          <w:caps/>
        </w:rPr>
        <w:t>2024 Series C</w:t>
      </w:r>
      <w:r w:rsidR="005B3036">
        <w:rPr>
          <w:b/>
          <w:bCs/>
          <w:caps/>
        </w:rPr>
        <w:t xml:space="preserve"> Bond</w:t>
      </w:r>
      <w:r w:rsidR="006C550F">
        <w:rPr>
          <w:b/>
          <w:bCs/>
          <w:caps/>
        </w:rPr>
        <w:t>s</w:t>
      </w:r>
      <w:r w:rsidRPr="00B34407">
        <w:rPr>
          <w:b/>
          <w:bCs/>
        </w:rPr>
        <w:t>.</w:t>
      </w:r>
    </w:p>
    <w:p w:rsidRPr="00B34407" w:rsidR="00AF72E5" w:rsidP="00F828E4" w:rsidRDefault="00AF72E5" w14:paraId="53A0E7D4" w14:textId="77777777">
      <w:pPr>
        <w:pStyle w:val="aHEADING"/>
        <w:widowControl/>
        <w:outlineLvl w:val="0"/>
      </w:pPr>
      <w:bookmarkStart w:name="_DV_M680" w:id="840"/>
      <w:bookmarkStart w:name="_Toc212948817" w:id="841"/>
      <w:bookmarkStart w:name="_Toc3865675" w:id="842"/>
      <w:bookmarkStart w:name="_Toc85337920" w:id="843"/>
      <w:bookmarkStart w:name="_Toc534620386" w:id="844"/>
      <w:bookmarkStart w:name="_Toc534620496" w:id="845"/>
      <w:bookmarkStart w:name="_Toc534620614" w:id="846"/>
      <w:bookmarkStart w:name="_Toc534620935" w:id="847"/>
      <w:bookmarkStart w:name="_Toc534621166" w:id="848"/>
      <w:bookmarkStart w:name="_Toc172841993" w:id="849"/>
      <w:bookmarkEnd w:id="840"/>
      <w:r w:rsidRPr="00B34407">
        <w:t>CONTINUING DISCLOSURE</w:t>
      </w:r>
      <w:bookmarkEnd w:id="841"/>
      <w:bookmarkEnd w:id="842"/>
      <w:bookmarkEnd w:id="843"/>
      <w:bookmarkEnd w:id="844"/>
      <w:bookmarkEnd w:id="845"/>
      <w:bookmarkEnd w:id="846"/>
      <w:bookmarkEnd w:id="847"/>
      <w:bookmarkEnd w:id="848"/>
      <w:bookmarkEnd w:id="849"/>
    </w:p>
    <w:p w:rsidRPr="00B34407" w:rsidR="00AF72E5" w:rsidP="00AF72E5" w:rsidRDefault="00AF72E5" w14:paraId="68CE102C" w14:textId="6334C0CD">
      <w:pPr>
        <w:pStyle w:val="BodyTextFirstIndent"/>
      </w:pPr>
      <w:bookmarkStart w:name="_DV_M681" w:id="850"/>
      <w:bookmarkEnd w:id="850"/>
      <w:r w:rsidRPr="00B34407">
        <w:t xml:space="preserve">Pursuant to continuing disclosure requirements promulgated by the Securities and Exchange Commission (the </w:t>
      </w:r>
      <w:r w:rsidR="00C34AEA">
        <w:t>“</w:t>
      </w:r>
      <w:r w:rsidRPr="000938C1">
        <w:rPr>
          <w:i/>
        </w:rPr>
        <w:t>SEC</w:t>
      </w:r>
      <w:r w:rsidR="00C34AEA">
        <w:t>”</w:t>
      </w:r>
      <w:r w:rsidRPr="00B34407">
        <w:t>) in SEC Rule 15c2</w:t>
      </w:r>
      <w:r w:rsidRPr="00B34407">
        <w:noBreakHyphen/>
        <w:t xml:space="preserve">12, as amended (the </w:t>
      </w:r>
      <w:r w:rsidR="00C34AEA">
        <w:t>“</w:t>
      </w:r>
      <w:r w:rsidRPr="00B34407">
        <w:rPr>
          <w:i/>
        </w:rPr>
        <w:t>Rule</w:t>
      </w:r>
      <w:r w:rsidR="00C34AEA">
        <w:t>”</w:t>
      </w:r>
      <w:r w:rsidRPr="00B34407">
        <w:t>), the Authority will ent</w:t>
      </w:r>
      <w:r w:rsidRPr="00B34407" w:rsidR="004E7B13">
        <w:t>er into a Continuing Disclosure</w:t>
      </w:r>
      <w:r w:rsidRPr="00B34407" w:rsidR="005743FE">
        <w:t xml:space="preserve"> </w:t>
      </w:r>
      <w:r w:rsidRPr="00B34407" w:rsidR="00C52415">
        <w:t>Undertaking Agreement</w:t>
      </w:r>
      <w:r w:rsidRPr="00B34407" w:rsidR="004E7B13">
        <w:t xml:space="preserve"> dated</w:t>
      </w:r>
      <w:r w:rsidRPr="00B34407" w:rsidR="00C52415">
        <w:t xml:space="preserve"> as of</w:t>
      </w:r>
      <w:r w:rsidR="004F58A1">
        <w:t xml:space="preserve"> </w:t>
      </w:r>
      <w:r w:rsidR="0059014D">
        <w:t>August</w:t>
      </w:r>
      <w:r w:rsidR="00AF57A6">
        <w:t xml:space="preserve"> 1, 2024</w:t>
      </w:r>
      <w:r w:rsidRPr="00B34407">
        <w:t xml:space="preserve"> </w:t>
      </w:r>
      <w:r w:rsidR="00C808A5">
        <w:t>(</w:t>
      </w:r>
      <w:r w:rsidRPr="00B34407">
        <w:t xml:space="preserve">the </w:t>
      </w:r>
      <w:r w:rsidR="00C34AEA">
        <w:t>“</w:t>
      </w:r>
      <w:r w:rsidRPr="00B34407">
        <w:rPr>
          <w:i/>
        </w:rPr>
        <w:t>Undertaking</w:t>
      </w:r>
      <w:r w:rsidR="00C34AEA">
        <w:t>”</w:t>
      </w:r>
      <w:r w:rsidRPr="00B34407">
        <w:t>)</w:t>
      </w:r>
      <w:r w:rsidRPr="00B34407" w:rsidR="00C52415">
        <w:t>.</w:t>
      </w:r>
      <w:r w:rsidRPr="00B34407">
        <w:t xml:space="preserve">  Pursuant to the terms of the Undertaking, the Authority</w:t>
      </w:r>
      <w:r w:rsidRPr="00B34407" w:rsidR="00C52415">
        <w:t xml:space="preserve"> agrees to send</w:t>
      </w:r>
      <w:r w:rsidRPr="00B34407">
        <w:t xml:space="preserve"> certain financial information and operating data to </w:t>
      </w:r>
      <w:r w:rsidRPr="00B34407" w:rsidR="00C52415">
        <w:t xml:space="preserve">EMMA on an annual basis </w:t>
      </w:r>
      <w:r w:rsidRPr="00B34407">
        <w:t>and to provide notice to the Municipal Securities Rulemaking Board</w:t>
      </w:r>
      <w:r w:rsidRPr="00B34407" w:rsidR="00C52415">
        <w:t xml:space="preserve"> </w:t>
      </w:r>
      <w:r w:rsidRPr="00B34407">
        <w:t xml:space="preserve">of certain material events, pursuant to the requirements of Section (b)(5)(i) of the Rule.  The form of Undertaking is set forth in </w:t>
      </w:r>
      <w:r w:rsidR="00C34AEA">
        <w:t>“</w:t>
      </w:r>
      <w:r w:rsidRPr="00B34407">
        <w:t>APPENDIX E: CONTINUING DISCLOSURE UNDERTAKING AGREEMENT</w:t>
      </w:r>
      <w:r w:rsidR="00C34AEA">
        <w:t>”</w:t>
      </w:r>
      <w:r w:rsidRPr="00B34407" w:rsidR="00C85198">
        <w:t xml:space="preserve"> attached hereto.</w:t>
      </w:r>
    </w:p>
    <w:p w:rsidRPr="00B34407" w:rsidR="004A7D61" w:rsidP="00F828E4" w:rsidRDefault="00C52415" w14:paraId="35684A98" w14:textId="69C22AB2">
      <w:pPr>
        <w:pStyle w:val="BodyTextFirstIndent"/>
      </w:pPr>
      <w:r w:rsidRPr="00B34407">
        <w:t xml:space="preserve">The Authority entered in a prior Continuing Disclosure Undertaking Agreement dated May 1, 1997 and issued several supplements thereto from time to time </w:t>
      </w:r>
      <w:r w:rsidRPr="00B34407" w:rsidR="004E7B13">
        <w:t xml:space="preserve">thereafter </w:t>
      </w:r>
      <w:r w:rsidRPr="00B34407">
        <w:t>in connection with the issuance of bonds (</w:t>
      </w:r>
      <w:r w:rsidRPr="00B34407" w:rsidR="00C85198">
        <w:t xml:space="preserve">collectively, </w:t>
      </w:r>
      <w:r w:rsidRPr="00B34407">
        <w:t xml:space="preserve">the </w:t>
      </w:r>
      <w:r w:rsidR="00C34AEA">
        <w:t>“</w:t>
      </w:r>
      <w:r w:rsidRPr="00B34407">
        <w:rPr>
          <w:i/>
        </w:rPr>
        <w:t>Prior Undertaking</w:t>
      </w:r>
      <w:r w:rsidR="00C34AEA">
        <w:t>”</w:t>
      </w:r>
      <w:r w:rsidRPr="00B34407">
        <w:t xml:space="preserve">).  </w:t>
      </w:r>
      <w:bookmarkStart w:name="_DV_M682" w:id="851"/>
      <w:bookmarkStart w:name="_DV_M683" w:id="852"/>
      <w:bookmarkStart w:name="_Toc212948818" w:id="853"/>
      <w:bookmarkStart w:name="_Toc3865676" w:id="854"/>
      <w:bookmarkStart w:name="_Toc85337921" w:id="855"/>
      <w:bookmarkEnd w:id="851"/>
      <w:bookmarkEnd w:id="852"/>
      <w:r w:rsidRPr="00B34407" w:rsidR="004A7D61">
        <w:t>In order to assist the Underwriter in complying with the</w:t>
      </w:r>
      <w:r w:rsidRPr="00B34407" w:rsidR="00D70ED4">
        <w:t xml:space="preserve"> Underwriter</w:t>
      </w:r>
      <w:r w:rsidR="00C34AEA">
        <w:t>’</w:t>
      </w:r>
      <w:r w:rsidRPr="00B34407" w:rsidR="00D70ED4">
        <w:t xml:space="preserve">s </w:t>
      </w:r>
      <w:r w:rsidRPr="00B34407" w:rsidR="004A7D61">
        <w:t>obligations pursuant to the Rule, the Authority represents that in the previous five years it has fully complied with the Prior Undertaking</w:t>
      </w:r>
      <w:r w:rsidR="005F2BB6">
        <w:t>.</w:t>
      </w:r>
      <w:r w:rsidRPr="00B34407" w:rsidR="004A7D61">
        <w:t xml:space="preserve"> </w:t>
      </w:r>
    </w:p>
    <w:p w:rsidRPr="00B34407" w:rsidR="004A7D61" w:rsidP="00F828E4" w:rsidRDefault="004A7D61" w14:paraId="61E10559" w14:textId="77777777">
      <w:pPr>
        <w:pStyle w:val="BodyTextFirstIndent"/>
      </w:pPr>
      <w:r w:rsidRPr="00B34407">
        <w:t xml:space="preserve">The Authority makes no representation as to any potential materiality of such prior instances, as materiality is dependent upon individual facts and circumstances.  </w:t>
      </w:r>
    </w:p>
    <w:p w:rsidRPr="00B34407" w:rsidR="004A7D61" w:rsidP="00F828E4" w:rsidRDefault="004A7D61" w14:paraId="10970B5D" w14:textId="77777777">
      <w:pPr>
        <w:pStyle w:val="BodyTextFirstIndent"/>
      </w:pPr>
      <w:r w:rsidRPr="00B34407">
        <w:t>The Authority has, as of the date hereof, filed all required notices with respect to the above instances as they relate to outstanding issues of Bonds.</w:t>
      </w:r>
    </w:p>
    <w:p w:rsidRPr="00B34407" w:rsidR="00C52415" w:rsidP="00F828E4" w:rsidRDefault="00C85198" w14:paraId="0D9BB512" w14:textId="77777777">
      <w:pPr>
        <w:pStyle w:val="BodyTextFirstIndent"/>
        <w:rPr>
          <w:rFonts w:eastAsia="Calibri"/>
        </w:rPr>
      </w:pPr>
      <w:r w:rsidRPr="00B34407">
        <w:rPr>
          <w:rFonts w:eastAsia="Calibri"/>
        </w:rPr>
        <w:t>The</w:t>
      </w:r>
      <w:r w:rsidRPr="00B34407" w:rsidR="00C52415">
        <w:rPr>
          <w:rFonts w:eastAsia="Calibri"/>
        </w:rPr>
        <w:t xml:space="preserve"> Authority has voluntarily filed quarterly financial statements through the NRMSIRs and EMMA system since at least 1997.</w:t>
      </w:r>
    </w:p>
    <w:p w:rsidRPr="00B34407" w:rsidR="00AF72E5" w:rsidP="003900EB" w:rsidRDefault="00AF72E5" w14:paraId="297E358D" w14:textId="77777777">
      <w:pPr>
        <w:pStyle w:val="aHEADING"/>
        <w:widowControl/>
        <w:outlineLvl w:val="0"/>
      </w:pPr>
      <w:bookmarkStart w:name="_Toc534620387" w:id="856"/>
      <w:bookmarkStart w:name="_Toc534620497" w:id="857"/>
      <w:bookmarkStart w:name="_Toc534620615" w:id="858"/>
      <w:bookmarkStart w:name="_Toc534620936" w:id="859"/>
      <w:bookmarkStart w:name="_Toc534621167" w:id="860"/>
      <w:bookmarkStart w:name="_Toc172841994" w:id="861"/>
      <w:r w:rsidRPr="00B34407">
        <w:lastRenderedPageBreak/>
        <w:t>ADDITIONAL INFORMATION</w:t>
      </w:r>
      <w:bookmarkEnd w:id="853"/>
      <w:bookmarkEnd w:id="854"/>
      <w:bookmarkEnd w:id="855"/>
      <w:bookmarkEnd w:id="856"/>
      <w:bookmarkEnd w:id="857"/>
      <w:bookmarkEnd w:id="858"/>
      <w:bookmarkEnd w:id="859"/>
      <w:bookmarkEnd w:id="860"/>
      <w:bookmarkEnd w:id="861"/>
    </w:p>
    <w:p w:rsidRPr="00B34407" w:rsidR="00AF72E5" w:rsidP="00AF72E5" w:rsidRDefault="00AF72E5" w14:paraId="69D93D09" w14:textId="3864F7F7">
      <w:pPr>
        <w:pStyle w:val="BodyTextFirstIndent"/>
      </w:pPr>
      <w:bookmarkStart w:name="_DV_M684" w:id="862"/>
      <w:bookmarkEnd w:id="862"/>
      <w:r w:rsidRPr="00B34407">
        <w:t xml:space="preserve">In addition to the information to be provided pursuant to the Undertaking, the Authority has filed its quarterly </w:t>
      </w:r>
      <w:r w:rsidR="00C34AEA">
        <w:t>“</w:t>
      </w:r>
      <w:r w:rsidRPr="00B34407">
        <w:t>Single Family Mortgage Revenue Bond Secondary Market Disclosure Report</w:t>
      </w:r>
      <w:r w:rsidR="00C34AEA">
        <w:t>”</w:t>
      </w:r>
      <w:r w:rsidRPr="00B34407">
        <w:t xml:space="preserve"> with </w:t>
      </w:r>
      <w:r w:rsidRPr="00B34407" w:rsidR="00D255A0">
        <w:t xml:space="preserve">the MSRB through EMMA </w:t>
      </w:r>
      <w:r w:rsidRPr="00B34407">
        <w:t>in accordance with the secondary market disclosure project sponsored by the National Council of State Housing Age</w:t>
      </w:r>
      <w:r w:rsidRPr="00B34407" w:rsidR="00B4012F">
        <w:t xml:space="preserve">ncies through the quarter </w:t>
      </w:r>
      <w:r w:rsidRPr="00F806E7" w:rsidR="00B4012F">
        <w:t xml:space="preserve">ended </w:t>
      </w:r>
      <w:r w:rsidR="00720B8B">
        <w:t>March 31</w:t>
      </w:r>
      <w:r w:rsidR="00900252">
        <w:t>, 202</w:t>
      </w:r>
      <w:r w:rsidR="00722D36">
        <w:t>4</w:t>
      </w:r>
      <w:r w:rsidRPr="00792570">
        <w:t>.</w:t>
      </w:r>
      <w:r w:rsidRPr="00B34407">
        <w:t xml:space="preserve">  (Copies of the current quarterly report may be obtained directly from </w:t>
      </w:r>
      <w:r w:rsidRPr="00B34407" w:rsidR="00D255A0">
        <w:t>EMMA</w:t>
      </w:r>
      <w:r w:rsidRPr="00B34407">
        <w:t>.)  The report currently includes certain information on the Authority</w:t>
      </w:r>
      <w:r w:rsidR="00C34AEA">
        <w:t>’</w:t>
      </w:r>
      <w:r w:rsidRPr="00B34407">
        <w:t xml:space="preserve">s single family mortgage revenue bonds, including without limitation, each series of Bonds outstanding under the Indenture.  Accordingly, the Authority has no obligation by law or by contractual agreement to continue to file the aforesaid quarterly reports.  See </w:t>
      </w:r>
      <w:r w:rsidR="00C34AEA">
        <w:t>“</w:t>
      </w:r>
      <w:r w:rsidRPr="00B34407">
        <w:t>CONTINUING DISCLOSURE</w:t>
      </w:r>
      <w:r w:rsidR="00C34AEA">
        <w:t>”</w:t>
      </w:r>
      <w:r w:rsidRPr="00B34407" w:rsidR="00C85198">
        <w:t xml:space="preserve"> herein</w:t>
      </w:r>
      <w:r w:rsidRPr="00B34407">
        <w:t xml:space="preserve"> and </w:t>
      </w:r>
      <w:r w:rsidR="00C34AEA">
        <w:t>“</w:t>
      </w:r>
      <w:r w:rsidRPr="00B34407">
        <w:t>APPENDIX E: CONTINUING DISCLOSURE UNDERTAKING AGREEMENT</w:t>
      </w:r>
      <w:r w:rsidR="00C34AEA">
        <w:t>”</w:t>
      </w:r>
      <w:r w:rsidRPr="00B34407" w:rsidR="00C85198">
        <w:t xml:space="preserve"> attached hereto.</w:t>
      </w:r>
    </w:p>
    <w:p w:rsidRPr="00B34407" w:rsidR="00AF72E5" w:rsidP="00AF72E5" w:rsidRDefault="00AF72E5" w14:paraId="4E0761CD" w14:textId="55BDE15D">
      <w:pPr>
        <w:pStyle w:val="BodyTextFirstIndent"/>
      </w:pPr>
      <w:bookmarkStart w:name="_DV_M685" w:id="863"/>
      <w:bookmarkEnd w:id="863"/>
      <w:r w:rsidRPr="00B34407">
        <w:t xml:space="preserve">Certain provisions of the </w:t>
      </w:r>
      <w:r w:rsidR="00C7294C">
        <w:t>2024 Series C</w:t>
      </w:r>
      <w:r w:rsidR="005B3036">
        <w:t xml:space="preserve"> Bond</w:t>
      </w:r>
      <w:r w:rsidR="006C550F">
        <w:t>s</w:t>
      </w:r>
      <w:r w:rsidRPr="00B34407">
        <w:t xml:space="preserve">, the Indenture, the Act, the Rule and the Program Guide are summarized in this Official Statement.  Such summaries do not purport to be comprehensive or definitive and reference is made to such documents for a full and complete statement of their respective provisions.  Copies of the </w:t>
      </w:r>
      <w:r w:rsidR="00C7294C">
        <w:t>2024 Series C</w:t>
      </w:r>
      <w:r w:rsidR="005B3036">
        <w:t xml:space="preserve"> Bond</w:t>
      </w:r>
      <w:r w:rsidR="006C550F">
        <w:t>s</w:t>
      </w:r>
      <w:r w:rsidRPr="00B34407">
        <w:t xml:space="preserve">, the Indenture, the Act, the Rule and the Program Guide are available for inspection at the offices of the Authority at 30 </w:t>
      </w:r>
      <w:r w:rsidRPr="00B34407" w:rsidR="00045CD6">
        <w:t>South Meridian Street, Suite 90</w:t>
      </w:r>
      <w:r w:rsidRPr="00B34407">
        <w:t>0, Indianapolis, Indiana 46204</w:t>
      </w:r>
      <w:r w:rsidRPr="00B34407">
        <w:noBreakHyphen/>
        <w:t>3564, (317) 232</w:t>
      </w:r>
      <w:r w:rsidRPr="00B34407">
        <w:noBreakHyphen/>
        <w:t xml:space="preserve">7777, and, during the offering period for the </w:t>
      </w:r>
      <w:r w:rsidR="00C7294C">
        <w:t>2024 Series C</w:t>
      </w:r>
      <w:r w:rsidR="005B3036">
        <w:t xml:space="preserve"> Bond</w:t>
      </w:r>
      <w:r w:rsidR="006C550F">
        <w:t>s</w:t>
      </w:r>
      <w:r w:rsidRPr="00B34407">
        <w:t>, at the office of the Underwriters listed on the cover page hereof.</w:t>
      </w:r>
    </w:p>
    <w:p w:rsidRPr="00B34407" w:rsidR="00AF72E5" w:rsidP="003900EB" w:rsidRDefault="00AF72E5" w14:paraId="0C3FE605" w14:textId="77777777">
      <w:pPr>
        <w:pStyle w:val="aHEADING"/>
        <w:widowControl/>
        <w:outlineLvl w:val="0"/>
      </w:pPr>
      <w:bookmarkStart w:name="_DV_M686" w:id="864"/>
      <w:bookmarkStart w:name="_Toc212948819" w:id="865"/>
      <w:bookmarkStart w:name="_Toc3865677" w:id="866"/>
      <w:bookmarkStart w:name="_Toc85337922" w:id="867"/>
      <w:bookmarkStart w:name="_Toc534620388" w:id="868"/>
      <w:bookmarkStart w:name="_Toc534620498" w:id="869"/>
      <w:bookmarkStart w:name="_Toc534620616" w:id="870"/>
      <w:bookmarkStart w:name="_Toc534620937" w:id="871"/>
      <w:bookmarkStart w:name="_Toc534621168" w:id="872"/>
      <w:bookmarkStart w:name="_Toc172841995" w:id="873"/>
      <w:bookmarkEnd w:id="864"/>
      <w:r w:rsidRPr="00B34407">
        <w:t>MISCELLANEOUS</w:t>
      </w:r>
      <w:bookmarkEnd w:id="865"/>
      <w:bookmarkEnd w:id="866"/>
      <w:bookmarkEnd w:id="867"/>
      <w:bookmarkEnd w:id="868"/>
      <w:bookmarkEnd w:id="869"/>
      <w:bookmarkEnd w:id="870"/>
      <w:bookmarkEnd w:id="871"/>
      <w:bookmarkEnd w:id="872"/>
      <w:bookmarkEnd w:id="873"/>
    </w:p>
    <w:p w:rsidRPr="00B34407" w:rsidR="00AF72E5" w:rsidP="00AF72E5" w:rsidRDefault="00AF72E5" w14:paraId="0A67FA8D" w14:textId="6899C72F">
      <w:pPr>
        <w:pStyle w:val="BodyTextFirstIndent"/>
      </w:pPr>
      <w:bookmarkStart w:name="_DV_M687" w:id="874"/>
      <w:bookmarkEnd w:id="874"/>
      <w:r w:rsidRPr="00B34407">
        <w:t xml:space="preserve">This Official Statement is submitted in connection with the issuance and sale of the </w:t>
      </w:r>
      <w:r w:rsidR="00C7294C">
        <w:t>2024 Series C</w:t>
      </w:r>
      <w:r w:rsidR="005B3036">
        <w:t xml:space="preserve"> Bond</w:t>
      </w:r>
      <w:r w:rsidR="006C550F">
        <w:t>s</w:t>
      </w:r>
      <w:r w:rsidRPr="00B34407">
        <w:t xml:space="preserve"> and may not be reproduced or used, in whole or in part, for any other purpose.  Any statements in this Official Statement involving matters of opinion, whether or not expressly so stated, are intended as such and not as representations of fact.  No representation is made that any of such statements will be realized.  Neither any advertisement of the </w:t>
      </w:r>
      <w:r w:rsidR="00C7294C">
        <w:t>2024 Series C</w:t>
      </w:r>
      <w:r w:rsidR="005B3036">
        <w:t xml:space="preserve"> Bond</w:t>
      </w:r>
      <w:r w:rsidR="006C550F">
        <w:t>s</w:t>
      </w:r>
      <w:r w:rsidRPr="00B34407">
        <w:t xml:space="preserve"> nor this Official Statement is to be construed as a contract or agreement between the Authority and the purchasers or holders of any of the </w:t>
      </w:r>
      <w:r w:rsidR="00C7294C">
        <w:t>2024 Series C</w:t>
      </w:r>
      <w:r w:rsidR="005B3036">
        <w:t xml:space="preserve"> Bond</w:t>
      </w:r>
      <w:r w:rsidR="006C550F">
        <w:t>s</w:t>
      </w:r>
      <w:r w:rsidRPr="00B34407">
        <w:t>.</w:t>
      </w:r>
    </w:p>
    <w:p w:rsidRPr="00B34407" w:rsidR="006B31D4" w:rsidRDefault="006B31D4" w14:paraId="5203B78E" w14:textId="77777777">
      <w:pPr>
        <w:widowControl/>
        <w:autoSpaceDE/>
        <w:autoSpaceDN/>
        <w:adjustRightInd/>
        <w:spacing w:after="160" w:line="259" w:lineRule="auto"/>
        <w:jc w:val="left"/>
      </w:pPr>
      <w:bookmarkStart w:name="_DV_M688" w:id="875"/>
      <w:bookmarkStart w:name="ElPgBr62" w:id="876"/>
      <w:bookmarkEnd w:id="875"/>
      <w:bookmarkEnd w:id="876"/>
      <w:r w:rsidRPr="00B34407">
        <w:br w:type="page"/>
      </w:r>
    </w:p>
    <w:p w:rsidRPr="00B34407" w:rsidR="00AF72E5" w:rsidP="00AF72E5" w:rsidRDefault="00AF72E5" w14:paraId="73A5B599" w14:textId="77777777">
      <w:pPr>
        <w:pStyle w:val="BodyTextFirstIndent"/>
      </w:pPr>
      <w:bookmarkStart w:name="ElPgBr63" w:id="877"/>
      <w:bookmarkEnd w:id="877"/>
      <w:r w:rsidRPr="00B34407">
        <w:lastRenderedPageBreak/>
        <w:t>This Official Statement has been approved, executed and delivered by the Authority.</w:t>
      </w:r>
    </w:p>
    <w:tbl>
      <w:tblPr>
        <w:tblW w:w="0" w:type="auto"/>
        <w:tblLayout w:type="fixed"/>
        <w:tblLook w:val="0000" w:firstRow="0" w:lastRow="0" w:firstColumn="0" w:lastColumn="0" w:noHBand="0" w:noVBand="0"/>
      </w:tblPr>
      <w:tblGrid>
        <w:gridCol w:w="4788"/>
        <w:gridCol w:w="4788"/>
      </w:tblGrid>
      <w:tr w:rsidRPr="00B34407" w:rsidR="00AF72E5" w:rsidTr="0064153D" w14:paraId="3943C1BB" w14:textId="77777777">
        <w:tc>
          <w:tcPr>
            <w:tcW w:w="4788" w:type="dxa"/>
            <w:tcBorders>
              <w:top w:val="nil"/>
              <w:left w:val="nil"/>
              <w:bottom w:val="nil"/>
              <w:right w:val="nil"/>
            </w:tcBorders>
          </w:tcPr>
          <w:p w:rsidRPr="00B34407" w:rsidR="00AF72E5" w:rsidP="0064153D" w:rsidRDefault="001579BE" w14:paraId="3734A7D1" w14:textId="53E38A3D">
            <w:pPr>
              <w:widowControl/>
            </w:pPr>
            <w:r>
              <w:t>July 24</w:t>
            </w:r>
            <w:r w:rsidR="00AF57A6">
              <w:t>, 2024</w:t>
            </w:r>
          </w:p>
        </w:tc>
        <w:tc>
          <w:tcPr>
            <w:tcW w:w="4788" w:type="dxa"/>
            <w:tcBorders>
              <w:top w:val="nil"/>
              <w:left w:val="nil"/>
              <w:bottom w:val="nil"/>
              <w:right w:val="nil"/>
            </w:tcBorders>
          </w:tcPr>
          <w:p w:rsidRPr="00B34407" w:rsidR="00AF72E5" w:rsidP="0064153D" w:rsidRDefault="00AF72E5" w14:paraId="7A16D2DE" w14:textId="77777777">
            <w:pPr>
              <w:widowControl/>
              <w:jc w:val="left"/>
            </w:pPr>
            <w:r w:rsidRPr="00B34407">
              <w:t>INDIANA HOUSING AND COMMUNITY DEVELOPMENT AUTHORITY</w:t>
            </w:r>
          </w:p>
          <w:p w:rsidRPr="00B34407" w:rsidR="00AF72E5" w:rsidP="0064153D" w:rsidRDefault="00AF72E5" w14:paraId="58A47599" w14:textId="77777777">
            <w:pPr>
              <w:widowControl/>
            </w:pPr>
          </w:p>
          <w:p w:rsidRPr="00B34407" w:rsidR="00AF72E5" w:rsidP="0064153D" w:rsidRDefault="00AF72E5" w14:paraId="38405E9A" w14:textId="77777777">
            <w:pPr>
              <w:widowControl/>
            </w:pPr>
          </w:p>
          <w:p w:rsidRPr="00430377" w:rsidR="00C577F2" w:rsidP="00F828E4" w:rsidRDefault="00C577F2" w14:paraId="187A02A1" w14:textId="0F17A0D1">
            <w:pPr>
              <w:widowControl/>
              <w:tabs>
                <w:tab w:val="left" w:pos="372"/>
                <w:tab w:val="left" w:pos="4572"/>
              </w:tabs>
            </w:pPr>
            <w:r w:rsidRPr="00B34407">
              <w:t>By:</w:t>
            </w:r>
            <w:r w:rsidRPr="00006672" w:rsidR="002E246D">
              <w:rPr>
                <w:color w:val="000000"/>
              </w:rPr>
              <w:t xml:space="preserve"> </w:t>
            </w:r>
            <w:r w:rsidR="001579BE">
              <w:rPr>
                <w:u w:val="single"/>
              </w:rPr>
              <w:t xml:space="preserve"> </w:t>
            </w:r>
            <w:r w:rsidRPr="00264F4C" w:rsidR="001579BE">
              <w:rPr>
                <w:u w:val="single"/>
              </w:rPr>
              <w:t xml:space="preserve">  /s/ J. Jacob Sipe</w:t>
            </w:r>
            <w:r w:rsidRPr="00264F4C" w:rsidR="001579BE">
              <w:rPr>
                <w:u w:val="single"/>
              </w:rPr>
              <w:tab/>
            </w:r>
          </w:p>
          <w:p w:rsidRPr="00B34407" w:rsidR="00AF72E5" w:rsidP="00473138" w:rsidRDefault="00C577F2" w14:paraId="1BC3954F" w14:textId="77777777">
            <w:pPr>
              <w:widowControl/>
              <w:tabs>
                <w:tab w:val="left" w:pos="372"/>
                <w:tab w:val="left" w:pos="4572"/>
              </w:tabs>
            </w:pPr>
            <w:r w:rsidRPr="00B34407">
              <w:tab/>
              <w:t>J. Jacob Sipe, Executive Director</w:t>
            </w:r>
          </w:p>
        </w:tc>
      </w:tr>
      <w:tr w:rsidRPr="00B34407" w:rsidR="00AF72E5" w:rsidTr="00CE524E" w14:paraId="650C08A9" w14:textId="77777777">
        <w:trPr>
          <w:trHeight w:val="333"/>
        </w:trPr>
        <w:tc>
          <w:tcPr>
            <w:tcW w:w="4788" w:type="dxa"/>
            <w:tcBorders>
              <w:top w:val="nil"/>
              <w:left w:val="nil"/>
              <w:bottom w:val="nil"/>
              <w:right w:val="nil"/>
            </w:tcBorders>
          </w:tcPr>
          <w:p w:rsidRPr="00B34407" w:rsidR="00AF72E5" w:rsidP="0060360A" w:rsidRDefault="00AF72E5" w14:paraId="776BE817" w14:textId="00F50773">
            <w:pPr>
              <w:widowControl/>
            </w:pPr>
          </w:p>
        </w:tc>
        <w:tc>
          <w:tcPr>
            <w:tcW w:w="4788" w:type="dxa"/>
            <w:tcBorders>
              <w:top w:val="nil"/>
              <w:left w:val="nil"/>
              <w:bottom w:val="nil"/>
              <w:right w:val="nil"/>
            </w:tcBorders>
          </w:tcPr>
          <w:p w:rsidRPr="00B34407" w:rsidR="00AF72E5" w:rsidP="0064153D" w:rsidRDefault="00AF72E5" w14:paraId="01B3AD4D" w14:textId="77777777">
            <w:pPr>
              <w:widowControl/>
            </w:pPr>
          </w:p>
        </w:tc>
      </w:tr>
    </w:tbl>
    <w:p w:rsidRPr="00B34407" w:rsidR="00AF72E5" w:rsidP="00AF72E5" w:rsidRDefault="00AF72E5" w14:paraId="19B52340" w14:textId="77777777">
      <w:pPr>
        <w:widowControl/>
      </w:pPr>
    </w:p>
    <w:p w:rsidRPr="00B34407" w:rsidR="00AF72E5" w:rsidP="00AF72E5" w:rsidRDefault="00AF72E5" w14:paraId="55160F49" w14:textId="77777777">
      <w:pPr>
        <w:widowControl/>
        <w:sectPr w:rsidRPr="00B34407" w:rsidR="00AF72E5" w:rsidSect="00452454">
          <w:footnotePr>
            <w:numFmt w:val="chicago"/>
            <w:numRestart w:val="eachPage"/>
          </w:footnotePr>
          <w:pgSz w:w="12240" w:h="15840"/>
          <w:pgMar w:top="1008" w:right="1440" w:bottom="1440" w:left="1440" w:header="864" w:footer="432" w:gutter="0"/>
          <w:cols w:space="720"/>
          <w:noEndnote/>
          <w:docGrid w:linePitch="360"/>
        </w:sectPr>
      </w:pPr>
    </w:p>
    <w:p w:rsidRPr="00B34407" w:rsidR="00AF72E5" w:rsidP="00AF72E5" w:rsidRDefault="00AF72E5" w14:paraId="4A5556D5" w14:textId="77777777">
      <w:pPr>
        <w:pStyle w:val="aBTRightJustified"/>
        <w:widowControl/>
      </w:pPr>
      <w:bookmarkStart w:name="_DV_M689" w:id="878"/>
      <w:bookmarkStart w:name="ElPgBr64" w:id="879"/>
      <w:bookmarkEnd w:id="878"/>
      <w:bookmarkEnd w:id="879"/>
      <w:r w:rsidRPr="00B34407">
        <w:lastRenderedPageBreak/>
        <w:t>APPENDIX A</w:t>
      </w:r>
    </w:p>
    <w:p w:rsidRPr="00B34407" w:rsidR="00AF72E5" w:rsidP="00AF72E5" w:rsidRDefault="00AF72E5" w14:paraId="46F1181F" w14:textId="77777777">
      <w:pPr>
        <w:pStyle w:val="atitle"/>
        <w:widowControl/>
        <w:rPr>
          <w:color w:val="000000"/>
        </w:rPr>
      </w:pPr>
      <w:bookmarkStart w:name="_DV_M690" w:id="880"/>
      <w:bookmarkEnd w:id="880"/>
      <w:r w:rsidRPr="00B34407">
        <w:rPr>
          <w:color w:val="000000"/>
        </w:rPr>
        <w:t>SUMMARY OF MORTGAGE CERTIFICATE PROGRAM</w:t>
      </w:r>
    </w:p>
    <w:p w:rsidRPr="00B34407" w:rsidR="00AF72E5" w:rsidP="00AF72E5" w:rsidRDefault="00AF72E5" w14:paraId="2A3748EF" w14:textId="77777777">
      <w:pPr>
        <w:pStyle w:val="abodytextbold"/>
        <w:widowControl/>
        <w:rPr>
          <w:color w:val="000000"/>
        </w:rPr>
      </w:pPr>
      <w:bookmarkStart w:name="_DV_M691" w:id="881"/>
      <w:bookmarkEnd w:id="881"/>
      <w:r w:rsidRPr="00B34407">
        <w:rPr>
          <w:color w:val="000000"/>
        </w:rPr>
        <w:t>Mortgage Certificates</w:t>
      </w:r>
    </w:p>
    <w:p w:rsidRPr="00B34407" w:rsidR="00AF72E5" w:rsidP="00AF72E5" w:rsidRDefault="00AF72E5" w14:paraId="25F5D357" w14:textId="25107639">
      <w:pPr>
        <w:pStyle w:val="BodyTextFirstIndent"/>
        <w:rPr>
          <w:color w:val="000000"/>
        </w:rPr>
      </w:pPr>
      <w:bookmarkStart w:name="_DV_M692" w:id="882"/>
      <w:bookmarkEnd w:id="882"/>
      <w:r w:rsidRPr="00B34407">
        <w:rPr>
          <w:b/>
          <w:bCs/>
          <w:i/>
          <w:iCs/>
          <w:color w:val="000000"/>
        </w:rPr>
        <w:t>GNMA Certificates.</w:t>
      </w:r>
      <w:r w:rsidRPr="00B34407">
        <w:rPr>
          <w:color w:val="000000"/>
        </w:rPr>
        <w:t xml:space="preserve">  The GNMA Mortgage-Backed Securities Program and the GNMA Certificates contain various provisions, certain of which are summarized below.  Reference should be made to the GNMA I and II Mortgage-Backed Securities Guides, GNMA Handbook 5500.3 (collectively, the </w:t>
      </w:r>
      <w:r w:rsidR="00C34AEA">
        <w:rPr>
          <w:color w:val="000000"/>
        </w:rPr>
        <w:t>“</w:t>
      </w:r>
      <w:r w:rsidRPr="00B34407">
        <w:rPr>
          <w:color w:val="000000"/>
        </w:rPr>
        <w:t>GNMA Guide</w:t>
      </w:r>
      <w:r w:rsidR="00C34AEA">
        <w:rPr>
          <w:color w:val="000000"/>
        </w:rPr>
        <w:t>”</w:t>
      </w:r>
      <w:r w:rsidRPr="00B34407">
        <w:rPr>
          <w:color w:val="000000"/>
        </w:rPr>
        <w:t>), and the GNMA Certificates for a full and complete statement of their provisions.</w:t>
      </w:r>
    </w:p>
    <w:p w:rsidRPr="00B34407" w:rsidR="00AF72E5" w:rsidP="00AF72E5" w:rsidRDefault="00AF72E5" w14:paraId="62B97444" w14:textId="77777777">
      <w:pPr>
        <w:pStyle w:val="BodyTextFirstIndent"/>
        <w:rPr>
          <w:color w:val="000000"/>
        </w:rPr>
      </w:pPr>
      <w:bookmarkStart w:name="_DV_M693" w:id="883"/>
      <w:bookmarkEnd w:id="883"/>
      <w:r w:rsidRPr="00B34407">
        <w:rPr>
          <w:color w:val="000000"/>
        </w:rPr>
        <w:t>GNMA is a wholly owned corporate instrumentality of the United States within the Department of Housing and Urban Development, with its principal office in Washington, D.C.</w:t>
      </w:r>
    </w:p>
    <w:p w:rsidRPr="00B34407" w:rsidR="00AF72E5" w:rsidP="00AF72E5" w:rsidRDefault="00AF72E5" w14:paraId="7FAE2F5D" w14:textId="6D459302">
      <w:pPr>
        <w:pStyle w:val="BodyTextFirstIndent"/>
        <w:rPr>
          <w:color w:val="000000"/>
        </w:rPr>
      </w:pPr>
      <w:bookmarkStart w:name="_DV_M694" w:id="884"/>
      <w:bookmarkEnd w:id="884"/>
      <w:r w:rsidRPr="00B34407">
        <w:rPr>
          <w:color w:val="000000"/>
        </w:rPr>
        <w:t xml:space="preserve">There are two GNMA Mortgage-Backed Securities Programs, GNMA I and GNMA II.  To issue GNMA Certificates, each Servicer must first apply to and receive from GNMA a Commitment to Guarantee Mortgage-Backed Securities (the </w:t>
      </w:r>
      <w:r w:rsidR="00C34AEA">
        <w:rPr>
          <w:color w:val="000000"/>
        </w:rPr>
        <w:t>“</w:t>
      </w:r>
      <w:r w:rsidRPr="00B34407">
        <w:rPr>
          <w:color w:val="000000"/>
        </w:rPr>
        <w:t>GNMA Commitment</w:t>
      </w:r>
      <w:r w:rsidR="00C34AEA">
        <w:rPr>
          <w:color w:val="000000"/>
        </w:rPr>
        <w:t>”</w:t>
      </w:r>
      <w:r w:rsidRPr="00B34407">
        <w:rPr>
          <w:color w:val="000000"/>
        </w:rPr>
        <w:t xml:space="preserve">).  The GNMA Commitment authorizes the Servicer to issue GNMA Certificates up to a stated amount </w:t>
      </w:r>
      <w:r w:rsidR="00FD2C3C">
        <w:rPr>
          <w:color w:val="000000"/>
        </w:rPr>
        <w:t>until the last day of the month one year after the month the</w:t>
      </w:r>
      <w:r w:rsidR="00A2445C">
        <w:rPr>
          <w:color w:val="000000"/>
        </w:rPr>
        <w:t xml:space="preserve"> GNMA</w:t>
      </w:r>
      <w:r w:rsidR="00FD2C3C">
        <w:rPr>
          <w:color w:val="000000"/>
        </w:rPr>
        <w:t xml:space="preserve"> Commitment</w:t>
      </w:r>
      <w:r w:rsidR="006370D5">
        <w:rPr>
          <w:color w:val="000000"/>
        </w:rPr>
        <w:t xml:space="preserve"> is approved</w:t>
      </w:r>
      <w:r w:rsidRPr="00B34407">
        <w:rPr>
          <w:color w:val="000000"/>
        </w:rPr>
        <w:t>.  Under its Servicing Agreement, each Servicer will be obligated to pay GNMA any fees related to the GNMA Commitment.  The dollar amount of GNMA Commitments which GNMA may approve in any federal fiscal year (October 1 through September 30) is limited by statute and administrative procedures.</w:t>
      </w:r>
    </w:p>
    <w:p w:rsidRPr="00B34407" w:rsidR="00AF72E5" w:rsidP="00AF72E5" w:rsidRDefault="00C578AD" w14:paraId="585BFABF" w14:textId="0B5DCB62">
      <w:pPr>
        <w:pStyle w:val="BodyTextFirstIndent"/>
        <w:rPr>
          <w:color w:val="000000"/>
        </w:rPr>
      </w:pPr>
      <w:bookmarkStart w:name="_DV_M695" w:id="885"/>
      <w:bookmarkEnd w:id="885"/>
      <w:r w:rsidRPr="00B34407">
        <w:rPr>
          <w:color w:val="000000"/>
        </w:rPr>
        <w:t xml:space="preserve">Each GNMA Certificate will be a </w:t>
      </w:r>
      <w:r>
        <w:rPr>
          <w:color w:val="000000"/>
        </w:rPr>
        <w:t>“</w:t>
      </w:r>
      <w:r w:rsidRPr="00B34407">
        <w:rPr>
          <w:color w:val="000000"/>
        </w:rPr>
        <w:t>fully modified pass-through</w:t>
      </w:r>
      <w:r>
        <w:rPr>
          <w:color w:val="000000"/>
        </w:rPr>
        <w:t>”</w:t>
      </w:r>
      <w:r w:rsidRPr="00B34407">
        <w:rPr>
          <w:color w:val="000000"/>
        </w:rPr>
        <w:t xml:space="preserve"> security (guaranteed by GNMA pursuant to GNMA</w:t>
      </w:r>
      <w:r>
        <w:rPr>
          <w:color w:val="000000"/>
        </w:rPr>
        <w:t>’</w:t>
      </w:r>
      <w:r w:rsidRPr="00B34407">
        <w:rPr>
          <w:color w:val="000000"/>
        </w:rPr>
        <w:t xml:space="preserve">s GNMA I or GNMA II mortgage-backed securities program), which will require the Servicer to pay each month to the Trustee, as the holder thereof, both specified principal installments and a fixed rate of interest on the unpaid principal balance, plus any prepayments of principal of the related Mortgage Loans received by the Servicer in the previous month.  Such payments by the Servicer to the Trustee represent a pass through of the scheduled monthly payments on such Mortgage Loans (less a servicing fee, which includes the GNMA guaranty fee), whether or not the Servicer receives such scheduled monthly payments, plus any prepayments of principal of such Mortgage Loans received by the Servicer in the previous month.  Under the GNMA I Program, the Servicer </w:t>
      </w:r>
      <w:r>
        <w:rPr>
          <w:color w:val="000000"/>
        </w:rPr>
        <w:t xml:space="preserve">must pay certificated security holders directly and, for book-entry securities, have payments prepared in its accounts prior to the fifteenth day of each month, </w:t>
      </w:r>
      <w:r w:rsidRPr="004F36A5">
        <w:rPr>
          <w:color w:val="000000"/>
        </w:rPr>
        <w:t>or, if the fifteenth calendar day is not a business day, then the next business day,</w:t>
      </w:r>
      <w:r>
        <w:rPr>
          <w:color w:val="000000"/>
        </w:rPr>
        <w:t xml:space="preserve"> when the depository will debit the accounts. Servicers may also pay service holders directly by check if it arrives to the security holder by the fifteenth day of each month</w:t>
      </w:r>
      <w:r w:rsidRPr="00B34407">
        <w:rPr>
          <w:color w:val="000000"/>
        </w:rPr>
        <w:t xml:space="preserve">.  Under the GNMA II Program, the Servicer </w:t>
      </w:r>
      <w:r>
        <w:rPr>
          <w:color w:val="000000"/>
        </w:rPr>
        <w:t xml:space="preserve">must have payments prepared for certificated securities in its accounts prior to the nineteenth day of the month, when the Central Paying and Transfer Agent will debit the accounts and provide the payments to security holders. </w:t>
      </w:r>
      <w:r w:rsidRPr="00D12169">
        <w:rPr>
          <w:color w:val="000000"/>
        </w:rPr>
        <w:t xml:space="preserve">If </w:t>
      </w:r>
      <w:r w:rsidRPr="004F36A5">
        <w:rPr>
          <w:color w:val="000000"/>
        </w:rPr>
        <w:t xml:space="preserve">the nineteenth day of the month is not a business day, then the applicable date must be the twentieth calendar day. If the twentieth calendar day is also not a business day, then the applicable date must be the business day immediately preceding the </w:t>
      </w:r>
      <w:r>
        <w:rPr>
          <w:color w:val="000000"/>
        </w:rPr>
        <w:t>nineteenth</w:t>
      </w:r>
      <w:r w:rsidRPr="004F36A5">
        <w:rPr>
          <w:color w:val="000000"/>
        </w:rPr>
        <w:t xml:space="preserve"> calendar day of the month.</w:t>
      </w:r>
      <w:r w:rsidRPr="00D12169">
        <w:rPr>
          <w:color w:val="000000"/>
        </w:rPr>
        <w:t xml:space="preserve">  </w:t>
      </w:r>
      <w:r>
        <w:rPr>
          <w:color w:val="000000"/>
        </w:rPr>
        <w:t xml:space="preserve">For book-entry securities under GNMA II, issuers must have payments prepared prior to the twentieth day of the month, </w:t>
      </w:r>
      <w:r w:rsidRPr="00D12169">
        <w:rPr>
          <w:color w:val="000000"/>
        </w:rPr>
        <w:t xml:space="preserve">or if the </w:t>
      </w:r>
      <w:r>
        <w:rPr>
          <w:color w:val="000000"/>
        </w:rPr>
        <w:t>twentieth</w:t>
      </w:r>
      <w:r w:rsidRPr="00D12169">
        <w:rPr>
          <w:color w:val="000000"/>
        </w:rPr>
        <w:t xml:space="preserve"> is not a business day, the next business day</w:t>
      </w:r>
      <w:r w:rsidRPr="00B34407">
        <w:rPr>
          <w:color w:val="000000"/>
        </w:rPr>
        <w:t>.  The Servicer will be obligated under the Servicing Agreement to pay the monthly GNMA guaranty fees.  GNMA guarantees the timely payment of principal of and interest on each GNMA Certificate.</w:t>
      </w:r>
    </w:p>
    <w:p w:rsidRPr="00B34407" w:rsidR="00AF72E5" w:rsidP="00AF72E5" w:rsidRDefault="00AF72E5" w14:paraId="5BAF43E2" w14:textId="7E7ED0D8">
      <w:pPr>
        <w:pStyle w:val="BodyTextFirstIndent"/>
        <w:rPr>
          <w:color w:val="000000"/>
        </w:rPr>
      </w:pPr>
      <w:bookmarkStart w:name="_DV_M696" w:id="886"/>
      <w:bookmarkEnd w:id="886"/>
      <w:r w:rsidRPr="00B34407">
        <w:rPr>
          <w:color w:val="000000"/>
        </w:rPr>
        <w:t xml:space="preserve">GNMA is authorized by Section 306(g) of Title III of the National Housing Act of 1934, as amended (the </w:t>
      </w:r>
      <w:r w:rsidR="00C34AEA">
        <w:rPr>
          <w:color w:val="000000"/>
        </w:rPr>
        <w:t>“</w:t>
      </w:r>
      <w:r w:rsidRPr="00B34407">
        <w:rPr>
          <w:color w:val="000000"/>
        </w:rPr>
        <w:t>National Housing Act</w:t>
      </w:r>
      <w:r w:rsidR="00C34AEA">
        <w:rPr>
          <w:color w:val="000000"/>
        </w:rPr>
        <w:t>”</w:t>
      </w:r>
      <w:r w:rsidRPr="00B34407">
        <w:rPr>
          <w:color w:val="000000"/>
        </w:rPr>
        <w:t>), to, among other things, guarantee the timely payment of principal of and interest on certificates which are issued by an issuer approved by GNMA and are based on and backed by a pool composed of mortgages insured or guaranteed by FHA under the National Housing Act, insured by the Rural Housing Service Program, insured or guaranteed by the Department of Veteran</w:t>
      </w:r>
      <w:r w:rsidR="00C34AEA">
        <w:rPr>
          <w:color w:val="000000"/>
        </w:rPr>
        <w:t>’</w:t>
      </w:r>
      <w:r w:rsidRPr="00B34407">
        <w:rPr>
          <w:color w:val="000000"/>
        </w:rPr>
        <w:t>s Affairs (</w:t>
      </w:r>
      <w:r w:rsidR="00C34AEA">
        <w:rPr>
          <w:color w:val="000000"/>
        </w:rPr>
        <w:t>“</w:t>
      </w:r>
      <w:r w:rsidRPr="00B34407">
        <w:rPr>
          <w:color w:val="000000"/>
        </w:rPr>
        <w:t>VA</w:t>
      </w:r>
      <w:r w:rsidR="00C34AEA">
        <w:rPr>
          <w:color w:val="000000"/>
        </w:rPr>
        <w:t>”</w:t>
      </w:r>
      <w:r w:rsidRPr="00B34407">
        <w:rPr>
          <w:color w:val="000000"/>
        </w:rPr>
        <w:t xml:space="preserve">) or guaranteed by the Secretary of Housing and Urban Development under Section 184 of the Housing and Community Development Act of 1922 and administered by the Office of Public and Indian Housing under Chapter 13 of Title 12 of the United States Code.  Section 306(g) further provides, </w:t>
      </w:r>
      <w:r w:rsidR="00C34AEA">
        <w:rPr>
          <w:color w:val="000000"/>
        </w:rPr>
        <w:t>“</w:t>
      </w:r>
      <w:r w:rsidRPr="00B34407">
        <w:rPr>
          <w:color w:val="000000"/>
        </w:rPr>
        <w:t>The full faith and credit of the United States is pledged to the payment of all amounts which may be required to be paid under any guaranty under this subsection.</w:t>
      </w:r>
      <w:r w:rsidR="00C34AEA">
        <w:rPr>
          <w:color w:val="000000"/>
        </w:rPr>
        <w:t>”</w:t>
      </w:r>
      <w:r w:rsidRPr="00B34407">
        <w:rPr>
          <w:color w:val="000000"/>
        </w:rPr>
        <w:t xml:space="preserve">  An opinion, dated December </w:t>
      </w:r>
      <w:r w:rsidR="00254060">
        <w:rPr>
          <w:color w:val="000000"/>
        </w:rPr>
        <w:t>9</w:t>
      </w:r>
      <w:r w:rsidRPr="00B34407">
        <w:rPr>
          <w:color w:val="000000"/>
        </w:rPr>
        <w:t xml:space="preserve">, 1969, of an Assistant Attorney General of the United States, states that such guaranties under Section 306(g) of mortgage-backed certificates of the type being delivered to the Trustee on behalf of the Authority are authorized to be made by GNMA and </w:t>
      </w:r>
      <w:r w:rsidR="00C34AEA">
        <w:rPr>
          <w:color w:val="000000"/>
        </w:rPr>
        <w:t>“</w:t>
      </w:r>
      <w:r w:rsidRPr="00B34407">
        <w:rPr>
          <w:color w:val="000000"/>
        </w:rPr>
        <w:t>would constitute general obligations of the United States backed by its full faith and credit.</w:t>
      </w:r>
      <w:r w:rsidR="00C34AEA">
        <w:rPr>
          <w:color w:val="000000"/>
        </w:rPr>
        <w:t>”</w:t>
      </w:r>
    </w:p>
    <w:p w:rsidRPr="00B34407" w:rsidR="00AF72E5" w:rsidP="00AF72E5" w:rsidRDefault="00AF72E5" w14:paraId="6DCC0E6A" w14:textId="586F05F4">
      <w:pPr>
        <w:pStyle w:val="BodyTextFirstIndent"/>
        <w:rPr>
          <w:color w:val="000000"/>
        </w:rPr>
      </w:pPr>
      <w:bookmarkStart w:name="_DV_M697" w:id="887"/>
      <w:bookmarkEnd w:id="887"/>
      <w:r w:rsidRPr="00B34407">
        <w:rPr>
          <w:color w:val="000000"/>
        </w:rPr>
        <w:lastRenderedPageBreak/>
        <w:t xml:space="preserve">GNMA, upon execution of one or more guaranty agreements between the Servicer and GNMA (collectively, the </w:t>
      </w:r>
      <w:r w:rsidR="00C34AEA">
        <w:rPr>
          <w:color w:val="000000"/>
        </w:rPr>
        <w:t>“</w:t>
      </w:r>
      <w:r w:rsidRPr="00B34407">
        <w:rPr>
          <w:color w:val="000000"/>
        </w:rPr>
        <w:t>GNMA Guaranty Agreement</w:t>
      </w:r>
      <w:r w:rsidR="00C34AEA">
        <w:rPr>
          <w:color w:val="000000"/>
        </w:rPr>
        <w:t>”</w:t>
      </w:r>
      <w:r w:rsidRPr="00B34407">
        <w:rPr>
          <w:color w:val="000000"/>
        </w:rPr>
        <w:t xml:space="preserve">), delivery of the GNMA Certificate by the Servicer and sale of the GNMA Certificate to the Trustee, will have guaranteed to the Trustee as holder of the GNMA Certificate the timely payment of principal of and interest on the GNMA Certificate.  To meet its obligations under such guaranty, GNMA, in its corporate capacity under Section 306(d) of Title III of the National Housing Act, may issue to the United States </w:t>
      </w:r>
      <w:bookmarkStart w:name="ElPgBr65" w:id="888"/>
      <w:bookmarkEnd w:id="888"/>
      <w:r w:rsidRPr="00B34407">
        <w:rPr>
          <w:color w:val="000000"/>
        </w:rPr>
        <w:t>Treasury Department its obligations in an amount outstanding at any one time sufficient to enable GNMA to carry out its functions under Section 306.  The Treasury is authorized to purchase any obligations of GNMA to be issued under Section 306, and has indicated in a letter dated February 13, 1970, from the Secretary of the Treasury to the Secretary of the Department of Housing and Urban Development that the Treasury will make loans to GNMA, if needed, to implement GNMA</w:t>
      </w:r>
      <w:r w:rsidR="00C34AEA">
        <w:rPr>
          <w:color w:val="000000"/>
        </w:rPr>
        <w:t>’</w:t>
      </w:r>
      <w:r w:rsidRPr="00B34407">
        <w:rPr>
          <w:color w:val="000000"/>
        </w:rPr>
        <w:t>s guaranty.</w:t>
      </w:r>
    </w:p>
    <w:p w:rsidRPr="00B34407" w:rsidR="00AF72E5" w:rsidP="00AF72E5" w:rsidRDefault="00AF72E5" w14:paraId="4851E621" w14:textId="77777777">
      <w:pPr>
        <w:pStyle w:val="BodyTextFirstIndent"/>
        <w:rPr>
          <w:color w:val="000000"/>
        </w:rPr>
      </w:pPr>
      <w:bookmarkStart w:name="_DV_M698" w:id="889"/>
      <w:bookmarkEnd w:id="889"/>
      <w:r w:rsidRPr="00B34407">
        <w:rPr>
          <w:color w:val="000000"/>
        </w:rPr>
        <w:t>Under the terms of the GNMA Guaranty Agreement, GNMA will covenant and warrant to the Trustee as the holder of the GNMA Certificate that, if it is called upon at any time to make payment on its guaranty of the principal of and interest on the GNMA Certificate, it will, if necessary, in accordance with Section 306(d) of Title III of the National Housing Act, apply to the Treasury Department of the United States for a loan or loans in amounts sufficient to make payments of principal and interest due.</w:t>
      </w:r>
    </w:p>
    <w:p w:rsidRPr="00B34407" w:rsidR="00AF72E5" w:rsidP="00AF72E5" w:rsidRDefault="00AF72E5" w14:paraId="08F64FF1" w14:textId="77777777">
      <w:pPr>
        <w:pStyle w:val="BodyTextFirstIndent"/>
        <w:rPr>
          <w:color w:val="000000"/>
        </w:rPr>
      </w:pPr>
      <w:bookmarkStart w:name="_DV_M699" w:id="890"/>
      <w:bookmarkEnd w:id="890"/>
      <w:r w:rsidRPr="00B34407">
        <w:rPr>
          <w:color w:val="000000"/>
        </w:rPr>
        <w:t>The GNMA Certificates do not constitute any liability or evidence any recourse against the Servicer or any of its assets, except in respect to or as against the Mortgage Loans on and by which such GNMA Certificates are based and backed.  The GNMA Guaranty Agreement generally will provide that, upon any default by the Servicer and the payment under its guaranty by GNMA, or any failure of the Servicer to comply with the terms of its GNMA Guaranty Agreement, GNMA may, by letter to the Servicer, extinguish all the right, title or other interest of the Servicer in the Mortgage Loans in the respective pool, and such Mortgage Loans will thereupon become the absolute property of GNMA, subject only to unsatisfied rights therein of the Trustee.  In such event, all authority and power of the Servicer under the GNMA Guaranty Agreement will terminate and expire, all authority and power of the Servicer under the GNMA Guaranty Agreement will pass to and be vested in GNMA, and GNMA will be the successor in all respects to the Servicer in its capacity under the GNMA Guaranty Agreement and the transaction and arrangements set forth or provided for therein.</w:t>
      </w:r>
    </w:p>
    <w:p w:rsidRPr="00B34407" w:rsidR="00AF72E5" w:rsidP="00AF72E5" w:rsidRDefault="00AF72E5" w14:paraId="6C657CC2" w14:textId="3D578E48">
      <w:pPr>
        <w:pStyle w:val="BodyTextFirstIndent"/>
        <w:rPr>
          <w:color w:val="000000"/>
        </w:rPr>
      </w:pPr>
      <w:bookmarkStart w:name="_DV_M700" w:id="891"/>
      <w:bookmarkEnd w:id="891"/>
      <w:r w:rsidRPr="00B34407">
        <w:rPr>
          <w:color w:val="000000"/>
        </w:rPr>
        <w:t xml:space="preserve">For additional information about GNMA and GNMA Certificates, contact:  Government National Mortgage Association, 451 Seventh Street SW, Room B-133, Washington, D.C.  20410-9000; telephone (202) </w:t>
      </w:r>
      <w:r w:rsidR="00C578AD">
        <w:rPr>
          <w:color w:val="000000"/>
        </w:rPr>
        <w:t>475-4930</w:t>
      </w:r>
      <w:r w:rsidRPr="00B34407">
        <w:rPr>
          <w:color w:val="000000"/>
        </w:rPr>
        <w:t>.</w:t>
      </w:r>
    </w:p>
    <w:p w:rsidRPr="00B34407" w:rsidR="00AF72E5" w:rsidP="00F828E4" w:rsidRDefault="00123A1F" w14:paraId="0C6FFEC3" w14:textId="356E7889">
      <w:pPr>
        <w:pStyle w:val="BodyTextFirstIndent"/>
      </w:pPr>
      <w:bookmarkStart w:name="_DV_M701" w:id="892"/>
      <w:bookmarkEnd w:id="892"/>
      <w:r>
        <w:rPr>
          <w:b/>
          <w:bCs/>
          <w:i/>
          <w:iCs/>
        </w:rPr>
        <w:t xml:space="preserve">Freddie Mac </w:t>
      </w:r>
      <w:r w:rsidR="008D253D">
        <w:rPr>
          <w:b/>
          <w:bCs/>
          <w:i/>
          <w:iCs/>
        </w:rPr>
        <w:t>UMBS</w:t>
      </w:r>
      <w:r w:rsidRPr="00B34407" w:rsidR="00AF72E5">
        <w:rPr>
          <w:b/>
          <w:bCs/>
          <w:i/>
          <w:iCs/>
        </w:rPr>
        <w:t>.</w:t>
      </w:r>
      <w:r w:rsidRPr="00B34407" w:rsidR="00AF72E5">
        <w:t xml:space="preserve">  The Federal Home Loan Mortgage Corporation (</w:t>
      </w:r>
      <w:r w:rsidR="00C34AEA">
        <w:t>“</w:t>
      </w:r>
      <w:r w:rsidRPr="00B34407" w:rsidR="00AF72E5">
        <w:t>Freddie Ma</w:t>
      </w:r>
      <w:r w:rsidRPr="00E542B2" w:rsidR="00AF72E5">
        <w:t>c</w:t>
      </w:r>
      <w:r w:rsidR="00C34AEA">
        <w:t>”</w:t>
      </w:r>
      <w:r w:rsidRPr="00B34407" w:rsidR="00AF72E5">
        <w:t xml:space="preserve">) is a shareholder-owned government-sponsored enterprise created on July 24, 1970 pursuant to the Federal Home Loan Mortgage Corporation Act, Title III of the Emergency Home Finance Act of 1970, as amended (the </w:t>
      </w:r>
      <w:r w:rsidR="00C34AEA">
        <w:t>“</w:t>
      </w:r>
      <w:r w:rsidRPr="00B34407" w:rsidR="00AF72E5">
        <w:t>Freddie Mac Act</w:t>
      </w:r>
      <w:r w:rsidR="00C34AEA">
        <w:t>”</w:t>
      </w:r>
      <w:r w:rsidRPr="00B34407" w:rsidR="00AF72E5">
        <w:t>).  Freddie Mac is subject to the supervision and regulation of the Federal Housing Finance Agency (</w:t>
      </w:r>
      <w:r w:rsidR="00C34AEA">
        <w:t>“</w:t>
      </w:r>
      <w:r w:rsidRPr="00B34407" w:rsidR="00AF72E5">
        <w:t>FHFA</w:t>
      </w:r>
      <w:r w:rsidR="00C34AEA">
        <w:t>”</w:t>
      </w:r>
      <w:r w:rsidRPr="00B34407" w:rsidR="00AF72E5">
        <w:t>), an independent agency of the federal government, to the extent provided in the Housing and Economic Recovery Act of 2008 (</w:t>
      </w:r>
      <w:r w:rsidR="00C34AEA">
        <w:t>“</w:t>
      </w:r>
      <w:r w:rsidRPr="00B34407" w:rsidR="00AF72E5">
        <w:t>HERA</w:t>
      </w:r>
      <w:r w:rsidR="00C34AEA">
        <w:t>”</w:t>
      </w:r>
      <w:r w:rsidRPr="00B34407" w:rsidR="00AF72E5">
        <w:t>).  Freddie Mac</w:t>
      </w:r>
      <w:r w:rsidR="00C34AEA">
        <w:t>’</w:t>
      </w:r>
      <w:r w:rsidRPr="00B34407" w:rsidR="00AF72E5">
        <w:t xml:space="preserve">s statutory </w:t>
      </w:r>
      <w:r w:rsidR="00C578AD">
        <w:t>purpose</w:t>
      </w:r>
      <w:r w:rsidRPr="00B34407" w:rsidR="00AF72E5">
        <w:t xml:space="preserve"> is (i) to provide stability in the secondary market for residential mortgages; (ii) to respond appropriately to the private capital markets; (iii) to provide ongoing assistance to the secondary market for residential mortgages (including </w:t>
      </w:r>
      <w:r w:rsidR="00C578AD">
        <w:t xml:space="preserve">activities relating to </w:t>
      </w:r>
      <w:r w:rsidRPr="00B34407" w:rsidR="00AF72E5">
        <w:t>mortgages on housing for low-and-moderate-income families involving a reasonable economic return that may be less than the return earned on other activities) by increasing the liquidity of mortgage investments and improving the distribution of investment capital available for residential mortgage financing; and (iv) to promote access to mortgage credit throughout the United States (including central cities, rural areas and other underserved areas) by increasing the liquidity of mortgage investments and improving the distribution of investment capital available for residential mortgage financing</w:t>
      </w:r>
      <w:r w:rsidR="00C578AD">
        <w:t>; and (v) manage and liquidate federally owned mortgage portfolios in an orderly manner, with a minimum adverse effect upon the residential mortgage market and minimum loss to the Federal Government</w:t>
      </w:r>
      <w:r w:rsidRPr="00B34407" w:rsidR="00AF72E5">
        <w:t>.</w:t>
      </w:r>
    </w:p>
    <w:p w:rsidRPr="00B34407" w:rsidR="00AF72E5" w:rsidP="00F828E4" w:rsidRDefault="00AF72E5" w14:paraId="292BC3F1" w14:textId="21E3C645">
      <w:pPr>
        <w:pStyle w:val="BodyTextFirstIndent"/>
      </w:pPr>
      <w:bookmarkStart w:name="_DV_M702" w:id="893"/>
      <w:bookmarkEnd w:id="893"/>
      <w:r w:rsidRPr="00B34407">
        <w:t xml:space="preserve">Freddie Mac has established a mortgage purchase program (the </w:t>
      </w:r>
      <w:r w:rsidR="00C34AEA">
        <w:t>“</w:t>
      </w:r>
      <w:r w:rsidRPr="00B34407">
        <w:t>Guarantor Program</w:t>
      </w:r>
      <w:r w:rsidR="00C34AEA">
        <w:t>”</w:t>
      </w:r>
      <w:r w:rsidRPr="00B34407">
        <w:t xml:space="preserve">) pursuant to which Freddie Mac purchases a group of mortgages from a single seller in exchange for a </w:t>
      </w:r>
      <w:r w:rsidR="00F10ECF">
        <w:t xml:space="preserve">Uniform </w:t>
      </w:r>
      <w:r w:rsidR="00161AC7">
        <w:t>Mortgage-Backed</w:t>
      </w:r>
      <w:r w:rsidR="00F10ECF">
        <w:t xml:space="preserve"> Security</w:t>
      </w:r>
      <w:r w:rsidR="001957FB">
        <w:t xml:space="preserve"> issued by Freddie Mac</w:t>
      </w:r>
      <w:r w:rsidRPr="00B34407">
        <w:t>, which represents an undivided interest in a pool consisting of those mortgages.  The mortgages purchased can be either fixed rate mortgages</w:t>
      </w:r>
      <w:r w:rsidR="00C578AD">
        <w:t xml:space="preserve"> or adjustable-rate mortgages</w:t>
      </w:r>
      <w:r w:rsidRPr="00B34407">
        <w:t xml:space="preserve">.  Freddie Mac approves on an individual basis the institutions that may sell and service mortgages under the Guarantor Program after consideration of factors such as financial condition, operational capability and mortgage origination and/or servicing experience.  Most sellers and servicers are HUD-approved mortgagees or FDIC insured financial institutions.  </w:t>
      </w:r>
    </w:p>
    <w:p w:rsidRPr="00B34407" w:rsidR="00AF72E5" w:rsidP="00F828E4" w:rsidRDefault="008D253D" w14:paraId="0F08B884" w14:textId="705ECB9E">
      <w:pPr>
        <w:pStyle w:val="BodyTextFirstIndent"/>
      </w:pPr>
      <w:bookmarkStart w:name="_DV_M703" w:id="894"/>
      <w:bookmarkEnd w:id="894"/>
      <w:r>
        <w:lastRenderedPageBreak/>
        <w:t>UMBS</w:t>
      </w:r>
      <w:r w:rsidR="00123A1F">
        <w:t xml:space="preserve"> issued by Freddie Mac</w:t>
      </w:r>
      <w:r w:rsidRPr="00B34407" w:rsidR="00AF72E5">
        <w:t xml:space="preserve"> are mortgage pass-through securities issued and guaranteed by Freddie Mac under its Guarantor Program.  </w:t>
      </w:r>
      <w:r>
        <w:t>UMBS</w:t>
      </w:r>
      <w:r w:rsidRPr="00B34407" w:rsidR="00AF72E5">
        <w:t xml:space="preserve"> are issued only in book-entry form through the Federal Reserve Banks</w:t>
      </w:r>
      <w:r w:rsidR="00C34AEA">
        <w:t>’</w:t>
      </w:r>
      <w:r w:rsidRPr="00B34407" w:rsidR="00AF72E5">
        <w:t xml:space="preserve"> book-entry system.  Each </w:t>
      </w:r>
      <w:r w:rsidR="00F10ECF">
        <w:t>Un</w:t>
      </w:r>
      <w:r w:rsidR="00D753C5">
        <w:t xml:space="preserve">iform </w:t>
      </w:r>
      <w:r w:rsidR="00161AC7">
        <w:t>Mortgage-Backed</w:t>
      </w:r>
      <w:r w:rsidR="00D753C5">
        <w:t xml:space="preserve"> Security</w:t>
      </w:r>
      <w:r w:rsidRPr="00B34407" w:rsidR="00AF72E5">
        <w:t xml:space="preserve"> represents an undivided interest in a pool of mortgages.  Payments by borrowers on the mortgages in the pool are passed through monthly by Freddie Mac to record holders of the </w:t>
      </w:r>
      <w:r>
        <w:t>UMBS</w:t>
      </w:r>
      <w:r w:rsidRPr="00B34407" w:rsidR="00AF72E5">
        <w:t xml:space="preserve"> representing interests in that pool (less fees charged by Freddie Mac).</w:t>
      </w:r>
    </w:p>
    <w:p w:rsidRPr="00B34407" w:rsidR="00AF72E5" w:rsidP="00F828E4" w:rsidRDefault="00AF72E5" w14:paraId="4C69A551" w14:textId="7B1F52B3">
      <w:pPr>
        <w:pStyle w:val="BodyTextFirstIndent"/>
      </w:pPr>
      <w:bookmarkStart w:name="_DV_M704" w:id="895"/>
      <w:bookmarkStart w:name="ElPgBr66" w:id="896"/>
      <w:bookmarkEnd w:id="895"/>
      <w:bookmarkEnd w:id="896"/>
      <w:r w:rsidRPr="00B34407">
        <w:t xml:space="preserve">Payments on </w:t>
      </w:r>
      <w:r w:rsidR="008D253D">
        <w:t>UMBS</w:t>
      </w:r>
      <w:r w:rsidRPr="00B34407">
        <w:t xml:space="preserve"> b</w:t>
      </w:r>
      <w:r w:rsidR="00ED5B10">
        <w:t xml:space="preserve">egin on or about </w:t>
      </w:r>
      <w:r w:rsidR="0074769D">
        <w:t xml:space="preserve">fifty-five days after issuance </w:t>
      </w:r>
      <w:r w:rsidR="00ED5B10">
        <w:t xml:space="preserve">(for fixed rate </w:t>
      </w:r>
      <w:r w:rsidR="008D253D">
        <w:t>UMBS</w:t>
      </w:r>
      <w:r w:rsidR="00ED5B10">
        <w:t>)</w:t>
      </w:r>
      <w:r w:rsidRPr="00B34407">
        <w:t xml:space="preserve">.  Each month, Freddie Mac passes through to record holders of </w:t>
      </w:r>
      <w:r w:rsidR="008D253D">
        <w:t>UMBS</w:t>
      </w:r>
      <w:r w:rsidRPr="00B34407">
        <w:t xml:space="preserve"> their proportionate share of principal payments, including prepayments, on the mortgages in the related pool and one month</w:t>
      </w:r>
      <w:r w:rsidR="00C34AEA">
        <w:t>’</w:t>
      </w:r>
      <w:r w:rsidRPr="00B34407">
        <w:t>s interest at the applicable pass-through rate.</w:t>
      </w:r>
    </w:p>
    <w:p w:rsidRPr="00B34407" w:rsidR="00AF72E5" w:rsidP="00F828E4" w:rsidRDefault="00AF72E5" w14:paraId="40996298" w14:textId="14532783">
      <w:pPr>
        <w:pStyle w:val="BodyTextFirstIndent"/>
      </w:pPr>
      <w:bookmarkStart w:name="_DV_M705" w:id="897"/>
      <w:bookmarkEnd w:id="897"/>
      <w:r w:rsidRPr="00B34407">
        <w:t>Freddie Mac guarantees to each record holde</w:t>
      </w:r>
      <w:r w:rsidR="0074769D">
        <w:t>r of a Freddie Mac fixed rate UMBS</w:t>
      </w:r>
      <w:r w:rsidRPr="00B34407">
        <w:t xml:space="preserve"> the timely payment of interest at the applicable pass-through rate on the principal balance of the holder</w:t>
      </w:r>
      <w:r w:rsidR="00C34AEA">
        <w:t>’</w:t>
      </w:r>
      <w:r w:rsidRPr="00B34407">
        <w:t xml:space="preserve">s </w:t>
      </w:r>
      <w:r w:rsidR="008D253D">
        <w:t>UMBS</w:t>
      </w:r>
      <w:r w:rsidRPr="00B34407">
        <w:t xml:space="preserve"> and the timely payment of scheduled principal.  Freddie Mac guarantees to each holder of a Freddie Mac ARM PC the timely payment of interest at the applicable pass-through rate on the principal balance of the holder</w:t>
      </w:r>
      <w:r w:rsidR="00C34AEA">
        <w:t>’</w:t>
      </w:r>
      <w:r w:rsidRPr="00B34407">
        <w:t>s Freddie Mac ARM PC and the full and final payment of principal no later than the month after the prescribed final payment date of the PC.</w:t>
      </w:r>
    </w:p>
    <w:p w:rsidRPr="00B34407" w:rsidR="00AF72E5" w:rsidP="00F828E4" w:rsidRDefault="00AF72E5" w14:paraId="51A942E9" w14:textId="6AC695F3">
      <w:pPr>
        <w:pStyle w:val="BodyTextFirstIndent"/>
      </w:pPr>
      <w:bookmarkStart w:name="_DV_M706" w:id="898"/>
      <w:bookmarkEnd w:id="898"/>
      <w:r w:rsidRPr="00B34407">
        <w:rPr>
          <w:b/>
          <w:bCs/>
        </w:rPr>
        <w:t>The obligations of Freddie</w:t>
      </w:r>
      <w:r w:rsidR="00D753C5">
        <w:rPr>
          <w:b/>
          <w:bCs/>
        </w:rPr>
        <w:t xml:space="preserve"> Mac under its guarantees of</w:t>
      </w:r>
      <w:r w:rsidR="006270B3">
        <w:rPr>
          <w:b/>
          <w:bCs/>
        </w:rPr>
        <w:t xml:space="preserve"> </w:t>
      </w:r>
      <w:r w:rsidR="008D253D">
        <w:rPr>
          <w:b/>
          <w:bCs/>
        </w:rPr>
        <w:t>UMBS</w:t>
      </w:r>
      <w:r w:rsidR="006270B3">
        <w:rPr>
          <w:b/>
          <w:bCs/>
        </w:rPr>
        <w:t xml:space="preserve"> </w:t>
      </w:r>
      <w:r w:rsidRPr="00B34407">
        <w:rPr>
          <w:b/>
          <w:bCs/>
        </w:rPr>
        <w:t xml:space="preserve">are obligations of Freddie Mac only.  Principal and interest payments on </w:t>
      </w:r>
      <w:r w:rsidR="008D253D">
        <w:rPr>
          <w:b/>
          <w:bCs/>
        </w:rPr>
        <w:t>UMBS</w:t>
      </w:r>
      <w:r w:rsidRPr="00B34407">
        <w:rPr>
          <w:b/>
          <w:bCs/>
        </w:rPr>
        <w:t xml:space="preserve"> are not guaranteed by and are not debts or obligations of the United States or any federal agency or instrumentality of the United States other than Freddie Mac.</w:t>
      </w:r>
      <w:r w:rsidRPr="00B34407">
        <w:t xml:space="preserve">  If Freddie Mac were unable to satisfy its obligations under its guarantees, distributions on the </w:t>
      </w:r>
      <w:r w:rsidR="008D253D">
        <w:t>UMBS</w:t>
      </w:r>
      <w:r w:rsidRPr="00B34407">
        <w:t xml:space="preserve"> would consist solely of payments and other recoveries on the related mortgages; accordingly, under those circumstances, delinquencies and defaults on the mortgages would affect distributions on the </w:t>
      </w:r>
      <w:r w:rsidR="008D253D">
        <w:t>UMBS</w:t>
      </w:r>
      <w:r w:rsidRPr="00B34407">
        <w:t xml:space="preserve"> and could adversely affect payments on the Bonds.  Freddie Mac is subject to the supervision and regulation of FHFA to the extent provided in HERA.  </w:t>
      </w:r>
    </w:p>
    <w:p w:rsidRPr="00B34407" w:rsidR="00AF72E5" w:rsidP="00F828E4" w:rsidRDefault="00AF72E5" w14:paraId="6386D459" w14:textId="7BAF61B2">
      <w:pPr>
        <w:pStyle w:val="BodyTextFirstIndent"/>
      </w:pPr>
      <w:bookmarkStart w:name="_DV_M707" w:id="899"/>
      <w:bookmarkEnd w:id="899"/>
      <w:r w:rsidRPr="00B34407">
        <w:t>All mortgages purchased by Freddie Mac must meet certain standards established by the Freddie Mac Act.  In addition, Freddie Mac has established mortgage purchase standards, including credit, appraisal and underwriting guidelines.  These guidelines are designed to determine the value of the real property securing a mortgage and the creditworthiness of the borrower.  Freddie Mac</w:t>
      </w:r>
      <w:r w:rsidR="00C34AEA">
        <w:t>’</w:t>
      </w:r>
      <w:r w:rsidRPr="00B34407">
        <w:t>s administration of its guidelines may vary based, among other things, on its evaluation of and experience with the seller of the mortgages, the loan-to-value ratio and age of the mortgages, the type of property securing the mortgages and other factors.</w:t>
      </w:r>
    </w:p>
    <w:p w:rsidRPr="00B34407" w:rsidR="00AF72E5" w:rsidP="00F828E4" w:rsidRDefault="00AF72E5" w14:paraId="33F7580F" w14:textId="4F1A01E1">
      <w:pPr>
        <w:pStyle w:val="BodyTextFirstIndent"/>
      </w:pPr>
      <w:bookmarkStart w:name="_DV_M708" w:id="900"/>
      <w:bookmarkEnd w:id="900"/>
      <w:r w:rsidRPr="00B34407">
        <w:t>Freddie Mac has also established servicing policies and procedures to support the efficient and uniform servicing of the mortgages it purchases.  Each servicer must perform diligently all services and duties customary to the servicing of mortgages in a manner consistent with prudent servicing standards.  The duties performed by a servicer include collection and remittance of principal and interest to Freddie Mac; administration of escrow accounts; collection of insurance or guaranty claims; property inspections; and, if necessary, foreclosure.  Freddie Mac monitors servicers</w:t>
      </w:r>
      <w:r w:rsidR="00C34AEA">
        <w:t>’</w:t>
      </w:r>
      <w:r w:rsidRPr="00B34407">
        <w:t xml:space="preserve"> performance through periodic and special reports and inspections.</w:t>
      </w:r>
    </w:p>
    <w:p w:rsidRPr="00B34407" w:rsidR="00AF72E5" w:rsidP="00F828E4" w:rsidRDefault="00AF72E5" w14:paraId="3EBDF252" w14:textId="74C0FAF1">
      <w:pPr>
        <w:pStyle w:val="BodyTextFirstIndent"/>
      </w:pPr>
      <w:bookmarkStart w:name="_DV_M709" w:id="901"/>
      <w:bookmarkEnd w:id="901"/>
      <w:r w:rsidRPr="00B34407">
        <w:t>In the event of an existing or impending delinquency or other default on a mortgage, Freddie Mac may attempt to resolve the default through a variety of measures.  In determining which measures to pursue with respect to a given mortgage and when to initiate such measures, Freddie Mac seeks to minimize the costs that may be incurred in servicing the mortgage, as well as Freddie Mac</w:t>
      </w:r>
      <w:r w:rsidR="00C34AEA">
        <w:t>’</w:t>
      </w:r>
      <w:r w:rsidRPr="00B34407">
        <w:t>s possible exposure under its guarantees.  However, the measures that Freddie Mac may choose to pursue to resolve a default will not affect Freddie Mac</w:t>
      </w:r>
      <w:r w:rsidR="00C34AEA">
        <w:t>’</w:t>
      </w:r>
      <w:r w:rsidRPr="00B34407">
        <w:t xml:space="preserve">s guarantee.  In any event, Freddie Mac generally repurchases from a pool any mortgage that has remained delinquent for at least </w:t>
      </w:r>
      <w:r w:rsidR="0074769D">
        <w:t>24 months</w:t>
      </w:r>
      <w:r w:rsidRPr="00B34407">
        <w:t xml:space="preserve">. </w:t>
      </w:r>
      <w:r w:rsidR="00D845B4">
        <w:t xml:space="preserve"> </w:t>
      </w:r>
      <w:r w:rsidRPr="00B34407">
        <w:t>In that instance and in other circumstances in which Freddie Mac repurchases a mortgage, Freddie Mac makes payment of the unpaid principal balance of the mortgage to record holders of the related PC.</w:t>
      </w:r>
    </w:p>
    <w:p w:rsidRPr="00B34407" w:rsidR="00AF72E5" w:rsidP="00F828E4" w:rsidRDefault="00AF72E5" w14:paraId="3D03371D" w14:textId="0CD7C747">
      <w:pPr>
        <w:pStyle w:val="BodyTextFirstIndent"/>
      </w:pPr>
      <w:bookmarkStart w:name="_DV_M710" w:id="902"/>
      <w:bookmarkEnd w:id="902"/>
      <w:r w:rsidRPr="00B34407">
        <w:t>This summary concerning Freddie Mac, Freddie Mac</w:t>
      </w:r>
      <w:r w:rsidR="00C34AEA">
        <w:t>’</w:t>
      </w:r>
      <w:r w:rsidRPr="00B34407">
        <w:t>s Guarantor Program, Freddie Mac</w:t>
      </w:r>
      <w:r w:rsidR="00C34AEA">
        <w:t>’</w:t>
      </w:r>
      <w:r w:rsidRPr="00B34407">
        <w:t>s Mortgage Participation Certificates (</w:t>
      </w:r>
      <w:r w:rsidR="00C34AEA">
        <w:t>“</w:t>
      </w:r>
      <w:r w:rsidRPr="00B34407">
        <w:t>PCs</w:t>
      </w:r>
      <w:r w:rsidR="00C34AEA">
        <w:t>”</w:t>
      </w:r>
      <w:r w:rsidRPr="00B34407">
        <w:t>) and Freddie Mac</w:t>
      </w:r>
      <w:r w:rsidR="00C34AEA">
        <w:t>’</w:t>
      </w:r>
      <w:r w:rsidRPr="00B34407">
        <w:t>s mortgage purchase and servicing standards does not purport to be complete</w:t>
      </w:r>
      <w:r w:rsidR="00C578AD">
        <w:t xml:space="preserve"> and is qualified in its entiret</w:t>
      </w:r>
      <w:r w:rsidRPr="00B34407">
        <w:t>y by reference to the most current version of Freddie Mac</w:t>
      </w:r>
      <w:r w:rsidR="00C34AEA">
        <w:t>’</w:t>
      </w:r>
      <w:r w:rsidRPr="00B34407">
        <w:t>s Mortgage Participation Certificates Offering Circular, and supplements its Mortgage Participation Certificates Agreement, its Information Statement and any related Information Statement Supplements.  Information on Freddie Mac</w:t>
      </w:r>
      <w:r w:rsidR="00C34AEA">
        <w:t>’</w:t>
      </w:r>
      <w:r w:rsidRPr="00B34407">
        <w:t>s business generally and its financial condition is contained in Freddie Mac</w:t>
      </w:r>
      <w:r w:rsidR="00C34AEA">
        <w:t>’</w:t>
      </w:r>
      <w:r w:rsidRPr="00B34407">
        <w:t xml:space="preserve">s current Information Statement and Information Statement Supplements. </w:t>
      </w:r>
      <w:r w:rsidR="00CB33D2">
        <w:t xml:space="preserve"> </w:t>
      </w:r>
      <w:r w:rsidRPr="00B34407">
        <w:t xml:space="preserve">Copies of all these documents can be obtained at </w:t>
      </w:r>
      <w:r w:rsidR="0074769D">
        <w:t>Freddie Mac’s Investor Relations Department at 8100 Jones Branch Drive, McLean, Virginia 22102 (571-382-4732)</w:t>
      </w:r>
      <w:r w:rsidRPr="00B34407">
        <w:t xml:space="preserve">.  This summary is for informational </w:t>
      </w:r>
      <w:r w:rsidRPr="00B34407">
        <w:lastRenderedPageBreak/>
        <w:t xml:space="preserve">purposes only and is not intended as, nor does it constitute, an offer or solicitation for the purchase or sale of any Freddie Mac security. </w:t>
      </w:r>
    </w:p>
    <w:p w:rsidRPr="00B34407" w:rsidR="00AF72E5" w:rsidP="00F828E4" w:rsidRDefault="00AF72E5" w14:paraId="4FD8D72C" w14:textId="7332F794">
      <w:pPr>
        <w:pStyle w:val="BodyTextFirstIndent"/>
      </w:pPr>
      <w:bookmarkStart w:name="_DV_M711" w:id="903"/>
      <w:bookmarkEnd w:id="903"/>
      <w:r w:rsidRPr="00B34407">
        <w:t xml:space="preserve">Except for this summary, Freddie Mac has not participated in (i) preparing or reviewing the Official Statement or any agreements or documents related to the Official Statement or the Bonds and (ii) the offering of the </w:t>
      </w:r>
      <w:bookmarkStart w:name="ElPgBr67" w:id="904"/>
      <w:bookmarkEnd w:id="904"/>
      <w:r w:rsidRPr="00B34407">
        <w:t xml:space="preserve">Bonds. </w:t>
      </w:r>
      <w:r w:rsidR="00CB33D2">
        <w:t xml:space="preserve"> </w:t>
      </w:r>
      <w:r w:rsidRPr="00B34407">
        <w:t>Freddie Mac makes no statement as to the accuracy or adequacy of the Official Statement and the offering of the Bonds and disclaims any responsibility for assuring that the Official Statement or the offering of the Bonds comply with such agreements or documents or with applicable laws and regulations.  Freddie Mac</w:t>
      </w:r>
      <w:r w:rsidR="00C34AEA">
        <w:t>’</w:t>
      </w:r>
      <w:r w:rsidRPr="00B34407">
        <w:t xml:space="preserve">s issuance of PCs does not constitute an endorsement of the Bonds. </w:t>
      </w:r>
    </w:p>
    <w:p w:rsidRPr="00B34407" w:rsidR="00AF72E5" w:rsidP="00AF72E5" w:rsidRDefault="00D753C5" w14:paraId="0751518F" w14:textId="359EA0CF">
      <w:pPr>
        <w:pStyle w:val="BodyTextFirstIndent"/>
        <w:rPr>
          <w:color w:val="000000"/>
        </w:rPr>
      </w:pPr>
      <w:bookmarkStart w:name="_DV_M712" w:id="905"/>
      <w:bookmarkEnd w:id="905"/>
      <w:r>
        <w:rPr>
          <w:b/>
          <w:bCs/>
          <w:i/>
          <w:iCs/>
          <w:color w:val="000000"/>
        </w:rPr>
        <w:t>Fannie Mae</w:t>
      </w:r>
      <w:r w:rsidR="00DD0BB6">
        <w:rPr>
          <w:b/>
          <w:bCs/>
          <w:i/>
          <w:iCs/>
          <w:color w:val="000000"/>
        </w:rPr>
        <w:t xml:space="preserve"> </w:t>
      </w:r>
      <w:r w:rsidR="008D253D">
        <w:rPr>
          <w:b/>
          <w:bCs/>
          <w:i/>
          <w:iCs/>
          <w:color w:val="000000"/>
        </w:rPr>
        <w:t>UMBS</w:t>
      </w:r>
      <w:r w:rsidRPr="00B34407" w:rsidR="00AF72E5">
        <w:rPr>
          <w:b/>
          <w:bCs/>
          <w:i/>
          <w:iCs/>
          <w:color w:val="000000"/>
        </w:rPr>
        <w:t>.</w:t>
      </w:r>
      <w:r w:rsidRPr="00B34407" w:rsidR="00AF72E5">
        <w:rPr>
          <w:color w:val="000000"/>
        </w:rPr>
        <w:t xml:space="preserve">  Fannie Mae is a federally chartered and stockholder-owned corporation organized and existing under the Federal National Mortgage Association Charter Act (12 U.S.C. Section 1716 </w:t>
      </w:r>
      <w:r w:rsidRPr="00B34407" w:rsidR="00AF72E5">
        <w:rPr>
          <w:i/>
          <w:iCs/>
          <w:color w:val="000000"/>
        </w:rPr>
        <w:t>et seq</w:t>
      </w:r>
      <w:r w:rsidRPr="00B34407" w:rsidR="00AF72E5">
        <w:rPr>
          <w:color w:val="000000"/>
        </w:rPr>
        <w:t>.).  Fannie Mae was originally established in 1938 as a United States government agency to provide supplemental liquidity to the mortgage market, and was transformed into a stockholder-owned and privately managed corporation by legislation enacted in 1968.  Fannie Mae is subject to the supervision and regulation of the FHFA to the extent provided in HERA.  The Secretary of Housing and Urban Development also exercises general regulatory power over Fannie Mae.  Fannie Mae provides funds to the mortgage market by purchasing mortgage loans from lenders, thereby replenishing their funds for additional lending.  Fannie Mae acquires funds to purchase mortgage loans from many capital market investors that may not ordinarily invest in mortgage loans, thereby expanding the total amount of funds available for housing.  In addition, Fannie Mae issues mortgage-backed securities primarily in exchange for pools of mortgage loans from lenders.</w:t>
      </w:r>
    </w:p>
    <w:p w:rsidRPr="00B34407" w:rsidR="00AF72E5" w:rsidP="00AF72E5" w:rsidRDefault="00AF72E5" w14:paraId="55B284E8" w14:textId="2F91141C">
      <w:pPr>
        <w:pStyle w:val="BodyTextFirstIndent"/>
        <w:rPr>
          <w:color w:val="000000"/>
        </w:rPr>
      </w:pPr>
      <w:bookmarkStart w:name="_DV_M713" w:id="906"/>
      <w:bookmarkEnd w:id="906"/>
      <w:r w:rsidRPr="00B34407">
        <w:rPr>
          <w:color w:val="000000"/>
        </w:rPr>
        <w:t xml:space="preserve">ALTHOUGH THE SECRETARY OF THE TREASURY OF THE UNITED STATES HAS CERTAIN DISCRETIONARY AUTHORITY TO PURCHASE OBLIGATIONS OF FANNIE MAE, NEITHER THE UNITED STATES NOR ANY AGENCY OR INSTRUMENTALITY THEREOF IS OBLIGATED TO FINANCE FANNIE MAE OBLIGATIONS OR </w:t>
      </w:r>
      <w:r w:rsidR="0074769D">
        <w:rPr>
          <w:color w:val="000000"/>
        </w:rPr>
        <w:t>ASSIST FANNIE MAE IN ANY MANNER</w:t>
      </w:r>
      <w:r w:rsidRPr="00B34407">
        <w:rPr>
          <w:color w:val="000000"/>
        </w:rPr>
        <w:t xml:space="preserve">.  </w:t>
      </w:r>
    </w:p>
    <w:p w:rsidRPr="00B34407" w:rsidR="00AF72E5" w:rsidP="00AF72E5" w:rsidRDefault="00AF72E5" w14:paraId="3CA1ADB2" w14:textId="36048EC8">
      <w:pPr>
        <w:pStyle w:val="BodyTextFirstIndent"/>
        <w:rPr>
          <w:color w:val="000000"/>
        </w:rPr>
      </w:pPr>
      <w:bookmarkStart w:name="_DV_M714" w:id="907"/>
      <w:bookmarkEnd w:id="907"/>
      <w:r w:rsidRPr="00B34407">
        <w:rPr>
          <w:color w:val="000000"/>
        </w:rPr>
        <w:t xml:space="preserve">Fannie Mae has implemented a mortgage-backed securities program pursuant to which Fannie Mae issues securities backed by pools of mortgage loans (the </w:t>
      </w:r>
      <w:r w:rsidR="00C34AEA">
        <w:rPr>
          <w:color w:val="000000"/>
        </w:rPr>
        <w:t>“</w:t>
      </w:r>
      <w:r w:rsidRPr="00B34407">
        <w:rPr>
          <w:color w:val="000000"/>
        </w:rPr>
        <w:t>MBS Program</w:t>
      </w:r>
      <w:r w:rsidR="00C34AEA">
        <w:rPr>
          <w:color w:val="000000"/>
        </w:rPr>
        <w:t>”</w:t>
      </w:r>
      <w:r w:rsidRPr="00B34407">
        <w:rPr>
          <w:color w:val="000000"/>
        </w:rPr>
        <w:t>).  THE OBLIGATIONS OF FANNIE MAE, INCLUDING ITS OBLIGATIONS UNDER THE FANNIE MAE CERTIFICATES, ARE OBLIGATIONS SOLELY OF FANNIE MAE AND ARE NOT BACKED BY, OR ENTITLED TO, THE FULL FAITH AND CREDIT OF THE UNITED STATES.</w:t>
      </w:r>
    </w:p>
    <w:p w:rsidRPr="00B34407" w:rsidR="00AF72E5" w:rsidP="00AF72E5" w:rsidRDefault="00AF72E5" w14:paraId="21915158" w14:textId="79B00B84">
      <w:pPr>
        <w:pStyle w:val="BodyTextFirstIndent"/>
        <w:rPr>
          <w:color w:val="000000"/>
        </w:rPr>
      </w:pPr>
      <w:bookmarkStart w:name="_DV_M715" w:id="908"/>
      <w:bookmarkEnd w:id="908"/>
      <w:r w:rsidRPr="00B34407">
        <w:rPr>
          <w:color w:val="000000"/>
        </w:rPr>
        <w:t xml:space="preserve">The terms of the MBS Program are governed by the Fannie Mae Selling and Servicing Guides (the </w:t>
      </w:r>
      <w:r w:rsidR="00C34AEA">
        <w:rPr>
          <w:color w:val="000000"/>
        </w:rPr>
        <w:t>“</w:t>
      </w:r>
      <w:r w:rsidRPr="00B34407">
        <w:rPr>
          <w:color w:val="000000"/>
        </w:rPr>
        <w:t>Fannie Mae Guides</w:t>
      </w:r>
      <w:r w:rsidR="00C34AEA">
        <w:rPr>
          <w:color w:val="000000"/>
        </w:rPr>
        <w:t>”</w:t>
      </w:r>
      <w:r w:rsidRPr="00B34407">
        <w:rPr>
          <w:color w:val="000000"/>
        </w:rPr>
        <w:t xml:space="preserve">), as modified by the Fannie Mae Pool Purchase Contract (as hereinafter defined), and, in the case of mortgage loans such as the Mortgage Loans, a Trust Indenture dated as of November 1, 1981, as amended (the </w:t>
      </w:r>
      <w:r w:rsidR="00C34AEA">
        <w:rPr>
          <w:color w:val="000000"/>
        </w:rPr>
        <w:t>“</w:t>
      </w:r>
      <w:r w:rsidRPr="00B34407">
        <w:rPr>
          <w:color w:val="000000"/>
        </w:rPr>
        <w:t>Fannie Mae Indenture</w:t>
      </w:r>
      <w:r w:rsidR="00C34AEA">
        <w:rPr>
          <w:color w:val="000000"/>
        </w:rPr>
        <w:t>”</w:t>
      </w:r>
      <w:r w:rsidRPr="00B34407">
        <w:rPr>
          <w:color w:val="000000"/>
        </w:rPr>
        <w:t xml:space="preserve">), and a supplement thereto to be issued by Fannie Mae in connection with each pool.  The MBS Program is further described in a prospectus issued by Fannie Mae (the </w:t>
      </w:r>
      <w:r w:rsidR="00C34AEA">
        <w:rPr>
          <w:color w:val="000000"/>
        </w:rPr>
        <w:t>“</w:t>
      </w:r>
      <w:r w:rsidRPr="00B34407">
        <w:rPr>
          <w:color w:val="000000"/>
        </w:rPr>
        <w:t>Fannie Mae Prospectus</w:t>
      </w:r>
      <w:r w:rsidR="00C34AEA">
        <w:rPr>
          <w:color w:val="000000"/>
        </w:rPr>
        <w:t>”</w:t>
      </w:r>
      <w:r w:rsidRPr="00B34407">
        <w:rPr>
          <w:color w:val="000000"/>
        </w:rPr>
        <w:t xml:space="preserve">).  The </w:t>
      </w:r>
      <w:r w:rsidRPr="00B34407" w:rsidR="00205E40">
        <w:rPr>
          <w:color w:val="000000"/>
        </w:rPr>
        <w:t xml:space="preserve">Fannie Mae Prospectus </w:t>
      </w:r>
      <w:r w:rsidRPr="00B34407">
        <w:rPr>
          <w:color w:val="000000"/>
        </w:rPr>
        <w:t>is updated from time to time.</w:t>
      </w:r>
    </w:p>
    <w:p w:rsidRPr="00B34407" w:rsidR="00AF72E5" w:rsidP="00AF72E5" w:rsidRDefault="00AF72E5" w14:paraId="5EEA61FA" w14:textId="20620D20">
      <w:pPr>
        <w:pStyle w:val="BodyTextFirstIndent"/>
        <w:rPr>
          <w:color w:val="000000"/>
        </w:rPr>
      </w:pPr>
      <w:bookmarkStart w:name="_DV_M716" w:id="909"/>
      <w:bookmarkEnd w:id="909"/>
      <w:r w:rsidRPr="00B34407">
        <w:rPr>
          <w:color w:val="000000"/>
        </w:rPr>
        <w:t>Copies of the Fannie Mae Prospectus and Fannie Mae</w:t>
      </w:r>
      <w:r w:rsidR="00C34AEA">
        <w:rPr>
          <w:color w:val="000000"/>
        </w:rPr>
        <w:t>’</w:t>
      </w:r>
      <w:r w:rsidRPr="00B34407">
        <w:rPr>
          <w:color w:val="000000"/>
        </w:rPr>
        <w:t xml:space="preserve">s most recent annual and quarterly reports and proxy statements are available without charge </w:t>
      </w:r>
      <w:r w:rsidR="0074769D">
        <w:rPr>
          <w:color w:val="000000"/>
        </w:rPr>
        <w:t xml:space="preserve">at </w:t>
      </w:r>
      <w:hyperlink w:history="1" r:id="rId28">
        <w:r w:rsidRPr="00CC0F1A" w:rsidR="0074769D">
          <w:rPr>
            <w:rStyle w:val="Hyperlink"/>
          </w:rPr>
          <w:t>https://capitalmarkets.fanniemae.com/mortgage-backed-securities/mbs-prospectuses</w:t>
        </w:r>
      </w:hyperlink>
      <w:r w:rsidR="0074769D">
        <w:rPr>
          <w:color w:val="000000"/>
        </w:rPr>
        <w:t xml:space="preserve"> </w:t>
      </w:r>
      <w:r w:rsidR="00C578AD">
        <w:rPr>
          <w:color w:val="000000"/>
        </w:rPr>
        <w:t xml:space="preserve">and </w:t>
      </w:r>
      <w:hyperlink w:history="1" r:id="rId29">
        <w:r w:rsidRPr="00D12169" w:rsidR="00C578AD">
          <w:rPr>
            <w:rStyle w:val="Hyperlink"/>
          </w:rPr>
          <w:t>https://www.fanniemae.com/about-us/investor-relations/quarterly-and-annual-results</w:t>
        </w:r>
      </w:hyperlink>
      <w:r w:rsidRPr="00D12169" w:rsidR="00C578AD">
        <w:rPr>
          <w:color w:val="000000"/>
        </w:rPr>
        <w:t xml:space="preserve">, and </w:t>
      </w:r>
      <w:hyperlink w:history="1" r:id="rId30">
        <w:r w:rsidRPr="00D12169" w:rsidR="00C578AD">
          <w:rPr>
            <w:rStyle w:val="Hyperlink"/>
          </w:rPr>
          <w:t>https://fanniemae.gcs-web.com/proxy-filings</w:t>
        </w:r>
      </w:hyperlink>
      <w:r w:rsidR="00C578AD">
        <w:rPr>
          <w:color w:val="000000"/>
        </w:rPr>
        <w:t xml:space="preserve"> </w:t>
      </w:r>
      <w:r w:rsidR="0074769D">
        <w:rPr>
          <w:color w:val="000000"/>
        </w:rPr>
        <w:t>or by contacting Investor Relations at Fannie Mae, 1100 15</w:t>
      </w:r>
      <w:r w:rsidRPr="0074769D" w:rsidR="0074769D">
        <w:rPr>
          <w:color w:val="000000"/>
          <w:vertAlign w:val="superscript"/>
        </w:rPr>
        <w:t>th</w:t>
      </w:r>
      <w:r w:rsidR="0074769D">
        <w:rPr>
          <w:color w:val="000000"/>
        </w:rPr>
        <w:t xml:space="preserve"> Street NW, Washington, D.C. 20005; telephone: 800-232-6643. </w:t>
      </w:r>
    </w:p>
    <w:p w:rsidRPr="00B34407" w:rsidR="00AF72E5" w:rsidP="00AF72E5" w:rsidRDefault="00AF72E5" w14:paraId="60BD98D2" w14:textId="77777777">
      <w:pPr>
        <w:pStyle w:val="BodyTextFirstIndent"/>
        <w:rPr>
          <w:color w:val="000000"/>
        </w:rPr>
      </w:pPr>
      <w:bookmarkStart w:name="_DV_M717" w:id="910"/>
      <w:bookmarkEnd w:id="910"/>
      <w:r w:rsidRPr="00B34407">
        <w:rPr>
          <w:color w:val="000000"/>
        </w:rPr>
        <w:t>The summary of the MBS Program set forth herein does not purport to be comprehensive and is qualified in its entirety by reference to the Fannie Mae Guides, the Fannie Mae Prospectus and the other documents referred to herein.</w:t>
      </w:r>
    </w:p>
    <w:p w:rsidRPr="00B34407" w:rsidR="00AF72E5" w:rsidP="00AF72E5" w:rsidRDefault="00AF72E5" w14:paraId="649CAACB" w14:textId="762FD64B">
      <w:pPr>
        <w:pStyle w:val="BodyTextFirstIndent"/>
        <w:rPr>
          <w:color w:val="000000"/>
        </w:rPr>
      </w:pPr>
      <w:bookmarkStart w:name="_DV_M718" w:id="911"/>
      <w:bookmarkEnd w:id="911"/>
      <w:r w:rsidRPr="00B34407">
        <w:rPr>
          <w:color w:val="000000"/>
        </w:rPr>
        <w:t xml:space="preserve">It is expected that Fannie Mae and the Servicer will enter into a Pool Purchase Contract (the </w:t>
      </w:r>
      <w:r w:rsidR="00C34AEA">
        <w:rPr>
          <w:color w:val="000000"/>
        </w:rPr>
        <w:t>“</w:t>
      </w:r>
      <w:r w:rsidRPr="00B34407">
        <w:rPr>
          <w:color w:val="000000"/>
        </w:rPr>
        <w:t>Fannie Mae Pool Purchase Contract</w:t>
      </w:r>
      <w:r w:rsidR="00C34AEA">
        <w:rPr>
          <w:color w:val="000000"/>
        </w:rPr>
        <w:t>”</w:t>
      </w:r>
      <w:r w:rsidRPr="00B34407">
        <w:rPr>
          <w:color w:val="000000"/>
        </w:rPr>
        <w:t>), pursuant to which the Servicer will be permitted to deliver, and Fannie Mae will agree to purchase, Mortgage Loans in exch</w:t>
      </w:r>
      <w:r w:rsidR="0076358A">
        <w:rPr>
          <w:color w:val="000000"/>
        </w:rPr>
        <w:t>ange for Fannie Mae</w:t>
      </w:r>
      <w:r w:rsidR="00DD0BB6">
        <w:rPr>
          <w:color w:val="000000"/>
        </w:rPr>
        <w:t xml:space="preserve"> </w:t>
      </w:r>
      <w:r w:rsidR="008D253D">
        <w:rPr>
          <w:color w:val="000000"/>
        </w:rPr>
        <w:t>UMBS</w:t>
      </w:r>
      <w:r w:rsidRPr="00B34407">
        <w:rPr>
          <w:color w:val="000000"/>
        </w:rPr>
        <w:t xml:space="preserve">.  The purpose of the Fannie Mae Pool Purchase Contract is to provide for certain additions, deletions and changes to the Fannie Mae Guides relating to the purchase of Mortgage Loans.  In the event of a conflict between the Fannie Mae Pool Purchase Contract and the Fannie Mae Guides, the Fannie Mae Pool Purchase Contract will control.  The description set forth below assumes that the Fannie </w:t>
      </w:r>
      <w:r w:rsidRPr="00B34407">
        <w:rPr>
          <w:color w:val="000000"/>
        </w:rPr>
        <w:lastRenderedPageBreak/>
        <w:t>Mae Pool Purchase Contract will be executed substantially in the form presented by Fannie Mae to the Servicer as of the date hereof.</w:t>
      </w:r>
    </w:p>
    <w:p w:rsidRPr="00B34407" w:rsidR="00AF72E5" w:rsidP="00AF72E5" w:rsidRDefault="00AF72E5" w14:paraId="69512D46" w14:textId="537F9C7C">
      <w:pPr>
        <w:pStyle w:val="BodyTextFirstIndent"/>
        <w:rPr>
          <w:color w:val="000000"/>
        </w:rPr>
      </w:pPr>
      <w:bookmarkStart w:name="_DV_M719" w:id="912"/>
      <w:bookmarkEnd w:id="912"/>
      <w:r w:rsidRPr="00B34407">
        <w:rPr>
          <w:color w:val="000000"/>
        </w:rPr>
        <w:t xml:space="preserve">Under the Fannie Mae Pool Purchase Contract, Fannie Mae will purchase both Mortgage Loans eligible under the guidelines set forth in the Fannie Mae Guides and Mortgage Loans insured under the Community Home </w:t>
      </w:r>
      <w:bookmarkStart w:name="ElPgBr68" w:id="913"/>
      <w:bookmarkEnd w:id="913"/>
      <w:r w:rsidRPr="00B34407">
        <w:rPr>
          <w:color w:val="000000"/>
        </w:rPr>
        <w:t>Buyer</w:t>
      </w:r>
      <w:r w:rsidR="00C34AEA">
        <w:rPr>
          <w:color w:val="000000"/>
        </w:rPr>
        <w:t>’</w:t>
      </w:r>
      <w:r w:rsidRPr="00B34407">
        <w:rPr>
          <w:color w:val="000000"/>
        </w:rPr>
        <w:t xml:space="preserve">s Program sponsored by Fannie Mae (the </w:t>
      </w:r>
      <w:r w:rsidR="00C34AEA">
        <w:rPr>
          <w:color w:val="000000"/>
        </w:rPr>
        <w:t>“</w:t>
      </w:r>
      <w:r w:rsidRPr="00B34407">
        <w:rPr>
          <w:color w:val="000000"/>
        </w:rPr>
        <w:t>Fannie Mae Community Home Buyer</w:t>
      </w:r>
      <w:r w:rsidR="00C34AEA">
        <w:rPr>
          <w:color w:val="000000"/>
        </w:rPr>
        <w:t>’</w:t>
      </w:r>
      <w:r w:rsidRPr="00B34407">
        <w:rPr>
          <w:color w:val="000000"/>
        </w:rPr>
        <w:t>s Program</w:t>
      </w:r>
      <w:r w:rsidR="00C34AEA">
        <w:rPr>
          <w:color w:val="000000"/>
        </w:rPr>
        <w:t>”</w:t>
      </w:r>
      <w:r w:rsidRPr="00B34407">
        <w:rPr>
          <w:color w:val="000000"/>
        </w:rPr>
        <w:t>) which conform to the conditions set forth in the Fannie Mae Pool Purchase Contract.</w:t>
      </w:r>
    </w:p>
    <w:p w:rsidRPr="00B34407" w:rsidR="00AF72E5" w:rsidP="00AF72E5" w:rsidRDefault="00AF72E5" w14:paraId="6A42B61C" w14:textId="77777777">
      <w:pPr>
        <w:pStyle w:val="BodyTextFirstIndent"/>
        <w:rPr>
          <w:color w:val="000000"/>
        </w:rPr>
      </w:pPr>
      <w:bookmarkStart w:name="_DV_M720" w:id="914"/>
      <w:bookmarkEnd w:id="914"/>
      <w:r w:rsidRPr="00B34407">
        <w:rPr>
          <w:color w:val="000000"/>
        </w:rPr>
        <w:t>The Fannie Mae Pool Purchase Contract obligates the Servicer to service the Mortgage Loans in accordance with the requirements of the Fannie Mae Guides and the Fannie Mae Pool Purchase Contract.</w:t>
      </w:r>
    </w:p>
    <w:p w:rsidRPr="00B34407" w:rsidR="00AF72E5" w:rsidP="00AF72E5" w:rsidRDefault="0076358A" w14:paraId="1C514EA7" w14:textId="532123EB">
      <w:pPr>
        <w:pStyle w:val="BodyTextFirstIndent"/>
        <w:rPr>
          <w:color w:val="000000"/>
        </w:rPr>
      </w:pPr>
      <w:bookmarkStart w:name="_DV_M721" w:id="915"/>
      <w:bookmarkEnd w:id="915"/>
      <w:r>
        <w:rPr>
          <w:color w:val="000000"/>
        </w:rPr>
        <w:t xml:space="preserve">Each Fannie Mae </w:t>
      </w:r>
      <w:r w:rsidR="008D253D">
        <w:rPr>
          <w:color w:val="000000"/>
        </w:rPr>
        <w:t>UMBS</w:t>
      </w:r>
      <w:r w:rsidR="00DD0BB6">
        <w:rPr>
          <w:color w:val="000000"/>
        </w:rPr>
        <w:t xml:space="preserve"> </w:t>
      </w:r>
      <w:r w:rsidRPr="00B34407" w:rsidR="00AF72E5">
        <w:rPr>
          <w:color w:val="000000"/>
        </w:rPr>
        <w:t xml:space="preserve">will represent the entire interest in a specified pool of Mortgage Loans purchased by Fannie Mae from the Servicer and identified in records maintained by Fannie Mae.  The Fannie Mae Pool Purchase Contract requires that each Fannie Mae Certificate be in a minimum amount of $250,000. </w:t>
      </w:r>
    </w:p>
    <w:p w:rsidRPr="00B34407" w:rsidR="00AF72E5" w:rsidP="00AF72E5" w:rsidRDefault="00AF72E5" w14:paraId="76432785" w14:textId="60FDBCB0">
      <w:pPr>
        <w:pStyle w:val="BodyTextFirstIndent"/>
        <w:rPr>
          <w:color w:val="000000"/>
        </w:rPr>
      </w:pPr>
      <w:bookmarkStart w:name="_DV_M722" w:id="916"/>
      <w:bookmarkEnd w:id="916"/>
      <w:r w:rsidRPr="00B34407">
        <w:rPr>
          <w:color w:val="000000"/>
        </w:rPr>
        <w:t>Fannie Mae will guarantee to the regi</w:t>
      </w:r>
      <w:r w:rsidR="00DD0BB6">
        <w:rPr>
          <w:color w:val="000000"/>
        </w:rPr>
        <w:t xml:space="preserve">stered holder of the Fannie Mae </w:t>
      </w:r>
      <w:r w:rsidR="008D253D">
        <w:rPr>
          <w:color w:val="000000"/>
        </w:rPr>
        <w:t>UMBS</w:t>
      </w:r>
      <w:r w:rsidRPr="00DD0BB6" w:rsidR="00DD0BB6">
        <w:rPr>
          <w:color w:val="000000"/>
        </w:rPr>
        <w:t xml:space="preserve"> </w:t>
      </w:r>
      <w:r w:rsidRPr="00B34407">
        <w:rPr>
          <w:color w:val="000000"/>
        </w:rPr>
        <w:t>that it will distribute amounts representing scheduled principal and interest at the applicable pass-through rate on the Mortgage Loans in the pool represented by such Fannie Mae</w:t>
      </w:r>
      <w:r w:rsidR="00DD0BB6">
        <w:rPr>
          <w:color w:val="000000"/>
        </w:rPr>
        <w:t xml:space="preserve"> </w:t>
      </w:r>
      <w:r w:rsidR="008D253D">
        <w:rPr>
          <w:color w:val="000000"/>
        </w:rPr>
        <w:t>UMBS</w:t>
      </w:r>
      <w:r w:rsidRPr="00B34407">
        <w:rPr>
          <w:color w:val="000000"/>
        </w:rPr>
        <w:t>, whether or not received, and the full principal balance of any foreclosed or other fully liquidated Mortgage Loan, whether or not such principal balance is actually received.  The obligations of Fannie Mae under such guarantees are obligations solely of Fannie Mae and are not backed by, nor entitled to, the faith and credit of the United States.  If Fannie Mae were unable to satisfy such obligations, distributions to the Trustee, as the registered holder of Fannie Mae</w:t>
      </w:r>
      <w:r w:rsidR="00DD0BB6">
        <w:rPr>
          <w:color w:val="000000"/>
        </w:rPr>
        <w:t xml:space="preserve"> </w:t>
      </w:r>
      <w:r w:rsidR="008D253D">
        <w:rPr>
          <w:color w:val="000000"/>
        </w:rPr>
        <w:t>UMBS</w:t>
      </w:r>
      <w:r w:rsidRPr="00B34407">
        <w:rPr>
          <w:color w:val="000000"/>
        </w:rPr>
        <w:t>, would consist solely of payments and other recoveries on the underlying Mortgage Loans and, accordingly, monthly distributions to the Trustee, as the holder of Fannie Mae</w:t>
      </w:r>
      <w:r w:rsidR="00DD0BB6">
        <w:rPr>
          <w:color w:val="000000"/>
        </w:rPr>
        <w:t xml:space="preserve"> </w:t>
      </w:r>
      <w:r w:rsidR="008D253D">
        <w:rPr>
          <w:color w:val="000000"/>
        </w:rPr>
        <w:t>UMBS</w:t>
      </w:r>
      <w:r w:rsidRPr="00B34407">
        <w:rPr>
          <w:color w:val="000000"/>
        </w:rPr>
        <w:t>, would be affected by delinquent payments and defaults on such Mortgage Loans.</w:t>
      </w:r>
    </w:p>
    <w:p w:rsidRPr="00B34407" w:rsidR="00AF72E5" w:rsidP="00AF72E5" w:rsidRDefault="00AF72E5" w14:paraId="095004C4" w14:textId="34B6A8D6">
      <w:pPr>
        <w:pStyle w:val="BodyTextFirstIndent"/>
        <w:rPr>
          <w:color w:val="000000"/>
        </w:rPr>
      </w:pPr>
      <w:bookmarkStart w:name="_DV_M723" w:id="917"/>
      <w:bookmarkEnd w:id="917"/>
      <w:r w:rsidRPr="00B34407">
        <w:rPr>
          <w:color w:val="000000"/>
        </w:rPr>
        <w:t>Payments on a Fannie Mae</w:t>
      </w:r>
      <w:r w:rsidR="00DD0BB6">
        <w:rPr>
          <w:color w:val="000000"/>
        </w:rPr>
        <w:t xml:space="preserve"> </w:t>
      </w:r>
      <w:r w:rsidR="008D253D">
        <w:rPr>
          <w:color w:val="000000"/>
        </w:rPr>
        <w:t>UMBS</w:t>
      </w:r>
      <w:r w:rsidRPr="00B34407">
        <w:rPr>
          <w:color w:val="000000"/>
        </w:rPr>
        <w:t xml:space="preserve"> will be made on the 25</w:t>
      </w:r>
      <w:r w:rsidRPr="00B34407">
        <w:rPr>
          <w:color w:val="000000"/>
          <w:vertAlign w:val="superscript"/>
        </w:rPr>
        <w:t>th</w:t>
      </w:r>
      <w:r w:rsidRPr="00B34407">
        <w:rPr>
          <w:color w:val="000000"/>
        </w:rPr>
        <w:t xml:space="preserve"> day of each month (beginning with the month foll</w:t>
      </w:r>
      <w:r w:rsidR="00DD0BB6">
        <w:rPr>
          <w:color w:val="000000"/>
        </w:rPr>
        <w:t xml:space="preserve">owing the month such Fannie Mae </w:t>
      </w:r>
      <w:r w:rsidR="008D253D">
        <w:rPr>
          <w:color w:val="000000"/>
        </w:rPr>
        <w:t>UMBS</w:t>
      </w:r>
      <w:r w:rsidRPr="00DD0BB6" w:rsidR="00DD0BB6">
        <w:rPr>
          <w:color w:val="000000"/>
        </w:rPr>
        <w:t xml:space="preserve"> </w:t>
      </w:r>
      <w:r w:rsidRPr="00B34407">
        <w:rPr>
          <w:color w:val="000000"/>
        </w:rPr>
        <w:t>is issued), or, if such 25</w:t>
      </w:r>
      <w:r w:rsidRPr="00B34407">
        <w:rPr>
          <w:color w:val="000000"/>
          <w:vertAlign w:val="superscript"/>
        </w:rPr>
        <w:t>th</w:t>
      </w:r>
      <w:r w:rsidRPr="00B34407">
        <w:rPr>
          <w:color w:val="000000"/>
        </w:rPr>
        <w:t xml:space="preserve"> day is not a business day, </w:t>
      </w:r>
      <w:r w:rsidR="003F4672">
        <w:rPr>
          <w:color w:val="000000"/>
        </w:rPr>
        <w:t>then the next business day</w:t>
      </w:r>
      <w:r w:rsidRPr="00B34407">
        <w:rPr>
          <w:color w:val="000000"/>
        </w:rPr>
        <w:t>.  W</w:t>
      </w:r>
      <w:r w:rsidR="0076358A">
        <w:rPr>
          <w:color w:val="000000"/>
        </w:rPr>
        <w:t>ith respect to each Fannie Mae</w:t>
      </w:r>
      <w:r w:rsidR="00DD0BB6">
        <w:rPr>
          <w:color w:val="000000"/>
        </w:rPr>
        <w:t xml:space="preserve"> </w:t>
      </w:r>
      <w:r w:rsidR="008D253D">
        <w:rPr>
          <w:color w:val="000000"/>
        </w:rPr>
        <w:t>UMBS</w:t>
      </w:r>
      <w:r w:rsidRPr="00B34407">
        <w:rPr>
          <w:color w:val="000000"/>
        </w:rPr>
        <w:t>, Fannie Mae will distribute to the Trustee an amount equal to the total of (i) the principal due on the Mortgage Loans in the related pool underlying such Fannie Mae</w:t>
      </w:r>
      <w:r w:rsidR="00DD0BB6">
        <w:rPr>
          <w:color w:val="000000"/>
        </w:rPr>
        <w:t xml:space="preserve"> </w:t>
      </w:r>
      <w:r w:rsidR="008D253D">
        <w:rPr>
          <w:color w:val="000000"/>
        </w:rPr>
        <w:t>UMBS</w:t>
      </w:r>
      <w:r w:rsidRPr="00DD0BB6" w:rsidR="00DD0BB6">
        <w:rPr>
          <w:color w:val="000000"/>
        </w:rPr>
        <w:t xml:space="preserve"> </w:t>
      </w:r>
      <w:r w:rsidRPr="00B34407">
        <w:rPr>
          <w:color w:val="000000"/>
        </w:rPr>
        <w:t>during the period beginning on the second day of the month prior to the month of such distribution and ending on the first day of such month of distribution, (ii) the stated principal balance of any Mortgage Loan that was prepaid in full during the calendar month preceding the month in which the distribution date occurs (including as prepaid for this purpose at Fannie Mae</w:t>
      </w:r>
      <w:r w:rsidR="00C34AEA">
        <w:rPr>
          <w:color w:val="000000"/>
        </w:rPr>
        <w:t>’</w:t>
      </w:r>
      <w:r w:rsidRPr="00B34407">
        <w:rPr>
          <w:color w:val="000000"/>
        </w:rPr>
        <w:t>s election any Mortgage Loan after it is delinquent, in whole or in part, with respect to four consecutive installments of principal and interest; or because of Fannie Mae</w:t>
      </w:r>
      <w:r w:rsidR="00C34AEA">
        <w:rPr>
          <w:color w:val="000000"/>
        </w:rPr>
        <w:t>’</w:t>
      </w:r>
      <w:r w:rsidRPr="00B34407">
        <w:rPr>
          <w:color w:val="000000"/>
        </w:rPr>
        <w:t>s election to repurchase such Mortgage Loan under certain other circumstances as permitted by the Fannie Mae Indenture), (iii) the amount of any partial prepayment of a Mortgage Loan received during the month preceding the month in which the distribution date occurs, and (iv) one month</w:t>
      </w:r>
      <w:r w:rsidR="00C34AEA">
        <w:rPr>
          <w:color w:val="000000"/>
        </w:rPr>
        <w:t>’</w:t>
      </w:r>
      <w:r w:rsidRPr="00B34407">
        <w:rPr>
          <w:color w:val="000000"/>
        </w:rPr>
        <w:t>s interest at the pass-through rate on the prin</w:t>
      </w:r>
      <w:r w:rsidR="00DD0BB6">
        <w:rPr>
          <w:color w:val="000000"/>
        </w:rPr>
        <w:t xml:space="preserve">cipal balance of the Fannie Mae </w:t>
      </w:r>
      <w:r w:rsidR="008D253D">
        <w:rPr>
          <w:color w:val="000000"/>
        </w:rPr>
        <w:t>UMBS</w:t>
      </w:r>
      <w:r w:rsidRPr="00DD0BB6" w:rsidR="00DD0BB6">
        <w:rPr>
          <w:color w:val="000000"/>
        </w:rPr>
        <w:t xml:space="preserve"> </w:t>
      </w:r>
      <w:r w:rsidRPr="00B34407">
        <w:rPr>
          <w:color w:val="000000"/>
        </w:rPr>
        <w:t>as reported to the Trustee (assuming the Trustee is the registered holder) prior to the distribution date (or, respecting the first distribution, the prin</w:t>
      </w:r>
      <w:r w:rsidR="00DD0BB6">
        <w:rPr>
          <w:color w:val="000000"/>
        </w:rPr>
        <w:t xml:space="preserve">cipal balance of the Fannie Mae </w:t>
      </w:r>
      <w:r w:rsidR="008D253D">
        <w:rPr>
          <w:color w:val="000000"/>
        </w:rPr>
        <w:t>UMBS</w:t>
      </w:r>
      <w:r w:rsidRPr="00DD0BB6" w:rsidR="00DD0BB6">
        <w:rPr>
          <w:color w:val="000000"/>
        </w:rPr>
        <w:t xml:space="preserve"> </w:t>
      </w:r>
      <w:r w:rsidRPr="00B34407">
        <w:rPr>
          <w:color w:val="000000"/>
        </w:rPr>
        <w:t>on its issue date).</w:t>
      </w:r>
    </w:p>
    <w:p w:rsidRPr="00B34407" w:rsidR="00AF72E5" w:rsidP="00AF72E5" w:rsidRDefault="00AF72E5" w14:paraId="5DD398F6" w14:textId="02D98A1C">
      <w:pPr>
        <w:pStyle w:val="BodyTextFirstIndent"/>
        <w:rPr>
          <w:color w:val="000000"/>
        </w:rPr>
      </w:pPr>
      <w:bookmarkStart w:name="_DV_M724" w:id="918"/>
      <w:bookmarkEnd w:id="918"/>
      <w:r w:rsidRPr="00B34407">
        <w:rPr>
          <w:color w:val="000000"/>
        </w:rPr>
        <w:t>For purposes of distributions, a Mortgage Loan will be considered to have been prepaid in full if, in Fannie Mae</w:t>
      </w:r>
      <w:r w:rsidR="00C34AEA">
        <w:rPr>
          <w:color w:val="000000"/>
        </w:rPr>
        <w:t>’</w:t>
      </w:r>
      <w:r w:rsidRPr="00B34407">
        <w:rPr>
          <w:color w:val="000000"/>
        </w:rPr>
        <w:t>s reasonable judgment, the full amount finally recoverable on account of such Mortgage Loan has been received, whether or not such full amount is equal to the stated principal balance of the Mortgage Loan.</w:t>
      </w:r>
    </w:p>
    <w:p w:rsidRPr="00B34407" w:rsidR="00375FA1" w:rsidP="00AF72E5" w:rsidRDefault="00375FA1" w14:paraId="199FF354" w14:textId="77777777">
      <w:pPr>
        <w:pStyle w:val="BodyTextFirstIndent"/>
        <w:rPr>
          <w:color w:val="000000"/>
        </w:rPr>
        <w:sectPr w:rsidRPr="00B34407" w:rsidR="00375FA1">
          <w:headerReference w:type="default" r:id="rId31"/>
          <w:footerReference w:type="default" r:id="rId32"/>
          <w:pgSz w:w="12240" w:h="15840"/>
          <w:pgMar w:top="1440" w:right="1440" w:bottom="1440" w:left="1440" w:header="720" w:footer="720" w:gutter="0"/>
          <w:pgNumType w:start="1"/>
          <w:cols w:space="720"/>
        </w:sectPr>
      </w:pPr>
      <w:bookmarkStart w:name="_DV_M725" w:id="919"/>
      <w:bookmarkEnd w:id="919"/>
    </w:p>
    <w:p w:rsidRPr="00B34407" w:rsidR="00AF72E5" w:rsidP="00AF72E5" w:rsidRDefault="00AF72E5" w14:paraId="2846AED1" w14:textId="77777777">
      <w:pPr>
        <w:pStyle w:val="BodyTextFirstIndent"/>
        <w:rPr>
          <w:color w:val="000000"/>
        </w:rPr>
      </w:pPr>
      <w:bookmarkStart w:name="ElPgBr69" w:id="920"/>
      <w:bookmarkEnd w:id="920"/>
    </w:p>
    <w:p w:rsidRPr="00B34407" w:rsidR="00AF72E5" w:rsidP="00403042" w:rsidRDefault="00375FA1" w14:paraId="3AAD3E79" w14:textId="77777777">
      <w:pPr>
        <w:widowControl/>
        <w:jc w:val="right"/>
      </w:pPr>
      <w:r w:rsidRPr="00B34407">
        <w:t>APPENDIX B</w:t>
      </w:r>
    </w:p>
    <w:p w:rsidRPr="00B34407" w:rsidR="00403042" w:rsidP="00403042" w:rsidRDefault="00403042" w14:paraId="23428ACA" w14:textId="77777777">
      <w:pPr>
        <w:widowControl/>
        <w:jc w:val="right"/>
      </w:pPr>
    </w:p>
    <w:p w:rsidRPr="00B34407" w:rsidR="00AF72E5" w:rsidP="00AF72E5" w:rsidRDefault="00AF72E5" w14:paraId="4AD33143" w14:textId="77777777">
      <w:pPr>
        <w:widowControl/>
      </w:pPr>
      <w:bookmarkStart w:name="QuickMark" w:id="921"/>
      <w:bookmarkEnd w:id="921"/>
    </w:p>
    <w:p w:rsidRPr="00B34407" w:rsidR="00403042" w:rsidP="00B60E08" w:rsidRDefault="00403042" w14:paraId="2315B4ED" w14:textId="77777777">
      <w:pPr>
        <w:widowControl/>
        <w:autoSpaceDE/>
        <w:autoSpaceDN/>
        <w:adjustRightInd/>
        <w:jc w:val="center"/>
        <w:rPr>
          <w:rFonts w:eastAsia="Calibri"/>
        </w:rPr>
      </w:pPr>
    </w:p>
    <w:p w:rsidRPr="00B34407" w:rsidR="00403042" w:rsidP="00B60E08" w:rsidRDefault="00B60E08" w14:paraId="12CABCEB" w14:textId="01DD0DD3">
      <w:pPr>
        <w:widowControl/>
        <w:jc w:val="center"/>
        <w:rPr>
          <w:b/>
        </w:rPr>
      </w:pPr>
      <w:r w:rsidRPr="00B34407">
        <w:rPr>
          <w:b/>
        </w:rPr>
        <w:t>Financial Statements of Authority</w:t>
      </w:r>
    </w:p>
    <w:p w:rsidRPr="00B34407" w:rsidR="00403042" w:rsidP="00403042" w:rsidRDefault="00403042" w14:paraId="06BE4E87" w14:textId="77777777">
      <w:pPr>
        <w:widowControl/>
      </w:pPr>
    </w:p>
    <w:p w:rsidRPr="00B34407" w:rsidR="00403042" w:rsidP="00403042" w:rsidRDefault="00403042" w14:paraId="4DD74BA3" w14:textId="77777777">
      <w:pPr>
        <w:widowControl/>
        <w:autoSpaceDE/>
        <w:autoSpaceDN/>
        <w:adjustRightInd/>
        <w:rPr>
          <w:rFonts w:eastAsia="Calibri"/>
        </w:rPr>
      </w:pPr>
    </w:p>
    <w:p w:rsidRPr="00B34407" w:rsidR="00AF72E5" w:rsidP="00AF72E5" w:rsidRDefault="00AF72E5" w14:paraId="577D87B4" w14:textId="77777777">
      <w:pPr>
        <w:widowControl/>
        <w:sectPr w:rsidRPr="00B34407" w:rsidR="00AF72E5">
          <w:footerReference w:type="default" r:id="rId33"/>
          <w:pgSz w:w="12240" w:h="15840"/>
          <w:pgMar w:top="1440" w:right="1440" w:bottom="1440" w:left="1440" w:header="720" w:footer="720" w:gutter="0"/>
          <w:pgNumType w:start="1"/>
          <w:cols w:space="720"/>
        </w:sectPr>
      </w:pPr>
    </w:p>
    <w:p w:rsidRPr="00B34407" w:rsidR="00AF72E5" w:rsidP="00AF72E5" w:rsidRDefault="00AF72E5" w14:paraId="05CBD5EB" w14:textId="77777777">
      <w:pPr>
        <w:widowControl/>
        <w:jc w:val="right"/>
      </w:pPr>
      <w:bookmarkStart w:name="_DV_M727" w:id="922"/>
      <w:bookmarkStart w:name="ElPgBr70" w:id="923"/>
      <w:bookmarkEnd w:id="922"/>
      <w:bookmarkEnd w:id="923"/>
      <w:r w:rsidRPr="00B34407">
        <w:lastRenderedPageBreak/>
        <w:t>APPENDIX C</w:t>
      </w:r>
    </w:p>
    <w:p w:rsidRPr="00B34407" w:rsidR="00D255A0" w:rsidP="00AF72E5" w:rsidRDefault="00D255A0" w14:paraId="77DA3D75" w14:textId="77777777">
      <w:pPr>
        <w:widowControl/>
        <w:jc w:val="right"/>
      </w:pPr>
    </w:p>
    <w:p w:rsidRPr="00B34407" w:rsidR="00AF72E5" w:rsidP="005A6670" w:rsidRDefault="00AF72E5" w14:paraId="0A74AE57" w14:textId="77777777">
      <w:pPr>
        <w:widowControl/>
        <w:jc w:val="center"/>
      </w:pPr>
    </w:p>
    <w:p w:rsidR="005A6670" w:rsidP="005A6670" w:rsidRDefault="005A6670" w14:paraId="3950E465" w14:textId="72868740">
      <w:pPr>
        <w:widowControl/>
        <w:jc w:val="center"/>
        <w:rPr>
          <w:b/>
          <w:bCs/>
        </w:rPr>
      </w:pPr>
      <w:bookmarkStart w:name="_DV_M728" w:id="924"/>
      <w:bookmarkEnd w:id="924"/>
      <w:r w:rsidRPr="00B34407">
        <w:rPr>
          <w:b/>
          <w:bCs/>
        </w:rPr>
        <w:t>[Form of Bond Counsel Opinion]</w:t>
      </w:r>
    </w:p>
    <w:p w:rsidRPr="00B34407" w:rsidR="005A6670" w:rsidP="005A6670" w:rsidRDefault="005A6670" w14:paraId="6F56D7A5" w14:textId="77777777">
      <w:pPr>
        <w:widowControl/>
      </w:pPr>
    </w:p>
    <w:p w:rsidRPr="00B34407" w:rsidR="005A6670" w:rsidP="005A6670" w:rsidRDefault="005A6670" w14:paraId="719BD6CA" w14:textId="77777777">
      <w:pPr>
        <w:widowControl/>
      </w:pPr>
    </w:p>
    <w:p w:rsidRPr="00BB7966" w:rsidR="00BB7966" w:rsidP="00BB7966" w:rsidRDefault="00BB7966" w14:paraId="72B6381F" w14:textId="4730E7FB">
      <w:pPr>
        <w:widowControl/>
        <w:jc w:val="left"/>
        <w:rPr>
          <w:szCs w:val="24"/>
        </w:rPr>
      </w:pPr>
      <w:r w:rsidRPr="00BB7966">
        <w:rPr>
          <w:noProof/>
          <w:szCs w:val="24"/>
        </w:rPr>
        <mc:AlternateContent>
          <mc:Choice Requires="wps">
            <w:drawing>
              <wp:anchor distT="0" distB="0" distL="114300" distR="114300" simplePos="0" relativeHeight="251661312" behindDoc="0" locked="0" layoutInCell="0" allowOverlap="1" wp14:editId="4A4AF403" wp14:anchorId="4FD57088">
                <wp:simplePos x="0" y="0"/>
                <wp:positionH relativeFrom="column">
                  <wp:posOffset>0</wp:posOffset>
                </wp:positionH>
                <wp:positionV relativeFrom="page">
                  <wp:posOffset>9692640</wp:posOffset>
                </wp:positionV>
                <wp:extent cx="5943600" cy="274320"/>
                <wp:effectExtent l="0" t="0" r="0" b="11430"/>
                <wp:wrapNone/>
                <wp:docPr id="3" name="SWFootPg99" descr="" title=""/>
                <wp:cNvGraphicFramePr/>
                <a:graphic xmlns:a="http://schemas.openxmlformats.org/drawingml/2006/main">
                  <a:graphicData uri="http://schemas.microsoft.com/office/word/2010/wordprocessingShape">
                    <wps:wsp>
                      <wps:cNvSpPr txBox="1"/>
                      <wps:spPr>
                        <a:xfrm>
                          <a:off x="0" y="0"/>
                          <a:ext cx="5943600" cy="2743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D17A8" w:rsidR="00A62C6A" w:rsidP="00BB7966" w:rsidRDefault="00A62C6A" w14:paraId="24EB5204" w14:textId="4B2061B3">
                            <w:pPr>
                              <w:jc w:val="left"/>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FD57088">
                <v:stroke joinstyle="miter"/>
                <v:path gradientshapeok="t" o:connecttype="rect"/>
              </v:shapetype>
              <v:shape id="SWFootPg99" style="position:absolute;margin-left:0;margin-top:763.2pt;width:468pt;height:21.6pt;z-index:251661312;visibility:visible;mso-wrap-style:square;mso-wrap-distance-left:9pt;mso-wrap-distance-top:0;mso-wrap-distance-right:9pt;mso-wrap-distance-bottom:0;mso-position-horizontal:absolute;mso-position-horizontal-relative:text;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XilAIAADEFAAAOAAAAZHJzL2Uyb0RvYy54bWysVE1v2zAMvQ/YfxB0T20nbhoHdYq0hYcB&#10;QVsgHXpWZDk2JouapCTuhv33UXKcfmyHYdhFpkWK4nuP1OVV10qyF8Y2oHKanMWUCMWhbNQ2p18e&#10;i9GMEuuYKpkEJXL6LCy9Wnz8cHnQczGGGmQpDMEkys4POqe1c3oeRZbXomX2DLRQ6KzAtMzhr9lG&#10;pWEHzN7KaBzH0+gAptQGuLAWd297J12E/FUluLuvKisckTnF2lxYTVg3fo0Wl2y+NUzXDT+Wwf6h&#10;ipY1Ci89pbpljpGdaX5L1TbcgIXKnXFoI6iqhouAAdEk8Ts065ppEbAgOVafaLL/Ly2/2z8Y0pQ5&#10;nVCiWIsSrZ8KAPewzTLPzkHbOQatNYa57ho6VHnYt7jpQXeVaf0X4RD0I8/PJ25F5wjHzfMsnUxj&#10;dHH0jS/SyTiQH72c1sa6TwJa4o2cGtQuUMr2K+uwEgwdQvxlCopGyqCfVOSQ0+nkPA4HTh48IZWP&#10;xSIwx9HqdfmRJeM0vh5no2I6uxilRXo+yi7i2ShOsutsGqdZelv89PmSdF43ZSnUqlFi6JEk/TsN&#10;jt3aqxu65E2pFmRTehy+No/uRhqyZ9isG8n4V080gngVFb0tJ7gR3fANKCOvWa+Nt1y36Y5CbqB8&#10;Rh0NIL8ohdW8aPDSFbPugRlsfNzEYXb3uFQSkFQ4WpTUYL7/ad/HIxfopeSAg5RT+23HjKBEflbY&#10;qZjSDYYZjM1gqF17Awg3CdUEEw8YJwezMtA+4Ywv/S3oYorjXTl1g3nj+nHGN4KL5TIE4Wxp5lZq&#10;rblPPZD72D0xo4/95ZC2OxhGjM3ftVkf608qWO4cVE3oQU9ozyJS7n9wLgP5xzfED/7r/xD18tIt&#10;fgEAAP//AwBQSwMEFAAGAAgAAAAhAIaUU5beAAAACgEAAA8AAABkcnMvZG93bnJldi54bWxMj0tP&#10;wzAQhO9I/AdrkbhRpwUiGuJUiMeNZwEJbk5skgh7HdmbNPx7tic47jej2ZlyM3snJhtTH1DBcpGB&#10;sNgE02Or4O317uQCRCKNRruAVsGPTbCpDg9KXZiwwxc7bakVHIKp0Ao6oqGQMjWd9TotwmCRta8Q&#10;vSY+YytN1DsO906usiyXXvfIHzo92OvONt/b0StwHyne1xl9TjftAz0/yfH9dvmo1PHRfHUJguxM&#10;f2bY1+fqUHGnOoxoknAKeAgxPV/lZyBYX5/mjOo9ytc5yKqU/ydUvwAAAP//AwBQSwECLQAUAAYA&#10;CAAAACEAtoM4kv4AAADhAQAAEwAAAAAAAAAAAAAAAAAAAAAAW0NvbnRlbnRfVHlwZXNdLnhtbFBL&#10;AQItABQABgAIAAAAIQA4/SH/1gAAAJQBAAALAAAAAAAAAAAAAAAAAC8BAABfcmVscy8ucmVsc1BL&#10;AQItABQABgAIAAAAIQBWyxXilAIAADEFAAAOAAAAAAAAAAAAAAAAAC4CAABkcnMvZTJvRG9jLnht&#10;bFBLAQItABQABgAIAAAAIQCGlFOW3gAAAAoBAAAPAAAAAAAAAAAAAAAAAO4EAABkcnMvZG93bnJl&#10;di54bWxQSwUGAAAAAAQABADzAAAA+QUAAAAA&#10;">
                <v:textbox inset="0,0,0,0">
                  <w:txbxContent>
                    <w:p w:rsidRPr="005D17A8" w:rsidR="00A62C6A" w:rsidP="00BB7966" w:rsidRDefault="00A62C6A" w14:paraId="24EB5204" w14:textId="4B2061B3">
                      <w:pPr>
                        <w:jc w:val="left"/>
                        <w:rPr>
                          <w:sz w:val="18"/>
                        </w:rPr>
                      </w:pPr>
                    </w:p>
                  </w:txbxContent>
                </v:textbox>
                <w10:wrap anchory="page"/>
              </v:shape>
            </w:pict>
          </mc:Fallback>
        </mc:AlternateContent>
      </w:r>
      <w:r w:rsidR="00AF3A7C">
        <w:rPr>
          <w:noProof/>
          <w:szCs w:val="24"/>
        </w:rPr>
        <w:t>August 20</w:t>
      </w:r>
      <w:r w:rsidRPr="00BB7966">
        <w:rPr>
          <w:noProof/>
          <w:szCs w:val="24"/>
        </w:rPr>
        <w:t>, 202</w:t>
      </w:r>
      <w:r w:rsidR="00AF57A6">
        <w:rPr>
          <w:noProof/>
          <w:szCs w:val="24"/>
        </w:rPr>
        <w:t>4</w:t>
      </w:r>
    </w:p>
    <w:p w:rsidRPr="00BB7966" w:rsidR="00BB7966" w:rsidP="00BB7966" w:rsidRDefault="00BB7966" w14:paraId="5393E0D7" w14:textId="77777777">
      <w:pPr>
        <w:widowControl/>
        <w:rPr>
          <w:szCs w:val="24"/>
        </w:rPr>
      </w:pPr>
    </w:p>
    <w:p w:rsidRPr="00BB7966" w:rsidR="00BB7966" w:rsidP="00BB7966" w:rsidRDefault="00BB7966" w14:paraId="6B258161" w14:textId="77777777">
      <w:pPr>
        <w:widowControl/>
        <w:rPr>
          <w:i/>
          <w:szCs w:val="24"/>
        </w:rPr>
      </w:pPr>
      <w:r w:rsidRPr="00BB7966">
        <w:rPr>
          <w:i/>
          <w:szCs w:val="24"/>
        </w:rPr>
        <w:t>Upon the issuance of the Bonds, Ice Miller LLP, Bond Counsel for the Issuer, proposes to issue an opinion in substantially the following form:</w:t>
      </w:r>
    </w:p>
    <w:p w:rsidRPr="00BB7966" w:rsidR="00BB7966" w:rsidP="00BB7966" w:rsidRDefault="00BB7966" w14:paraId="18E147F3" w14:textId="77777777">
      <w:pPr>
        <w:widowControl/>
        <w:rPr>
          <w:szCs w:val="24"/>
        </w:rPr>
      </w:pPr>
    </w:p>
    <w:p w:rsidRPr="00BB7966" w:rsidR="00BB7966" w:rsidP="00BB7966" w:rsidRDefault="00BB7966" w14:paraId="1591E35C" w14:textId="77777777">
      <w:pPr>
        <w:widowControl/>
        <w:rPr>
          <w:szCs w:val="24"/>
        </w:rPr>
      </w:pPr>
      <w:r w:rsidRPr="00BB7966">
        <w:rPr>
          <w:szCs w:val="24"/>
        </w:rPr>
        <w:t>Indiana Housing and Community Development Authority</w:t>
      </w:r>
    </w:p>
    <w:p w:rsidRPr="00BB7966" w:rsidR="00BB7966" w:rsidP="00BB7966" w:rsidRDefault="00BB7966" w14:paraId="18CC0F19" w14:textId="77777777">
      <w:pPr>
        <w:widowControl/>
        <w:rPr>
          <w:szCs w:val="24"/>
        </w:rPr>
      </w:pPr>
      <w:r w:rsidRPr="00BB7966">
        <w:rPr>
          <w:szCs w:val="24"/>
        </w:rPr>
        <w:t>Indianapolis, Indiana</w:t>
      </w:r>
    </w:p>
    <w:p w:rsidRPr="00BB7966" w:rsidR="00BB7966" w:rsidP="00BB7966" w:rsidRDefault="00BB7966" w14:paraId="676C0147" w14:textId="77777777">
      <w:pPr>
        <w:widowControl/>
        <w:rPr>
          <w:szCs w:val="24"/>
        </w:rPr>
      </w:pPr>
    </w:p>
    <w:p w:rsidRPr="00BB7966" w:rsidR="00BB7966" w:rsidP="00BB7966" w:rsidRDefault="00BB7966" w14:paraId="357A00C5" w14:textId="77777777">
      <w:pPr>
        <w:widowControl/>
        <w:rPr>
          <w:szCs w:val="24"/>
        </w:rPr>
      </w:pPr>
      <w:r w:rsidRPr="00BB7966">
        <w:rPr>
          <w:szCs w:val="24"/>
        </w:rPr>
        <w:t>The Bank of New York Mellon Trust Company, N.A., as Trustee</w:t>
      </w:r>
    </w:p>
    <w:p w:rsidRPr="00BB7966" w:rsidR="00BB7966" w:rsidP="00BB7966" w:rsidRDefault="00BB7966" w14:paraId="247C68B3" w14:textId="77777777">
      <w:pPr>
        <w:widowControl/>
        <w:rPr>
          <w:szCs w:val="24"/>
        </w:rPr>
      </w:pPr>
      <w:r w:rsidRPr="00BB7966">
        <w:rPr>
          <w:szCs w:val="24"/>
        </w:rPr>
        <w:t>Jacksonville, Florida</w:t>
      </w:r>
    </w:p>
    <w:p w:rsidRPr="00BB7966" w:rsidR="00BB7966" w:rsidP="00BB7966" w:rsidRDefault="00BB7966" w14:paraId="53C95A6A" w14:textId="77777777">
      <w:pPr>
        <w:widowControl/>
        <w:rPr>
          <w:szCs w:val="24"/>
        </w:rPr>
      </w:pPr>
    </w:p>
    <w:p w:rsidRPr="00BB7966" w:rsidR="00BB7966" w:rsidP="00BB7966" w:rsidRDefault="00BB7966" w14:paraId="6E9E87F8" w14:textId="5290A8AF">
      <w:pPr>
        <w:widowControl/>
        <w:ind w:left="1440" w:right="720" w:hanging="720"/>
        <w:rPr>
          <w:szCs w:val="24"/>
        </w:rPr>
      </w:pPr>
      <w:r w:rsidRPr="00BB7966">
        <w:rPr>
          <w:szCs w:val="24"/>
        </w:rPr>
        <w:t xml:space="preserve">RE: </w:t>
      </w:r>
      <w:r w:rsidRPr="00BB7966">
        <w:rPr>
          <w:szCs w:val="24"/>
        </w:rPr>
        <w:tab/>
      </w:r>
      <w:bookmarkStart w:name="_Hlk75266039" w:id="925"/>
      <w:r w:rsidRPr="00BB7966">
        <w:rPr>
          <w:szCs w:val="24"/>
        </w:rPr>
        <w:t xml:space="preserve">Indiana Housing and Community Development Authority Single Family Mortgage Revenue Bonds, </w:t>
      </w:r>
      <w:r w:rsidR="00C7294C">
        <w:rPr>
          <w:szCs w:val="24"/>
        </w:rPr>
        <w:t>2024 Series C</w:t>
      </w:r>
      <w:r w:rsidRPr="00BB7966">
        <w:rPr>
          <w:szCs w:val="24"/>
        </w:rPr>
        <w:t>-1 (Social Bonds)</w:t>
      </w:r>
      <w:r w:rsidR="00C4479E">
        <w:rPr>
          <w:szCs w:val="24"/>
        </w:rPr>
        <w:t xml:space="preserve"> (Non-AMT)</w:t>
      </w:r>
      <w:r w:rsidRPr="00BB7966">
        <w:rPr>
          <w:szCs w:val="24"/>
        </w:rPr>
        <w:t xml:space="preserve"> (the </w:t>
      </w:r>
      <w:r w:rsidR="00C34AEA">
        <w:rPr>
          <w:szCs w:val="24"/>
        </w:rPr>
        <w:t>“</w:t>
      </w:r>
      <w:r w:rsidR="00C7294C">
        <w:rPr>
          <w:szCs w:val="24"/>
        </w:rPr>
        <w:t>2024 Series C</w:t>
      </w:r>
      <w:r w:rsidRPr="00BB7966">
        <w:rPr>
          <w:szCs w:val="24"/>
        </w:rPr>
        <w:t>-1 Bonds</w:t>
      </w:r>
      <w:r w:rsidR="00C34AEA">
        <w:rPr>
          <w:szCs w:val="24"/>
        </w:rPr>
        <w:t>”</w:t>
      </w:r>
      <w:r w:rsidRPr="00BB7966">
        <w:rPr>
          <w:szCs w:val="24"/>
        </w:rPr>
        <w:t xml:space="preserve">) </w:t>
      </w:r>
      <w:r w:rsidR="00C4479E">
        <w:rPr>
          <w:szCs w:val="24"/>
        </w:rPr>
        <w:t xml:space="preserve">and </w:t>
      </w:r>
      <w:r w:rsidRPr="00BB7966">
        <w:rPr>
          <w:szCs w:val="24"/>
        </w:rPr>
        <w:t xml:space="preserve">Indiana Housing and Community Development Authority Single Family Mortgage Revenue Bonds, </w:t>
      </w:r>
      <w:r w:rsidR="00C7294C">
        <w:rPr>
          <w:szCs w:val="24"/>
        </w:rPr>
        <w:t>2024 Series C</w:t>
      </w:r>
      <w:r w:rsidRPr="00BB7966">
        <w:rPr>
          <w:szCs w:val="24"/>
        </w:rPr>
        <w:t>-2 (Social Bonds)</w:t>
      </w:r>
      <w:r w:rsidR="00C4479E">
        <w:rPr>
          <w:szCs w:val="24"/>
        </w:rPr>
        <w:t xml:space="preserve"> (Taxable)</w:t>
      </w:r>
      <w:r w:rsidRPr="00BB7966">
        <w:rPr>
          <w:szCs w:val="24"/>
        </w:rPr>
        <w:t xml:space="preserve"> (the </w:t>
      </w:r>
      <w:r w:rsidR="00C34AEA">
        <w:rPr>
          <w:szCs w:val="24"/>
        </w:rPr>
        <w:t>“</w:t>
      </w:r>
      <w:r w:rsidR="00C7294C">
        <w:rPr>
          <w:szCs w:val="24"/>
        </w:rPr>
        <w:t>2024 Series C</w:t>
      </w:r>
      <w:r w:rsidRPr="00BB7966">
        <w:rPr>
          <w:szCs w:val="24"/>
        </w:rPr>
        <w:t>-2 Bonds</w:t>
      </w:r>
      <w:r w:rsidR="00C34AEA">
        <w:rPr>
          <w:szCs w:val="24"/>
        </w:rPr>
        <w:t>”</w:t>
      </w:r>
      <w:r w:rsidRPr="00BB7966">
        <w:rPr>
          <w:szCs w:val="24"/>
        </w:rPr>
        <w:t xml:space="preserve"> and together with the </w:t>
      </w:r>
      <w:r w:rsidR="00C7294C">
        <w:rPr>
          <w:szCs w:val="24"/>
        </w:rPr>
        <w:t>2024 Series C</w:t>
      </w:r>
      <w:r w:rsidRPr="00BB7966">
        <w:rPr>
          <w:szCs w:val="24"/>
        </w:rPr>
        <w:t xml:space="preserve">-1 Bonds, the </w:t>
      </w:r>
      <w:r w:rsidR="00C34AEA">
        <w:rPr>
          <w:szCs w:val="24"/>
        </w:rPr>
        <w:t>“</w:t>
      </w:r>
      <w:r w:rsidR="00B4438E">
        <w:rPr>
          <w:szCs w:val="24"/>
        </w:rPr>
        <w:t>Bond</w:t>
      </w:r>
      <w:r w:rsidRPr="00BB7966">
        <w:rPr>
          <w:szCs w:val="24"/>
        </w:rPr>
        <w:t>s</w:t>
      </w:r>
      <w:r w:rsidR="00C34AEA">
        <w:rPr>
          <w:szCs w:val="24"/>
        </w:rPr>
        <w:t>”</w:t>
      </w:r>
      <w:r w:rsidRPr="00BB7966">
        <w:rPr>
          <w:szCs w:val="24"/>
        </w:rPr>
        <w:t xml:space="preserve">), </w:t>
      </w:r>
      <w:bookmarkEnd w:id="925"/>
      <w:r w:rsidRPr="00BB7966">
        <w:rPr>
          <w:szCs w:val="24"/>
        </w:rPr>
        <w:t xml:space="preserve">issued pursuant to the 2016 Amended and Restated Indenture of Trust, dated as of June 1, 2016, between the Indiana Housing and Community Development Authority (hereinafter called the </w:t>
      </w:r>
      <w:r w:rsidR="00C34AEA">
        <w:rPr>
          <w:szCs w:val="24"/>
        </w:rPr>
        <w:t>“</w:t>
      </w:r>
      <w:r w:rsidRPr="00BB7966">
        <w:rPr>
          <w:szCs w:val="24"/>
        </w:rPr>
        <w:t>Issuer</w:t>
      </w:r>
      <w:r w:rsidR="00C34AEA">
        <w:rPr>
          <w:szCs w:val="24"/>
        </w:rPr>
        <w:t>”</w:t>
      </w:r>
      <w:r w:rsidR="003E3884">
        <w:rPr>
          <w:szCs w:val="24"/>
        </w:rPr>
        <w:t>)</w:t>
      </w:r>
      <w:r w:rsidRPr="00BB7966">
        <w:rPr>
          <w:szCs w:val="24"/>
        </w:rPr>
        <w:t xml:space="preserve"> and The Bank of New York Mellon Trust Company, N.A., as Trustee (</w:t>
      </w:r>
      <w:r w:rsidR="00C34AEA">
        <w:rPr>
          <w:szCs w:val="24"/>
        </w:rPr>
        <w:t>hereinafter called the “Trustee”</w:t>
      </w:r>
      <w:r w:rsidRPr="00BB7966">
        <w:rPr>
          <w:szCs w:val="24"/>
        </w:rPr>
        <w:t xml:space="preserve">) as previously supplemented and amended and as further supplemented by the </w:t>
      </w:r>
      <w:r w:rsidR="00C7294C">
        <w:rPr>
          <w:szCs w:val="24"/>
        </w:rPr>
        <w:t>2024 Series C</w:t>
      </w:r>
      <w:r w:rsidRPr="00BB7966">
        <w:rPr>
          <w:szCs w:val="24"/>
        </w:rPr>
        <w:t xml:space="preserve"> Supplemental Indentur</w:t>
      </w:r>
      <w:r w:rsidR="00C4479E">
        <w:rPr>
          <w:szCs w:val="24"/>
        </w:rPr>
        <w:t>e</w:t>
      </w:r>
      <w:r w:rsidRPr="00BB7966">
        <w:rPr>
          <w:szCs w:val="24"/>
        </w:rPr>
        <w:t xml:space="preserve">, dated as of </w:t>
      </w:r>
      <w:r w:rsidR="002D34C5">
        <w:rPr>
          <w:szCs w:val="24"/>
        </w:rPr>
        <w:t>August 1, 2024</w:t>
      </w:r>
      <w:r w:rsidRPr="00BB7966">
        <w:rPr>
          <w:szCs w:val="24"/>
        </w:rPr>
        <w:t xml:space="preserve"> (hereinafter collectively called the </w:t>
      </w:r>
      <w:r w:rsidR="00C34AEA">
        <w:rPr>
          <w:szCs w:val="24"/>
        </w:rPr>
        <w:t>“</w:t>
      </w:r>
      <w:r w:rsidRPr="00BB7966">
        <w:rPr>
          <w:szCs w:val="24"/>
        </w:rPr>
        <w:t>Indenture</w:t>
      </w:r>
      <w:r w:rsidR="00C34AEA">
        <w:rPr>
          <w:szCs w:val="24"/>
        </w:rPr>
        <w:t>”</w:t>
      </w:r>
      <w:r w:rsidRPr="00BB7966">
        <w:rPr>
          <w:szCs w:val="24"/>
        </w:rPr>
        <w:t>); Total Issue: $</w:t>
      </w:r>
      <w:r w:rsidR="00413DD9">
        <w:rPr>
          <w:szCs w:val="24"/>
        </w:rPr>
        <w:t>197,900,000</w:t>
      </w:r>
    </w:p>
    <w:p w:rsidRPr="00BB7966" w:rsidR="00BB7966" w:rsidP="00BB7966" w:rsidRDefault="00BB7966" w14:paraId="52D331C6" w14:textId="77777777">
      <w:pPr>
        <w:widowControl/>
        <w:rPr>
          <w:szCs w:val="24"/>
        </w:rPr>
      </w:pPr>
    </w:p>
    <w:p w:rsidRPr="00BB7966" w:rsidR="00BB7966" w:rsidP="00BB7966" w:rsidRDefault="00BB7966" w14:paraId="0B295C5D" w14:textId="77777777">
      <w:pPr>
        <w:widowControl/>
        <w:rPr>
          <w:szCs w:val="24"/>
        </w:rPr>
      </w:pPr>
      <w:r w:rsidRPr="00BB7966">
        <w:rPr>
          <w:szCs w:val="24"/>
        </w:rPr>
        <w:t>Ladies and Gentlemen:</w:t>
      </w:r>
    </w:p>
    <w:p w:rsidRPr="00BB7966" w:rsidR="00BB7966" w:rsidP="00BB7966" w:rsidRDefault="00BB7966" w14:paraId="4CC910AF" w14:textId="77777777">
      <w:pPr>
        <w:widowControl/>
        <w:rPr>
          <w:szCs w:val="24"/>
        </w:rPr>
      </w:pPr>
    </w:p>
    <w:p w:rsidRPr="00BB7966" w:rsidR="00BB7966" w:rsidP="00BB7966" w:rsidRDefault="00BB7966" w14:paraId="5891EC8E" w14:textId="2C10A70C">
      <w:pPr>
        <w:widowControl/>
        <w:rPr>
          <w:szCs w:val="24"/>
        </w:rPr>
      </w:pPr>
      <w:r w:rsidRPr="00BB7966">
        <w:rPr>
          <w:szCs w:val="24"/>
        </w:rPr>
        <w:t>We have examin</w:t>
      </w:r>
      <w:r w:rsidR="00261F8F">
        <w:rPr>
          <w:szCs w:val="24"/>
        </w:rPr>
        <w:t xml:space="preserve">ed a certified transcript (the </w:t>
      </w:r>
      <w:r w:rsidR="00C34AEA">
        <w:rPr>
          <w:szCs w:val="24"/>
        </w:rPr>
        <w:t>“</w:t>
      </w:r>
      <w:r w:rsidR="00261F8F">
        <w:rPr>
          <w:szCs w:val="24"/>
        </w:rPr>
        <w:t>Transcript</w:t>
      </w:r>
      <w:r w:rsidR="00C34AEA">
        <w:rPr>
          <w:szCs w:val="24"/>
        </w:rPr>
        <w:t>”</w:t>
      </w:r>
      <w:r w:rsidRPr="00BB7966">
        <w:rPr>
          <w:szCs w:val="24"/>
        </w:rPr>
        <w:t>) of proceedings containing (1) the proceedings of the Issuer relating to the authorization, issuance and sale of the Bonds and the approval and execution of the Indenture; (2) the Issuer</w:t>
      </w:r>
      <w:r w:rsidR="00C34AEA">
        <w:rPr>
          <w:szCs w:val="24"/>
        </w:rPr>
        <w:t>’</w:t>
      </w:r>
      <w:r w:rsidRPr="00BB7966">
        <w:rPr>
          <w:szCs w:val="24"/>
        </w:rPr>
        <w:t xml:space="preserve">s tax covenants and representations made in the Indenture and the tax covenants and representations made in the certificates and other documents of the Issuer, each dated this </w:t>
      </w:r>
      <w:r w:rsidR="00261F8F">
        <w:rPr>
          <w:szCs w:val="24"/>
        </w:rPr>
        <w:t xml:space="preserve">date (collectively, the </w:t>
      </w:r>
      <w:r w:rsidR="00C34AEA">
        <w:rPr>
          <w:szCs w:val="24"/>
        </w:rPr>
        <w:t>“</w:t>
      </w:r>
      <w:r w:rsidR="00261F8F">
        <w:rPr>
          <w:szCs w:val="24"/>
        </w:rPr>
        <w:t>Tax Covenants</w:t>
      </w:r>
      <w:r w:rsidR="00C34AEA">
        <w:rPr>
          <w:szCs w:val="24"/>
        </w:rPr>
        <w:t>”</w:t>
      </w:r>
      <w:r w:rsidRPr="00BB7966">
        <w:rPr>
          <w:szCs w:val="24"/>
        </w:rPr>
        <w:t>); (3) certificates showing execution, authentication and delivery of the Bonds and no litigation pending as of said date of delivery; and (4) an executed counterpart of the Indenture.</w:t>
      </w:r>
    </w:p>
    <w:p w:rsidRPr="00BB7966" w:rsidR="00BB7966" w:rsidP="00BB7966" w:rsidRDefault="00BB7966" w14:paraId="712CDB66" w14:textId="77777777">
      <w:pPr>
        <w:widowControl/>
        <w:rPr>
          <w:szCs w:val="24"/>
        </w:rPr>
      </w:pPr>
    </w:p>
    <w:p w:rsidRPr="00BB7966" w:rsidR="00BB7966" w:rsidP="00BB7966" w:rsidRDefault="00BB7966" w14:paraId="60E9D3C2" w14:textId="77777777">
      <w:pPr>
        <w:widowControl/>
        <w:rPr>
          <w:szCs w:val="24"/>
        </w:rPr>
      </w:pPr>
      <w:r w:rsidRPr="00BB7966">
        <w:rPr>
          <w:szCs w:val="24"/>
        </w:rPr>
        <w:t>In delivering our opinion, we have relied upon our examination of the Transcript and other certificates and representations of the Issuer, certain public officials and others, including the Tax Covenants, and have not undertaken to verify any facts by independent investigation.</w:t>
      </w:r>
    </w:p>
    <w:p w:rsidRPr="00BB7966" w:rsidR="00BB7966" w:rsidP="00BB7966" w:rsidRDefault="00BB7966" w14:paraId="056DB57D" w14:textId="77777777">
      <w:pPr>
        <w:widowControl/>
        <w:rPr>
          <w:szCs w:val="24"/>
        </w:rPr>
      </w:pPr>
    </w:p>
    <w:p w:rsidRPr="00BB7966" w:rsidR="00BB7966" w:rsidP="00BB7966" w:rsidRDefault="00BB7966" w14:paraId="5CD82120" w14:textId="77777777">
      <w:pPr>
        <w:widowControl/>
        <w:rPr>
          <w:szCs w:val="24"/>
        </w:rPr>
      </w:pPr>
      <w:r w:rsidRPr="00BB7966">
        <w:rPr>
          <w:szCs w:val="24"/>
        </w:rPr>
        <w:t>Based upon the foregoing and our review of such other information, papers, documents and laws as we believe necessary or advisable, we are of the opinion that:</w:t>
      </w:r>
    </w:p>
    <w:p w:rsidRPr="00BB7966" w:rsidR="00BB7966" w:rsidP="00BB7966" w:rsidRDefault="00BB7966" w14:paraId="6A7BA29D" w14:textId="77777777">
      <w:pPr>
        <w:widowControl/>
        <w:rPr>
          <w:szCs w:val="24"/>
        </w:rPr>
      </w:pPr>
    </w:p>
    <w:p w:rsidRPr="00BB7966" w:rsidR="00BB7966" w:rsidP="00BB7966" w:rsidRDefault="00BB7966" w14:paraId="241A40A5" w14:textId="77777777">
      <w:pPr>
        <w:widowControl/>
        <w:numPr>
          <w:ilvl w:val="0"/>
          <w:numId w:val="29"/>
        </w:numPr>
        <w:rPr>
          <w:szCs w:val="24"/>
        </w:rPr>
      </w:pPr>
      <w:r w:rsidRPr="00BB7966">
        <w:rPr>
          <w:szCs w:val="24"/>
        </w:rPr>
        <w:t>The Indenture has been duly authorized, executed and delivered by the Issuer and assuming due authorization, execution and delivery thereof by the Trustee, is a valid and binding agreement of the Issuer.</w:t>
      </w:r>
    </w:p>
    <w:p w:rsidRPr="00BB7966" w:rsidR="00BB7966" w:rsidP="00BB7966" w:rsidRDefault="00BB7966" w14:paraId="1E2ECB17" w14:textId="77777777">
      <w:pPr>
        <w:widowControl/>
        <w:rPr>
          <w:szCs w:val="24"/>
        </w:rPr>
      </w:pPr>
    </w:p>
    <w:p w:rsidRPr="00BB7966" w:rsidR="00BB7966" w:rsidP="00BB7966" w:rsidRDefault="00BB7966" w14:paraId="04320055" w14:textId="13D1421D">
      <w:pPr>
        <w:widowControl/>
        <w:numPr>
          <w:ilvl w:val="0"/>
          <w:numId w:val="29"/>
        </w:numPr>
        <w:rPr>
          <w:szCs w:val="24"/>
        </w:rPr>
      </w:pPr>
      <w:r w:rsidRPr="00BB7966">
        <w:rPr>
          <w:szCs w:val="24"/>
        </w:rPr>
        <w:t xml:space="preserve">The Indenture creates the valid pledge which it purports to create of the Revenues (as defined in the Indenture), the property recited in the Granting Clauses of the Indenture and the moneys and securities on deposit in any of the accounts established under the Indenture, including the investments thereof, subject to the application thereof to the purposes and on the conditions permitted by the Indenture. </w:t>
      </w:r>
      <w:r w:rsidR="00255182">
        <w:rPr>
          <w:szCs w:val="24"/>
        </w:rPr>
        <w:t xml:space="preserve"> </w:t>
      </w:r>
      <w:r w:rsidRPr="00BB7966">
        <w:rPr>
          <w:szCs w:val="24"/>
        </w:rPr>
        <w:t>The perfection of the pledge of the Revenues to the extent of cash proceeds may, however, require the physical possession of the cash proceeds by the Trustee.</w:t>
      </w:r>
    </w:p>
    <w:p w:rsidRPr="00BB7966" w:rsidR="00BB7966" w:rsidP="00BB7966" w:rsidRDefault="00BB7966" w14:paraId="0D438197" w14:textId="77777777">
      <w:pPr>
        <w:widowControl/>
        <w:rPr>
          <w:szCs w:val="24"/>
        </w:rPr>
      </w:pPr>
    </w:p>
    <w:p w:rsidRPr="00BB7966" w:rsidR="00BB7966" w:rsidP="00BB7966" w:rsidRDefault="00BB7966" w14:paraId="71CF46FC" w14:textId="77777777">
      <w:pPr>
        <w:widowControl/>
        <w:numPr>
          <w:ilvl w:val="0"/>
          <w:numId w:val="29"/>
        </w:numPr>
        <w:rPr>
          <w:szCs w:val="24"/>
        </w:rPr>
      </w:pPr>
      <w:bookmarkStart w:name="ElPgBr71" w:id="926"/>
      <w:bookmarkEnd w:id="926"/>
      <w:r w:rsidRPr="00BB7966">
        <w:rPr>
          <w:szCs w:val="24"/>
        </w:rPr>
        <w:lastRenderedPageBreak/>
        <w:t>The Bonds are legal, valid and binding obligations enforceable in accordance with the terms thereof, are payable from and secured on a parity with the bonds issued under the Indenture by a pledge of certain payments to be received by the Issuer and the Trustee pursuant to the Indenture, and are entitled to the equal benefit, protection and security of the provisions, covenants and agreements of the Indenture on a parity with the bonds to be issued under the Indenture.</w:t>
      </w:r>
    </w:p>
    <w:p w:rsidRPr="00BB7966" w:rsidR="00BB7966" w:rsidP="00BB7966" w:rsidRDefault="00BB7966" w14:paraId="37E3162D" w14:textId="77777777">
      <w:pPr>
        <w:widowControl/>
        <w:rPr>
          <w:szCs w:val="24"/>
        </w:rPr>
      </w:pPr>
    </w:p>
    <w:p w:rsidRPr="00BB7966" w:rsidR="00BB7966" w:rsidP="00BB7966" w:rsidRDefault="00BB7966" w14:paraId="1DD69417" w14:textId="22D0EDA6">
      <w:pPr>
        <w:widowControl/>
        <w:numPr>
          <w:ilvl w:val="0"/>
          <w:numId w:val="29"/>
        </w:numPr>
        <w:rPr>
          <w:szCs w:val="24"/>
        </w:rPr>
      </w:pPr>
      <w:r w:rsidRPr="00BB7966">
        <w:rPr>
          <w:szCs w:val="24"/>
        </w:rPr>
        <w:t>Under statutes, decisions, regulations and rulings existing on this date, the interest on the Bonds is exempt from income taxation in the State of Indiana.</w:t>
      </w:r>
      <w:r w:rsidR="00907980">
        <w:rPr>
          <w:szCs w:val="24"/>
        </w:rPr>
        <w:t xml:space="preserve"> </w:t>
      </w:r>
      <w:r w:rsidRPr="00BB7966">
        <w:rPr>
          <w:szCs w:val="24"/>
        </w:rPr>
        <w:t xml:space="preserve"> This opinion relates only to the tax exemption of interest from State of Indiana income tax.</w:t>
      </w:r>
    </w:p>
    <w:p w:rsidRPr="00BB7966" w:rsidR="00BB7966" w:rsidP="00BB7966" w:rsidRDefault="00BB7966" w14:paraId="4BFC04BB" w14:textId="77777777">
      <w:pPr>
        <w:widowControl/>
        <w:rPr>
          <w:szCs w:val="24"/>
        </w:rPr>
      </w:pPr>
    </w:p>
    <w:p w:rsidRPr="00BB7966" w:rsidR="00BB7966" w:rsidP="00BB7966" w:rsidRDefault="00414B4B" w14:paraId="1E4E53A0" w14:textId="3332316B">
      <w:pPr>
        <w:widowControl/>
        <w:numPr>
          <w:ilvl w:val="0"/>
          <w:numId w:val="29"/>
        </w:numPr>
        <w:rPr>
          <w:szCs w:val="24"/>
        </w:rPr>
      </w:pPr>
      <w:r w:rsidRPr="00414B4B">
        <w:rPr>
          <w:szCs w:val="24"/>
        </w:rPr>
        <w:t xml:space="preserve">Under existing federal statutes, decisions, regulations and rulings, the interest on the </w:t>
      </w:r>
      <w:r w:rsidR="00C7294C">
        <w:rPr>
          <w:szCs w:val="24"/>
        </w:rPr>
        <w:t>2024 Series C</w:t>
      </w:r>
      <w:r w:rsidR="00B4438E">
        <w:rPr>
          <w:szCs w:val="24"/>
        </w:rPr>
        <w:t>-1 Bond</w:t>
      </w:r>
      <w:r w:rsidRPr="00414B4B">
        <w:rPr>
          <w:szCs w:val="24"/>
        </w:rPr>
        <w:t>s is excludable from the gross income of the owners thereof for federal income tax purposes pursuant to Section 103 of the Internal Revenue Code of 1986, as amended and in</w:t>
      </w:r>
      <w:r>
        <w:rPr>
          <w:szCs w:val="24"/>
        </w:rPr>
        <w:t xml:space="preserve"> effect on this date (the </w:t>
      </w:r>
      <w:r w:rsidR="00C34AEA">
        <w:rPr>
          <w:szCs w:val="24"/>
        </w:rPr>
        <w:t>“</w:t>
      </w:r>
      <w:r>
        <w:rPr>
          <w:szCs w:val="24"/>
        </w:rPr>
        <w:t>Code</w:t>
      </w:r>
      <w:r w:rsidR="00C34AEA">
        <w:rPr>
          <w:szCs w:val="24"/>
        </w:rPr>
        <w:t>”</w:t>
      </w:r>
      <w:r w:rsidRPr="00414B4B">
        <w:rPr>
          <w:szCs w:val="24"/>
        </w:rPr>
        <w:t>).</w:t>
      </w:r>
      <w:r w:rsidR="00907980">
        <w:rPr>
          <w:szCs w:val="24"/>
        </w:rPr>
        <w:t xml:space="preserve"> </w:t>
      </w:r>
      <w:r w:rsidRPr="00414B4B">
        <w:rPr>
          <w:szCs w:val="24"/>
        </w:rPr>
        <w:t xml:space="preserve"> The interest on the </w:t>
      </w:r>
      <w:r w:rsidR="00C7294C">
        <w:rPr>
          <w:szCs w:val="24"/>
        </w:rPr>
        <w:t>2024 Series C</w:t>
      </w:r>
      <w:r w:rsidRPr="00414B4B">
        <w:rPr>
          <w:szCs w:val="24"/>
        </w:rPr>
        <w:t>-1 Bonds is not a specific preference item for purposes of the federal individual alternative minimum tax.</w:t>
      </w:r>
      <w:r w:rsidR="00907980">
        <w:rPr>
          <w:szCs w:val="24"/>
        </w:rPr>
        <w:t xml:space="preserve"> </w:t>
      </w:r>
      <w:r w:rsidRPr="00414B4B">
        <w:rPr>
          <w:szCs w:val="24"/>
        </w:rPr>
        <w:t xml:space="preserve"> </w:t>
      </w:r>
      <w:r w:rsidR="003E3884">
        <w:rPr>
          <w:szCs w:val="24"/>
        </w:rPr>
        <w:t xml:space="preserve">However, such interest on the </w:t>
      </w:r>
      <w:r w:rsidR="00C7294C">
        <w:rPr>
          <w:szCs w:val="24"/>
        </w:rPr>
        <w:t>2024 Series C</w:t>
      </w:r>
      <w:r w:rsidR="003E3884">
        <w:rPr>
          <w:szCs w:val="24"/>
        </w:rPr>
        <w:t>-1 Bonds may be taken into account for the purpose of computing the alternative minimum tax imposed on certain corporations</w:t>
      </w:r>
      <w:r w:rsidRPr="00414B4B">
        <w:rPr>
          <w:szCs w:val="24"/>
        </w:rPr>
        <w:t>.</w:t>
      </w:r>
    </w:p>
    <w:p w:rsidRPr="00BB7966" w:rsidR="00BB7966" w:rsidP="00BB7966" w:rsidRDefault="00BB7966" w14:paraId="3DEAE4DC" w14:textId="77777777">
      <w:pPr>
        <w:widowControl/>
        <w:rPr>
          <w:szCs w:val="24"/>
        </w:rPr>
      </w:pPr>
    </w:p>
    <w:p w:rsidRPr="00BB7966" w:rsidR="00BB7966" w:rsidP="00BB7966" w:rsidRDefault="00BB7966" w14:paraId="775AAD8D" w14:textId="08707C26">
      <w:pPr>
        <w:widowControl/>
        <w:rPr>
          <w:szCs w:val="24"/>
        </w:rPr>
      </w:pPr>
      <w:r w:rsidRPr="00BB7966">
        <w:rPr>
          <w:szCs w:val="24"/>
        </w:rPr>
        <w:t xml:space="preserve">This opinion is conditioned on continuing compliance by the Issuer with the Tax Covenants. </w:t>
      </w:r>
      <w:r w:rsidR="006A1954">
        <w:rPr>
          <w:szCs w:val="24"/>
        </w:rPr>
        <w:t xml:space="preserve"> </w:t>
      </w:r>
      <w:r w:rsidRPr="00BB7966">
        <w:rPr>
          <w:szCs w:val="24"/>
        </w:rPr>
        <w:t xml:space="preserve">Failure to comply with the Tax Covenants could cause interest on the </w:t>
      </w:r>
      <w:r w:rsidR="00C7294C">
        <w:rPr>
          <w:szCs w:val="24"/>
        </w:rPr>
        <w:t>2024 Series C</w:t>
      </w:r>
      <w:r w:rsidR="00B4438E">
        <w:rPr>
          <w:szCs w:val="24"/>
        </w:rPr>
        <w:t>-1 Bond</w:t>
      </w:r>
      <w:r w:rsidRPr="00BB7966">
        <w:rPr>
          <w:szCs w:val="24"/>
        </w:rPr>
        <w:t xml:space="preserve">s to lose the excludability from gross income for federal income tax purposes retroactive to their date of issue. </w:t>
      </w:r>
      <w:r w:rsidR="006A1954">
        <w:rPr>
          <w:szCs w:val="24"/>
        </w:rPr>
        <w:t xml:space="preserve"> </w:t>
      </w:r>
      <w:r w:rsidRPr="00BB7966">
        <w:rPr>
          <w:szCs w:val="24"/>
        </w:rPr>
        <w:t xml:space="preserve">No opinion is expressed upon the consequences of owning the </w:t>
      </w:r>
      <w:r w:rsidR="00C7294C">
        <w:rPr>
          <w:szCs w:val="24"/>
        </w:rPr>
        <w:t>2024 Series C</w:t>
      </w:r>
      <w:r w:rsidR="00B4438E">
        <w:rPr>
          <w:szCs w:val="24"/>
        </w:rPr>
        <w:t>-1 Bond</w:t>
      </w:r>
      <w:r w:rsidRPr="00BB7966">
        <w:rPr>
          <w:szCs w:val="24"/>
        </w:rPr>
        <w:t>s under any other section of the Code.</w:t>
      </w:r>
    </w:p>
    <w:p w:rsidRPr="00BB7966" w:rsidR="00BB7966" w:rsidP="00BB7966" w:rsidRDefault="00BB7966" w14:paraId="6CC0EE0F" w14:textId="77777777">
      <w:pPr>
        <w:widowControl/>
        <w:rPr>
          <w:szCs w:val="24"/>
        </w:rPr>
      </w:pPr>
    </w:p>
    <w:p w:rsidRPr="00BB7966" w:rsidR="00BB7966" w:rsidP="00BB7966" w:rsidRDefault="00BB7966" w14:paraId="4079AEC2" w14:textId="28CCC8AF">
      <w:pPr>
        <w:widowControl/>
        <w:rPr>
          <w:szCs w:val="24"/>
        </w:rPr>
      </w:pPr>
      <w:r w:rsidRPr="00BB7966">
        <w:rPr>
          <w:szCs w:val="24"/>
        </w:rPr>
        <w:t xml:space="preserve">State of Indiana Uniform Commercial Code Financing Statements have been filed in the offices of the Secretary of State of the State of Indiana with respect to the rights and interest of the Issuer and the Trustee in certain contract rights under the Indenture. </w:t>
      </w:r>
      <w:r w:rsidR="006A1954">
        <w:rPr>
          <w:szCs w:val="24"/>
        </w:rPr>
        <w:t xml:space="preserve"> </w:t>
      </w:r>
      <w:r w:rsidRPr="00BB7966">
        <w:rPr>
          <w:szCs w:val="24"/>
        </w:rPr>
        <w:t>Security interests perfected by the filing of Financing Statements are effective for a period of five years from the date of filing and the effectiveness of a filed Financing Statement in Indiana lapses on the expiration of a five-year period unless a continuation statement is filed within six months prior to the lapse.</w:t>
      </w:r>
    </w:p>
    <w:p w:rsidRPr="00BB7966" w:rsidR="00BB7966" w:rsidP="00BB7966" w:rsidRDefault="00BB7966" w14:paraId="17322551" w14:textId="77777777">
      <w:pPr>
        <w:widowControl/>
        <w:rPr>
          <w:szCs w:val="24"/>
        </w:rPr>
      </w:pPr>
    </w:p>
    <w:p w:rsidRPr="00BB7966" w:rsidR="00BB7966" w:rsidP="00BB7966" w:rsidRDefault="00BB7966" w14:paraId="79CE49EC" w14:textId="1EF901F2">
      <w:pPr>
        <w:widowControl/>
        <w:rPr>
          <w:szCs w:val="24"/>
        </w:rPr>
      </w:pPr>
      <w:r w:rsidRPr="00BB7966">
        <w:rPr>
          <w:szCs w:val="24"/>
        </w:rPr>
        <w:t>It is to be understood that the rights of the owners of the Bonds, the Issuer and the Trustee and the enforceability of the Bonds and the Indenture may be subject to bankruptcy, insolvency, reorganization, moratorium and other s</w:t>
      </w:r>
      <w:r w:rsidR="00414B4B">
        <w:rPr>
          <w:szCs w:val="24"/>
        </w:rPr>
        <w:t>imilar laws affecting creditors</w:t>
      </w:r>
      <w:r w:rsidR="00C34AEA">
        <w:rPr>
          <w:szCs w:val="24"/>
        </w:rPr>
        <w:t>’</w:t>
      </w:r>
      <w:r w:rsidRPr="00BB7966">
        <w:rPr>
          <w:szCs w:val="24"/>
        </w:rPr>
        <w:t xml:space="preserve"> rights heretofore or hereafter enacted to the extent constitutionally applicable and that their enforcement may also be subject to the exercise of judicial discretion in accordance with general principles of equity. </w:t>
      </w:r>
      <w:r w:rsidR="006A1954">
        <w:rPr>
          <w:szCs w:val="24"/>
        </w:rPr>
        <w:t xml:space="preserve"> </w:t>
      </w:r>
      <w:r w:rsidRPr="00BB7966">
        <w:rPr>
          <w:szCs w:val="24"/>
        </w:rPr>
        <w:t>It is to be further understood that the rights of the owners of the Bonds, the Issuer and the Trustee and the enforceability of the Bonds and the Indenture may be subject to the valid exercise of the constitutional powers of the State of Indiana and the United States of America.</w:t>
      </w:r>
    </w:p>
    <w:p w:rsidRPr="00BB7966" w:rsidR="00BB7966" w:rsidP="00BB7966" w:rsidRDefault="00BB7966" w14:paraId="79F6D718" w14:textId="77777777">
      <w:pPr>
        <w:widowControl/>
        <w:rPr>
          <w:szCs w:val="24"/>
        </w:rPr>
      </w:pPr>
    </w:p>
    <w:p w:rsidRPr="00BB7966" w:rsidR="004F58A1" w:rsidP="00BB7966" w:rsidRDefault="00BB7966" w14:paraId="587B23E6" w14:textId="0DA6B75F">
      <w:pPr>
        <w:widowControl/>
        <w:jc w:val="center"/>
        <w:rPr>
          <w:sz w:val="16"/>
        </w:rPr>
      </w:pPr>
      <w:r w:rsidRPr="00BB7966">
        <w:rPr>
          <w:szCs w:val="24"/>
        </w:rPr>
        <w:t>Very truly yours,</w:t>
      </w:r>
    </w:p>
    <w:p w:rsidRPr="00B34407" w:rsidR="00AF72E5" w:rsidP="00AF72E5" w:rsidRDefault="00AF72E5" w14:paraId="68DCB926" w14:textId="77777777">
      <w:pPr>
        <w:widowControl/>
        <w:sectPr w:rsidRPr="00B34407" w:rsidR="00AF72E5">
          <w:headerReference w:type="default" r:id="rId34"/>
          <w:footerReference w:type="default" r:id="rId35"/>
          <w:pgSz w:w="12240" w:h="15840"/>
          <w:pgMar w:top="1440" w:right="1440" w:bottom="1440" w:left="1440" w:header="720" w:footer="720" w:gutter="0"/>
          <w:pgNumType w:start="1"/>
          <w:cols w:space="720"/>
        </w:sectPr>
      </w:pPr>
    </w:p>
    <w:p w:rsidRPr="00B34407" w:rsidR="00122F04" w:rsidP="00122F04" w:rsidRDefault="00AF72E5" w14:paraId="76B7C7D5" w14:textId="77777777">
      <w:pPr>
        <w:pStyle w:val="aBTRightJustified"/>
        <w:widowControl/>
      </w:pPr>
      <w:bookmarkStart w:name="_DV_M749" w:id="927"/>
      <w:bookmarkStart w:name="ElPgBr72" w:id="928"/>
      <w:bookmarkEnd w:id="927"/>
      <w:bookmarkEnd w:id="928"/>
      <w:r w:rsidRPr="00B34407">
        <w:lastRenderedPageBreak/>
        <w:t>APPENDIX D</w:t>
      </w:r>
      <w:bookmarkStart w:name="_DV_M750" w:id="929"/>
      <w:bookmarkEnd w:id="929"/>
    </w:p>
    <w:p w:rsidRPr="00B34407" w:rsidR="00122F04" w:rsidP="00F828E4" w:rsidRDefault="00122F04" w14:paraId="03D75515" w14:textId="7AEB5C3C">
      <w:pPr>
        <w:pStyle w:val="atitle"/>
        <w:rPr>
          <w:rFonts w:eastAsia="Calibri"/>
        </w:rPr>
      </w:pPr>
      <w:r w:rsidRPr="00B34407">
        <w:rPr>
          <w:rFonts w:eastAsia="Calibri"/>
        </w:rPr>
        <w:t>SUMMARY OF CERTAIN PROVISIONS OF INDENTURE</w:t>
      </w:r>
      <w:bookmarkStart w:name="_DV_M751" w:id="930"/>
      <w:bookmarkEnd w:id="930"/>
    </w:p>
    <w:p w:rsidRPr="00B34407" w:rsidR="00122F04" w:rsidP="00F828E4" w:rsidRDefault="00122F04" w14:paraId="32D88F9C" w14:textId="028149F0">
      <w:pPr>
        <w:pStyle w:val="BodyTextFirstIndent"/>
        <w:rPr>
          <w:rFonts w:eastAsia="Calibri"/>
        </w:rPr>
      </w:pPr>
      <w:r w:rsidRPr="00B34407">
        <w:rPr>
          <w:rFonts w:eastAsia="Calibri"/>
        </w:rPr>
        <w:t xml:space="preserve">The Indenture, as amended, contains various covenants and security provisions, certain of which are summarized below. </w:t>
      </w:r>
      <w:r w:rsidR="00CB33D2">
        <w:rPr>
          <w:rFonts w:eastAsia="Calibri"/>
        </w:rPr>
        <w:t xml:space="preserve"> </w:t>
      </w:r>
      <w:r w:rsidRPr="00B34407">
        <w:rPr>
          <w:rFonts w:eastAsia="Calibri"/>
        </w:rPr>
        <w:t>Reference should be made to the Indenture for a full and complete statement of its provisions.</w:t>
      </w:r>
    </w:p>
    <w:p w:rsidRPr="00B34407" w:rsidR="00122F04" w:rsidP="00F828E4" w:rsidRDefault="00122F04" w14:paraId="571085CB" w14:textId="77777777">
      <w:pPr>
        <w:pStyle w:val="abodytextbold"/>
        <w:rPr>
          <w:rFonts w:eastAsia="Calibri"/>
        </w:rPr>
      </w:pPr>
      <w:r w:rsidRPr="00B34407">
        <w:rPr>
          <w:rFonts w:eastAsia="Calibri"/>
        </w:rPr>
        <w:t>Indenture as Contract with Bondholders</w:t>
      </w:r>
    </w:p>
    <w:p w:rsidRPr="00B34407" w:rsidR="00122F04" w:rsidP="00F828E4" w:rsidRDefault="00122F04" w14:paraId="32CF214C" w14:textId="6F4331EF">
      <w:pPr>
        <w:pStyle w:val="BodyTextFirstIndent"/>
        <w:rPr>
          <w:rFonts w:eastAsia="Calibri"/>
        </w:rPr>
      </w:pPr>
      <w:r w:rsidRPr="00B34407">
        <w:rPr>
          <w:rFonts w:eastAsia="Calibri"/>
        </w:rPr>
        <w:t xml:space="preserve">The provisions of the Indenture constitute a contract among the Authority, the Trustee and the holders from time to time of the Bonds. </w:t>
      </w:r>
      <w:r w:rsidR="00CB33D2">
        <w:rPr>
          <w:rFonts w:eastAsia="Calibri"/>
        </w:rPr>
        <w:t xml:space="preserve"> </w:t>
      </w:r>
      <w:r w:rsidRPr="00B34407">
        <w:rPr>
          <w:rFonts w:eastAsia="Calibri"/>
        </w:rPr>
        <w:t>The pledges and assignments made by the Indenture and the provisions, covenants and agreements in the Indenture to be performed by or on behalf of the Authority are for the equal benefit, protection and security of all holders of the Bonds, each of which, regardless of the time of its issue or maturity, is of equal rank without preference, priority or distinction over any other thereof (except as expressly provided in the Indenture).</w:t>
      </w:r>
    </w:p>
    <w:p w:rsidRPr="00B34407" w:rsidR="00122F04" w:rsidP="00F828E4" w:rsidRDefault="00122F04" w14:paraId="7B375C9A" w14:textId="77777777">
      <w:pPr>
        <w:pStyle w:val="abodytextbold"/>
        <w:rPr>
          <w:rFonts w:eastAsia="Calibri"/>
        </w:rPr>
      </w:pPr>
      <w:r w:rsidRPr="00B34407">
        <w:rPr>
          <w:rFonts w:eastAsia="Calibri"/>
        </w:rPr>
        <w:t>Transfers and Exchanges</w:t>
      </w:r>
    </w:p>
    <w:p w:rsidRPr="00B34407" w:rsidR="00122F04" w:rsidP="00F828E4" w:rsidRDefault="00122F04" w14:paraId="11611C63" w14:textId="2025BC61">
      <w:pPr>
        <w:pStyle w:val="BodyTextFirstIndent"/>
        <w:rPr>
          <w:rFonts w:eastAsia="Calibri"/>
        </w:rPr>
      </w:pPr>
      <w:r w:rsidRPr="00B34407">
        <w:rPr>
          <w:rFonts w:eastAsia="Calibri"/>
        </w:rPr>
        <w:t xml:space="preserve">The registered owner of any Bond may, upon surrender thereof at the corporate trust operations office of the Trustee, together with a written instrument of transfer satisfactory to the Trustee and duly executed by the owner thereof or his duly authorized attorney, transfer or exchange such Bond for an equal aggregate principal amount of Bonds of the same series and maturity of any authorized denomination. </w:t>
      </w:r>
      <w:r w:rsidR="00CB33D2">
        <w:rPr>
          <w:rFonts w:eastAsia="Calibri"/>
        </w:rPr>
        <w:t xml:space="preserve"> </w:t>
      </w:r>
      <w:r w:rsidRPr="00B34407">
        <w:rPr>
          <w:rFonts w:eastAsia="Calibri"/>
        </w:rPr>
        <w:t xml:space="preserve">The Trustee and the Paying Agent (individually, a </w:t>
      </w:r>
      <w:r w:rsidR="00C34AEA">
        <w:rPr>
          <w:rFonts w:eastAsia="Calibri"/>
        </w:rPr>
        <w:t>“</w:t>
      </w:r>
      <w:r w:rsidRPr="00B34407">
        <w:rPr>
          <w:rFonts w:eastAsia="Calibri"/>
        </w:rPr>
        <w:t>Fiduciary</w:t>
      </w:r>
      <w:r w:rsidR="00C34AEA">
        <w:rPr>
          <w:rFonts w:eastAsia="Calibri"/>
        </w:rPr>
        <w:t>”</w:t>
      </w:r>
      <w:r w:rsidRPr="00B34407">
        <w:rPr>
          <w:rFonts w:eastAsia="Calibri"/>
        </w:rPr>
        <w:t xml:space="preserve"> and, collectively, the </w:t>
      </w:r>
      <w:r w:rsidR="00C34AEA">
        <w:rPr>
          <w:rFonts w:eastAsia="Calibri"/>
        </w:rPr>
        <w:t>“</w:t>
      </w:r>
      <w:r w:rsidRPr="00B34407">
        <w:rPr>
          <w:rFonts w:eastAsia="Calibri"/>
        </w:rPr>
        <w:t>Fiduciaries</w:t>
      </w:r>
      <w:r w:rsidR="00C34AEA">
        <w:rPr>
          <w:rFonts w:eastAsia="Calibri"/>
        </w:rPr>
        <w:t>”</w:t>
      </w:r>
      <w:r w:rsidRPr="00B34407">
        <w:rPr>
          <w:rFonts w:eastAsia="Calibri"/>
        </w:rPr>
        <w:t xml:space="preserve">) and the Authority may deem and treat the person in whose name any Bond is registered upon the books of the Authority as the absolute owner of such Bond, for the purpose of receiving payment of, or on account of, the principal or redemption price, if any, and interest on such Bond, for notices required under the Indenture and for all other purposes. </w:t>
      </w:r>
      <w:r w:rsidR="00CB33D2">
        <w:rPr>
          <w:rFonts w:eastAsia="Calibri"/>
        </w:rPr>
        <w:t xml:space="preserve"> </w:t>
      </w:r>
      <w:r w:rsidRPr="00B34407">
        <w:rPr>
          <w:rFonts w:eastAsia="Calibri"/>
        </w:rPr>
        <w:t xml:space="preserve">The Authority or the Trustee may charge a person requesting a transfer or exchange of any Bonds an amount sufficient to reimburse it for any tax, fee or other governmental charge required to be paid with respect to such transfer or exchange, and, except as provided in the Indenture, may charge a sum sufficient to pay the cost of preparing each new Bond issued upon such transfer or exchange. </w:t>
      </w:r>
      <w:r w:rsidR="00CB33D2">
        <w:rPr>
          <w:rFonts w:eastAsia="Calibri"/>
        </w:rPr>
        <w:t xml:space="preserve"> </w:t>
      </w:r>
      <w:r w:rsidRPr="00B34407">
        <w:rPr>
          <w:rFonts w:eastAsia="Calibri"/>
        </w:rPr>
        <w:t>The Authority is not obligated to make any such transfer or exchange of Bonds: (i) during the ten days preceding an interest payment date for such Bonds, (ii) during the ten days preceding the date of first publication of notice of any proposed redemption of Bonds, or (iii) with respect to any particular Bond, after such Bond has been called for redemption.</w:t>
      </w:r>
    </w:p>
    <w:p w:rsidRPr="00B34407" w:rsidR="00122F04" w:rsidP="00F828E4" w:rsidRDefault="00122F04" w14:paraId="4431AF4D" w14:textId="5F2DFA2E">
      <w:pPr>
        <w:pStyle w:val="BodyTextFirstIndent"/>
        <w:rPr>
          <w:rFonts w:eastAsia="Calibri"/>
        </w:rPr>
      </w:pPr>
      <w:r w:rsidRPr="00B34407">
        <w:rPr>
          <w:rFonts w:eastAsia="Calibri"/>
        </w:rPr>
        <w:t xml:space="preserve">For so long as the </w:t>
      </w:r>
      <w:r w:rsidR="00C7294C">
        <w:rPr>
          <w:rFonts w:eastAsia="Calibri"/>
        </w:rPr>
        <w:t>2024 Series C</w:t>
      </w:r>
      <w:r w:rsidR="005B3036">
        <w:rPr>
          <w:rFonts w:eastAsia="Calibri"/>
        </w:rPr>
        <w:t xml:space="preserve"> Bond</w:t>
      </w:r>
      <w:r w:rsidR="006C550F">
        <w:rPr>
          <w:rFonts w:eastAsia="Calibri"/>
        </w:rPr>
        <w:t>s</w:t>
      </w:r>
      <w:r w:rsidRPr="00B34407">
        <w:rPr>
          <w:rFonts w:eastAsia="Calibri"/>
        </w:rPr>
        <w:t xml:space="preserve"> are registered in the name of DTC or its nominee, the Trustee will transfer and exchange </w:t>
      </w:r>
      <w:r w:rsidR="00C7294C">
        <w:rPr>
          <w:rFonts w:eastAsia="Calibri"/>
        </w:rPr>
        <w:t>2024 Series C</w:t>
      </w:r>
      <w:r w:rsidR="005B3036">
        <w:rPr>
          <w:rFonts w:eastAsia="Calibri"/>
        </w:rPr>
        <w:t xml:space="preserve"> Bond</w:t>
      </w:r>
      <w:r w:rsidR="006C550F">
        <w:rPr>
          <w:rFonts w:eastAsia="Calibri"/>
        </w:rPr>
        <w:t>s</w:t>
      </w:r>
      <w:r w:rsidRPr="00B34407">
        <w:rPr>
          <w:rFonts w:eastAsia="Calibri"/>
        </w:rPr>
        <w:t xml:space="preserve"> only on behalf of DTC or its nominee, in accordance with the preceding paragraph. </w:t>
      </w:r>
      <w:r w:rsidR="00CB33D2">
        <w:rPr>
          <w:rFonts w:eastAsia="Calibri"/>
        </w:rPr>
        <w:t xml:space="preserve"> </w:t>
      </w:r>
      <w:r w:rsidRPr="00B34407">
        <w:rPr>
          <w:rFonts w:eastAsia="Calibri"/>
        </w:rPr>
        <w:t>Neither the Authority, the Trustee nor the Paying Agent will have any responsibility for transferring or exchanging any Beneficial Owner</w:t>
      </w:r>
      <w:r w:rsidR="00C34AEA">
        <w:rPr>
          <w:rFonts w:eastAsia="Calibri"/>
        </w:rPr>
        <w:t>’</w:t>
      </w:r>
      <w:r w:rsidRPr="00B34407">
        <w:rPr>
          <w:rFonts w:eastAsia="Calibri"/>
        </w:rPr>
        <w:t xml:space="preserve">s interest in any </w:t>
      </w:r>
      <w:r w:rsidR="00C7294C">
        <w:rPr>
          <w:rFonts w:eastAsia="Calibri"/>
        </w:rPr>
        <w:t>2024 Series C</w:t>
      </w:r>
      <w:r w:rsidR="005B3036">
        <w:rPr>
          <w:rFonts w:eastAsia="Calibri"/>
        </w:rPr>
        <w:t xml:space="preserve"> Bond</w:t>
      </w:r>
      <w:r w:rsidR="006C550F">
        <w:rPr>
          <w:rFonts w:eastAsia="Calibri"/>
        </w:rPr>
        <w:t>s</w:t>
      </w:r>
      <w:r w:rsidRPr="00B34407">
        <w:rPr>
          <w:rFonts w:eastAsia="Calibri"/>
        </w:rPr>
        <w:t xml:space="preserve">. </w:t>
      </w:r>
      <w:r w:rsidR="00CB33D2">
        <w:rPr>
          <w:rFonts w:eastAsia="Calibri"/>
        </w:rPr>
        <w:t xml:space="preserve"> </w:t>
      </w:r>
      <w:r w:rsidRPr="00B34407">
        <w:rPr>
          <w:rFonts w:eastAsia="Calibri"/>
        </w:rPr>
        <w:t xml:space="preserve">See </w:t>
      </w:r>
      <w:r w:rsidR="00C34AEA">
        <w:rPr>
          <w:rFonts w:eastAsia="Calibri"/>
        </w:rPr>
        <w:t>“</w:t>
      </w:r>
      <w:r w:rsidRPr="00B34407">
        <w:rPr>
          <w:rFonts w:eastAsia="Calibri"/>
        </w:rPr>
        <w:t>BOOK-ENTRY ONLY SYSTEM.</w:t>
      </w:r>
      <w:r w:rsidR="00C34AEA">
        <w:rPr>
          <w:rFonts w:eastAsia="Calibri"/>
        </w:rPr>
        <w:t>”</w:t>
      </w:r>
    </w:p>
    <w:p w:rsidRPr="00B34407" w:rsidR="00122F04" w:rsidP="00F828E4" w:rsidRDefault="00122F04" w14:paraId="0DFCC011" w14:textId="77777777">
      <w:pPr>
        <w:pStyle w:val="abodytextbold"/>
        <w:rPr>
          <w:rFonts w:eastAsia="Calibri"/>
        </w:rPr>
      </w:pPr>
      <w:r w:rsidRPr="00B34407">
        <w:rPr>
          <w:rFonts w:eastAsia="Calibri"/>
        </w:rPr>
        <w:t>Provisions for Issuance of Bonds</w:t>
      </w:r>
    </w:p>
    <w:p w:rsidRPr="00B34407" w:rsidR="00122F04" w:rsidP="00F828E4" w:rsidRDefault="00122F04" w14:paraId="088CF7B9" w14:textId="77777777">
      <w:pPr>
        <w:pStyle w:val="BodyTextFirstIndent"/>
        <w:rPr>
          <w:rFonts w:eastAsia="Calibri"/>
        </w:rPr>
      </w:pPr>
      <w:r w:rsidRPr="00B34407">
        <w:rPr>
          <w:rFonts w:eastAsia="Calibri"/>
        </w:rPr>
        <w:t>The Indenture authorizes Bonds to be issued, authenticated and delivered from time to time in accordance with its terms only upon receipt by the Trustee of, among other things:</w:t>
      </w:r>
    </w:p>
    <w:p w:rsidRPr="00F828E4" w:rsidR="00122F04" w:rsidP="00623633" w:rsidRDefault="00122F04" w14:paraId="1458C55F" w14:textId="242CFBD0">
      <w:pPr>
        <w:widowControl/>
        <w:numPr>
          <w:ilvl w:val="0"/>
          <w:numId w:val="40"/>
        </w:numPr>
        <w:autoSpaceDE/>
        <w:autoSpaceDN/>
        <w:adjustRightInd/>
        <w:contextualSpacing/>
        <w:rPr>
          <w:rFonts w:eastAsia="Calibri"/>
        </w:rPr>
      </w:pPr>
      <w:r w:rsidRPr="00F828E4">
        <w:rPr>
          <w:rFonts w:eastAsia="Calibri"/>
        </w:rPr>
        <w:t xml:space="preserve">A copy of an indenture supplemental to or amendatory of the Master Indenture (a </w:t>
      </w:r>
      <w:r w:rsidR="00C34AEA">
        <w:rPr>
          <w:rFonts w:eastAsia="Calibri"/>
        </w:rPr>
        <w:t>“</w:t>
      </w:r>
      <w:r w:rsidRPr="00F828E4">
        <w:rPr>
          <w:rFonts w:eastAsia="Calibri"/>
        </w:rPr>
        <w:t>Supplemental Indenture</w:t>
      </w:r>
      <w:r w:rsidR="00C34AEA">
        <w:rPr>
          <w:rFonts w:eastAsia="Calibri"/>
        </w:rPr>
        <w:t>”</w:t>
      </w:r>
      <w:r w:rsidRPr="00F828E4">
        <w:rPr>
          <w:rFonts w:eastAsia="Calibri"/>
        </w:rPr>
        <w:t>) authorizing such series of Bonds, certified by an Authorized Officer, which specifies the terms and provisions of such Bonds;</w:t>
      </w:r>
    </w:p>
    <w:p w:rsidRPr="00B34407" w:rsidR="00122F04" w:rsidP="00122F04" w:rsidRDefault="00122F04" w14:paraId="2C9897FE" w14:textId="77777777">
      <w:pPr>
        <w:widowControl/>
        <w:autoSpaceDE/>
        <w:autoSpaceDN/>
        <w:adjustRightInd/>
        <w:ind w:left="720"/>
        <w:rPr>
          <w:rFonts w:eastAsia="Calibri"/>
        </w:rPr>
      </w:pPr>
    </w:p>
    <w:p w:rsidRPr="00F828E4" w:rsidR="00122F04" w:rsidP="00623633" w:rsidRDefault="00122F04" w14:paraId="5D0098F3" w14:textId="752F9517">
      <w:pPr>
        <w:widowControl/>
        <w:numPr>
          <w:ilvl w:val="0"/>
          <w:numId w:val="40"/>
        </w:numPr>
        <w:autoSpaceDE/>
        <w:autoSpaceDN/>
        <w:adjustRightInd/>
        <w:contextualSpacing/>
        <w:rPr>
          <w:rFonts w:eastAsia="Calibri"/>
        </w:rPr>
      </w:pPr>
      <w:r w:rsidRPr="00F828E4">
        <w:rPr>
          <w:rFonts w:eastAsia="Calibri"/>
        </w:rPr>
        <w:t xml:space="preserve">An opinion signed by an attorney or firm of attorneys of nationally recognized standing in the field of law relating to municipal, state and public agency financing, selected by the Authority and satisfactory to the Trustee (a </w:t>
      </w:r>
      <w:r w:rsidR="00C34AEA">
        <w:rPr>
          <w:rFonts w:eastAsia="Calibri"/>
        </w:rPr>
        <w:t>“</w:t>
      </w:r>
      <w:r w:rsidRPr="00F828E4">
        <w:rPr>
          <w:rFonts w:eastAsia="Calibri"/>
        </w:rPr>
        <w:t>Bond Counsel</w:t>
      </w:r>
      <w:r w:rsidR="00C34AEA">
        <w:rPr>
          <w:rFonts w:eastAsia="Calibri"/>
        </w:rPr>
        <w:t>’</w:t>
      </w:r>
      <w:r w:rsidRPr="00F828E4">
        <w:rPr>
          <w:rFonts w:eastAsia="Calibri"/>
        </w:rPr>
        <w:t>s Opinion</w:t>
      </w:r>
      <w:r w:rsidR="00C34AEA">
        <w:rPr>
          <w:rFonts w:eastAsia="Calibri"/>
        </w:rPr>
        <w:t>”</w:t>
      </w:r>
      <w:r w:rsidRPr="00F828E4">
        <w:rPr>
          <w:rFonts w:eastAsia="Calibri"/>
        </w:rPr>
        <w:t>), to the effect, among other things, that such Bonds have been duly and validly authorized and issued in accordance with the Constitution and statutes of the State, including the Act as amended to the date of such opinion, and in accordance with the Indenture;</w:t>
      </w:r>
    </w:p>
    <w:p w:rsidRPr="00B34407" w:rsidR="00122F04" w:rsidP="00122F04" w:rsidRDefault="00122F04" w14:paraId="7AF896CA" w14:textId="77777777">
      <w:pPr>
        <w:widowControl/>
        <w:autoSpaceDE/>
        <w:autoSpaceDN/>
        <w:adjustRightInd/>
        <w:ind w:left="720"/>
        <w:rPr>
          <w:rFonts w:eastAsia="Calibri"/>
        </w:rPr>
      </w:pPr>
    </w:p>
    <w:p w:rsidRPr="00F828E4" w:rsidR="00122F04" w:rsidP="00623633" w:rsidRDefault="00122F04" w14:paraId="60DD67A7" w14:textId="779D637D">
      <w:pPr>
        <w:widowControl/>
        <w:numPr>
          <w:ilvl w:val="0"/>
          <w:numId w:val="40"/>
        </w:numPr>
        <w:autoSpaceDE/>
        <w:autoSpaceDN/>
        <w:adjustRightInd/>
        <w:contextualSpacing/>
        <w:rPr>
          <w:rFonts w:eastAsia="Calibri"/>
        </w:rPr>
      </w:pPr>
      <w:bookmarkStart w:name="ElPgBr73" w:id="931"/>
      <w:bookmarkEnd w:id="931"/>
      <w:r w:rsidRPr="00F828E4">
        <w:rPr>
          <w:rFonts w:eastAsia="Calibri"/>
        </w:rPr>
        <w:lastRenderedPageBreak/>
        <w:t>The amount of the proceeds of such Bonds to be deposited in the Accounts held by the Trustee under the Indenture;</w:t>
      </w:r>
    </w:p>
    <w:p w:rsidRPr="00B34407" w:rsidR="00122F04" w:rsidP="00122F04" w:rsidRDefault="00122F04" w14:paraId="28DE601D" w14:textId="77777777">
      <w:pPr>
        <w:widowControl/>
        <w:autoSpaceDE/>
        <w:autoSpaceDN/>
        <w:adjustRightInd/>
        <w:ind w:left="720"/>
        <w:rPr>
          <w:rFonts w:eastAsia="Calibri"/>
        </w:rPr>
      </w:pPr>
    </w:p>
    <w:p w:rsidRPr="00F828E4" w:rsidR="00122F04" w:rsidP="00623633" w:rsidRDefault="00122F04" w14:paraId="5FBE8FE0" w14:textId="5CFA17EA">
      <w:pPr>
        <w:widowControl/>
        <w:numPr>
          <w:ilvl w:val="0"/>
          <w:numId w:val="40"/>
        </w:numPr>
        <w:autoSpaceDE/>
        <w:autoSpaceDN/>
        <w:adjustRightInd/>
        <w:contextualSpacing/>
        <w:rPr>
          <w:rFonts w:eastAsia="Calibri"/>
        </w:rPr>
      </w:pPr>
      <w:r w:rsidRPr="00F828E4">
        <w:rPr>
          <w:rFonts w:eastAsia="Calibri"/>
        </w:rPr>
        <w:t xml:space="preserve">A certificate of an Authorized Officer stating that conditions for the issuance of additional Bonds have been met (see </w:t>
      </w:r>
      <w:r w:rsidR="00C34AEA">
        <w:rPr>
          <w:rFonts w:eastAsia="Calibri"/>
        </w:rPr>
        <w:t>“</w:t>
      </w:r>
      <w:r w:rsidRPr="00F828E4">
        <w:rPr>
          <w:rFonts w:eastAsia="Calibri"/>
        </w:rPr>
        <w:t>Additional Bonds</w:t>
      </w:r>
      <w:r w:rsidR="00C34AEA">
        <w:rPr>
          <w:rFonts w:eastAsia="Calibri"/>
        </w:rPr>
        <w:t>”</w:t>
      </w:r>
      <w:r w:rsidRPr="00F828E4">
        <w:rPr>
          <w:rFonts w:eastAsia="Calibri"/>
        </w:rPr>
        <w:t>); and</w:t>
      </w:r>
    </w:p>
    <w:p w:rsidRPr="00B34407" w:rsidR="00122F04" w:rsidP="00122F04" w:rsidRDefault="00122F04" w14:paraId="2CA26CE7" w14:textId="77777777">
      <w:pPr>
        <w:widowControl/>
        <w:autoSpaceDE/>
        <w:autoSpaceDN/>
        <w:adjustRightInd/>
        <w:ind w:left="720"/>
        <w:rPr>
          <w:rFonts w:eastAsia="Calibri"/>
        </w:rPr>
      </w:pPr>
    </w:p>
    <w:p w:rsidR="00122F04" w:rsidP="00623633" w:rsidRDefault="00122F04" w14:paraId="0CD133A1" w14:textId="120A5657">
      <w:pPr>
        <w:widowControl/>
        <w:numPr>
          <w:ilvl w:val="0"/>
          <w:numId w:val="40"/>
        </w:numPr>
        <w:autoSpaceDE/>
        <w:autoSpaceDN/>
        <w:adjustRightInd/>
        <w:contextualSpacing/>
        <w:rPr>
          <w:rFonts w:eastAsia="Calibri"/>
        </w:rPr>
      </w:pPr>
      <w:r w:rsidRPr="00F828E4">
        <w:rPr>
          <w:rFonts w:eastAsia="Calibri"/>
        </w:rPr>
        <w:t>A Positive Statement of Projected Cash Flow, dated as of the date of delivery of such Bonds, giving effect to the proposed issuance of such Bonds; and evidence from each Rating Agency then rating the Bonds that such issuance will not adversely affect the existing rating on the Bonds.</w:t>
      </w:r>
    </w:p>
    <w:p w:rsidRPr="00F828E4" w:rsidR="00F828E4" w:rsidP="00F828E4" w:rsidRDefault="00F828E4" w14:paraId="319EF936" w14:textId="77777777">
      <w:pPr>
        <w:rPr>
          <w:rFonts w:eastAsia="Calibri"/>
        </w:rPr>
      </w:pPr>
    </w:p>
    <w:p w:rsidRPr="00B34407" w:rsidR="00122F04" w:rsidP="00F828E4" w:rsidRDefault="00122F04" w14:paraId="02531ECC" w14:textId="77777777">
      <w:pPr>
        <w:pStyle w:val="abodytextbold"/>
        <w:rPr>
          <w:rFonts w:eastAsia="Calibri"/>
        </w:rPr>
      </w:pPr>
      <w:r w:rsidRPr="00B34407">
        <w:rPr>
          <w:rFonts w:eastAsia="Calibri"/>
        </w:rPr>
        <w:t>Provisions for Refunding Issues</w:t>
      </w:r>
    </w:p>
    <w:p w:rsidRPr="00B34407" w:rsidR="00122F04" w:rsidP="00F828E4" w:rsidRDefault="00122F04" w14:paraId="79FD5A18" w14:textId="3E0BC535">
      <w:pPr>
        <w:pStyle w:val="BodyTextFirstIndent"/>
        <w:rPr>
          <w:rFonts w:eastAsia="Calibri"/>
        </w:rPr>
      </w:pPr>
      <w:r w:rsidRPr="00B34407">
        <w:rPr>
          <w:rFonts w:eastAsia="Calibri"/>
        </w:rPr>
        <w:t xml:space="preserve">Refunding Bonds may be issued to refund any outstanding Bonds. </w:t>
      </w:r>
      <w:r w:rsidR="00133455">
        <w:rPr>
          <w:rFonts w:eastAsia="Calibri"/>
        </w:rPr>
        <w:t xml:space="preserve"> </w:t>
      </w:r>
      <w:r w:rsidRPr="00B34407">
        <w:rPr>
          <w:rFonts w:eastAsia="Calibri"/>
        </w:rPr>
        <w:t>Refunding Bonds may be authenticated and delivered only upon receipt by the Trustee of:</w:t>
      </w:r>
    </w:p>
    <w:p w:rsidRPr="00F828E4" w:rsidR="00122F04" w:rsidP="00623633" w:rsidRDefault="00122F04" w14:paraId="03C2474E" w14:textId="7F554EED">
      <w:pPr>
        <w:widowControl/>
        <w:numPr>
          <w:ilvl w:val="0"/>
          <w:numId w:val="39"/>
        </w:numPr>
        <w:autoSpaceDE/>
        <w:autoSpaceDN/>
        <w:adjustRightInd/>
        <w:contextualSpacing/>
        <w:rPr>
          <w:rFonts w:eastAsia="Calibri"/>
        </w:rPr>
      </w:pPr>
      <w:r w:rsidRPr="00F828E4">
        <w:rPr>
          <w:rFonts w:eastAsia="Calibri"/>
        </w:rPr>
        <w:t>irrevocable instructions to the Trustee to give, within 30 days of the issuance of the Refunding Bonds, due notice to the holders of the Bonds to be refunded of the deposit of the funds and Investment Securities described in (iii) below, the payment or redemption of all the Bonds to be refunded and the payment or redemption dates, if any, upon which such Bonds are to be paid or redeemed;</w:t>
      </w:r>
    </w:p>
    <w:p w:rsidRPr="00B34407" w:rsidR="00122F04" w:rsidP="00122F04" w:rsidRDefault="00122F04" w14:paraId="4F3624C5" w14:textId="77777777">
      <w:pPr>
        <w:widowControl/>
        <w:autoSpaceDE/>
        <w:autoSpaceDN/>
        <w:adjustRightInd/>
        <w:ind w:left="720"/>
        <w:rPr>
          <w:rFonts w:eastAsia="Calibri"/>
        </w:rPr>
      </w:pPr>
    </w:p>
    <w:p w:rsidRPr="00F828E4" w:rsidR="00122F04" w:rsidP="00623633" w:rsidRDefault="00122F04" w14:paraId="4C4370D6" w14:textId="7B57C90C">
      <w:pPr>
        <w:widowControl/>
        <w:numPr>
          <w:ilvl w:val="0"/>
          <w:numId w:val="39"/>
        </w:numPr>
        <w:autoSpaceDE/>
        <w:autoSpaceDN/>
        <w:adjustRightInd/>
        <w:contextualSpacing/>
        <w:rPr>
          <w:rFonts w:eastAsia="Calibri"/>
        </w:rPr>
      </w:pPr>
      <w:r w:rsidRPr="00F828E4">
        <w:rPr>
          <w:rFonts w:eastAsia="Calibri"/>
        </w:rPr>
        <w:t>if the Bonds to be refunded are to be redeemed subsequent to the next succeeding 45 days, irrevocable instructions to disseminate notice of redemption of such Bonds on a specified date prior to their redemption date; and</w:t>
      </w:r>
    </w:p>
    <w:p w:rsidRPr="00B34407" w:rsidR="00122F04" w:rsidP="00122F04" w:rsidRDefault="00122F04" w14:paraId="524CAA91" w14:textId="77777777">
      <w:pPr>
        <w:widowControl/>
        <w:autoSpaceDE/>
        <w:autoSpaceDN/>
        <w:adjustRightInd/>
        <w:ind w:left="720"/>
        <w:rPr>
          <w:rFonts w:eastAsia="Calibri"/>
        </w:rPr>
      </w:pPr>
    </w:p>
    <w:p w:rsidRPr="00F828E4" w:rsidR="00122F04" w:rsidP="00623633" w:rsidRDefault="00122F04" w14:paraId="27056FFF" w14:textId="7817A018">
      <w:pPr>
        <w:widowControl/>
        <w:numPr>
          <w:ilvl w:val="0"/>
          <w:numId w:val="39"/>
        </w:numPr>
        <w:autoSpaceDE/>
        <w:autoSpaceDN/>
        <w:adjustRightInd/>
        <w:contextualSpacing/>
        <w:rPr>
          <w:rFonts w:eastAsia="Calibri"/>
        </w:rPr>
      </w:pPr>
      <w:r w:rsidRPr="00F828E4">
        <w:rPr>
          <w:rFonts w:eastAsia="Calibri"/>
        </w:rPr>
        <w:t>either (a) moneys sufficient to effect payment or redemption at the applicable redemption price of the Bonds to be refunded, together with accrued interest thereon to the maturity date or redemption date, or (b) direct obligations of or obligations guaranteed by the United States of America, the principal of and interest on which when due (without reinvestment thereof), together with any moneys deposited with the Trustee, will be sufficient to pay when due such principal or redemption price of the Bonds to be refunded and accrued interest thereon.</w:t>
      </w:r>
    </w:p>
    <w:p w:rsidRPr="00B34407" w:rsidR="00122F04" w:rsidP="00122F04" w:rsidRDefault="00122F04" w14:paraId="16A65611" w14:textId="77777777">
      <w:pPr>
        <w:widowControl/>
        <w:autoSpaceDE/>
        <w:autoSpaceDN/>
        <w:adjustRightInd/>
        <w:ind w:left="720"/>
        <w:rPr>
          <w:rFonts w:eastAsia="Calibri"/>
        </w:rPr>
      </w:pPr>
    </w:p>
    <w:p w:rsidRPr="00B34407" w:rsidR="00122F04" w:rsidP="00F828E4" w:rsidRDefault="00122F04" w14:paraId="06408825" w14:textId="77777777">
      <w:pPr>
        <w:pStyle w:val="BodyTextFirstIndent"/>
        <w:rPr>
          <w:rFonts w:eastAsia="Calibri"/>
        </w:rPr>
      </w:pPr>
      <w:r w:rsidRPr="00B34407">
        <w:rPr>
          <w:rFonts w:eastAsia="Calibri"/>
        </w:rPr>
        <w:t>Any such moneys and obligations will be irrevocably held in trust in the Redemption Account for such payment by the Trustee or the Paying Agent.</w:t>
      </w:r>
    </w:p>
    <w:p w:rsidRPr="00B34407" w:rsidR="00122F04" w:rsidP="00F828E4" w:rsidRDefault="00122F04" w14:paraId="2C5668B0" w14:textId="501B2340">
      <w:pPr>
        <w:pStyle w:val="BodyTextFirstIndent"/>
        <w:rPr>
          <w:rFonts w:eastAsia="Calibri"/>
        </w:rPr>
      </w:pPr>
      <w:r w:rsidRPr="00B34407">
        <w:rPr>
          <w:rFonts w:eastAsia="Calibri"/>
        </w:rPr>
        <w:t>Neither such moneys or obligations so held by the Trustee or principal or interest payments on any such obligations may be withdrawn or used for any purpose other than the payment of the applicable principal or redemption price of the Bonds to be refunded, together with accrued interest on such Bonds to the redemption date.</w:t>
      </w:r>
      <w:r w:rsidR="00133455">
        <w:rPr>
          <w:rFonts w:eastAsia="Calibri"/>
        </w:rPr>
        <w:t xml:space="preserve"> </w:t>
      </w:r>
      <w:r w:rsidRPr="00B34407">
        <w:rPr>
          <w:rFonts w:eastAsia="Calibri"/>
        </w:rPr>
        <w:t xml:space="preserve"> Any cash received from such principal or interest payments, if not then needed for the purpose of paying the principal or redemption price and accrued interest on the Bonds to be refunded, will, to the extent practicable, be reinvested in such obligations at times and in amounts sufficient to pay when due the principal or applicable redemption price of such Bonds, together with such accrued interest. </w:t>
      </w:r>
      <w:r w:rsidR="00133455">
        <w:rPr>
          <w:rFonts w:eastAsia="Calibri"/>
        </w:rPr>
        <w:t xml:space="preserve"> </w:t>
      </w:r>
      <w:r w:rsidRPr="00B34407">
        <w:rPr>
          <w:rFonts w:eastAsia="Calibri"/>
        </w:rPr>
        <w:t>However, amounts received on account of any portion of the principal or interest on such obligations so held by the Trustee which are in excess of the amounts required to provide moneys sufficient to pay when due the applicable principal installments or redemption price of the Bonds to be refunded, together with interest on such Bonds, may be pledged by the Authority and withdrawn by the Authority as received and applied to any purpose of the Authority, free and clear of the lien of the pledge of the Indenture.</w:t>
      </w:r>
    </w:p>
    <w:p w:rsidRPr="00B34407" w:rsidR="00122F04" w:rsidP="00F828E4" w:rsidRDefault="00122F04" w14:paraId="7DE1BC90" w14:textId="77777777">
      <w:pPr>
        <w:pStyle w:val="abodytextbold"/>
        <w:rPr>
          <w:rFonts w:eastAsia="Calibri"/>
        </w:rPr>
      </w:pPr>
      <w:r w:rsidRPr="00B34407">
        <w:rPr>
          <w:rFonts w:eastAsia="Calibri"/>
        </w:rPr>
        <w:t>Additional Bonds</w:t>
      </w:r>
    </w:p>
    <w:p w:rsidRPr="00B34407" w:rsidR="00122F04" w:rsidP="00F828E4" w:rsidRDefault="00122F04" w14:paraId="5C9F6374" w14:textId="4311398A">
      <w:pPr>
        <w:pStyle w:val="BodyTextFirstIndent"/>
        <w:rPr>
          <w:rFonts w:eastAsia="Calibri"/>
        </w:rPr>
      </w:pPr>
      <w:r w:rsidRPr="00B34407">
        <w:rPr>
          <w:rFonts w:eastAsia="Calibri"/>
        </w:rPr>
        <w:t xml:space="preserve">Additional series of Bonds may be issued as provided in the Indenture on parity with the Bonds of all other series, secured by an equal charge and lien on the Revenues and assets pledged under the Indenture and payable equally therefrom. </w:t>
      </w:r>
      <w:r w:rsidR="00133455">
        <w:rPr>
          <w:rFonts w:eastAsia="Calibri"/>
        </w:rPr>
        <w:t xml:space="preserve"> </w:t>
      </w:r>
      <w:r w:rsidRPr="00B34407">
        <w:rPr>
          <w:rFonts w:eastAsia="Calibri"/>
        </w:rPr>
        <w:t>No such additional series of Bonds may be issued unless:</w:t>
      </w:r>
    </w:p>
    <w:p w:rsidRPr="00F828E4" w:rsidR="00122F04" w:rsidP="00623633" w:rsidRDefault="00122F04" w14:paraId="7338BA21" w14:textId="73237176">
      <w:pPr>
        <w:widowControl/>
        <w:numPr>
          <w:ilvl w:val="0"/>
          <w:numId w:val="41"/>
        </w:numPr>
        <w:autoSpaceDE/>
        <w:autoSpaceDN/>
        <w:adjustRightInd/>
        <w:ind w:left="1440" w:hanging="720"/>
        <w:contextualSpacing/>
        <w:rPr>
          <w:rFonts w:eastAsia="Calibri"/>
        </w:rPr>
      </w:pPr>
      <w:r w:rsidRPr="00F828E4">
        <w:rPr>
          <w:rFonts w:eastAsia="Calibri"/>
        </w:rPr>
        <w:t>the principal amount of all Bonds issued or to be issued will not exceed any limitation imposed by law;</w:t>
      </w:r>
    </w:p>
    <w:p w:rsidRPr="00B34407" w:rsidR="00122F04" w:rsidP="00F828E4" w:rsidRDefault="00122F04" w14:paraId="62498A7C" w14:textId="77777777">
      <w:pPr>
        <w:widowControl/>
        <w:autoSpaceDE/>
        <w:autoSpaceDN/>
        <w:adjustRightInd/>
        <w:ind w:left="1440" w:hanging="720"/>
        <w:rPr>
          <w:rFonts w:eastAsia="Calibri"/>
        </w:rPr>
      </w:pPr>
    </w:p>
    <w:p w:rsidRPr="00B34407" w:rsidR="00122F04" w:rsidP="00F828E4" w:rsidRDefault="00122F04" w14:paraId="0CD22309" w14:textId="47EBAA4F">
      <w:pPr>
        <w:widowControl/>
        <w:autoSpaceDE/>
        <w:autoSpaceDN/>
        <w:adjustRightInd/>
        <w:ind w:left="1440" w:hanging="720"/>
        <w:rPr>
          <w:rFonts w:eastAsia="Calibri"/>
        </w:rPr>
      </w:pPr>
      <w:bookmarkStart w:name="ElPgBr74" w:id="932"/>
      <w:bookmarkEnd w:id="932"/>
      <w:r w:rsidRPr="00B34407">
        <w:rPr>
          <w:rFonts w:eastAsia="Calibri"/>
        </w:rPr>
        <w:lastRenderedPageBreak/>
        <w:t xml:space="preserve">(ii) </w:t>
      </w:r>
      <w:r w:rsidRPr="00B34407">
        <w:rPr>
          <w:rFonts w:eastAsia="Calibri"/>
        </w:rPr>
        <w:tab/>
        <w:t xml:space="preserve">the provisions for the issuance of Bonds (see </w:t>
      </w:r>
      <w:r w:rsidR="00C34AEA">
        <w:rPr>
          <w:rFonts w:eastAsia="Calibri"/>
        </w:rPr>
        <w:t>“</w:t>
      </w:r>
      <w:r w:rsidRPr="00B34407">
        <w:rPr>
          <w:rFonts w:eastAsia="Calibri"/>
        </w:rPr>
        <w:t>Provisions for Issuance of Bonds</w:t>
      </w:r>
      <w:r w:rsidR="00C34AEA">
        <w:rPr>
          <w:rFonts w:eastAsia="Calibri"/>
        </w:rPr>
        <w:t>”</w:t>
      </w:r>
      <w:r w:rsidRPr="00B34407">
        <w:rPr>
          <w:rFonts w:eastAsia="Calibri"/>
        </w:rPr>
        <w:t xml:space="preserve">) and, in the case of Refunding Bonds, the provisions for the issuance of Refunding Bonds (see </w:t>
      </w:r>
      <w:r w:rsidR="00C34AEA">
        <w:rPr>
          <w:rFonts w:eastAsia="Calibri"/>
        </w:rPr>
        <w:t>“</w:t>
      </w:r>
      <w:r w:rsidRPr="00B34407">
        <w:rPr>
          <w:rFonts w:eastAsia="Calibri"/>
        </w:rPr>
        <w:t>Provisions for Refunding Issues</w:t>
      </w:r>
      <w:r w:rsidR="00C34AEA">
        <w:rPr>
          <w:rFonts w:eastAsia="Calibri"/>
        </w:rPr>
        <w:t>”</w:t>
      </w:r>
      <w:r w:rsidRPr="00B34407">
        <w:rPr>
          <w:rFonts w:eastAsia="Calibri"/>
        </w:rPr>
        <w:t>) have been complied with; and</w:t>
      </w:r>
    </w:p>
    <w:p w:rsidRPr="00B34407" w:rsidR="00122F04" w:rsidP="00F828E4" w:rsidRDefault="00122F04" w14:paraId="7496D37A" w14:textId="77777777">
      <w:pPr>
        <w:widowControl/>
        <w:autoSpaceDE/>
        <w:autoSpaceDN/>
        <w:adjustRightInd/>
        <w:ind w:left="1440" w:hanging="720"/>
        <w:rPr>
          <w:rFonts w:eastAsia="Calibri"/>
        </w:rPr>
      </w:pPr>
    </w:p>
    <w:p w:rsidRPr="00F828E4" w:rsidR="00122F04" w:rsidP="005B6C2C" w:rsidRDefault="00122F04" w14:paraId="6AFC1DE0" w14:textId="15D78011">
      <w:pPr>
        <w:widowControl/>
        <w:numPr>
          <w:ilvl w:val="0"/>
          <w:numId w:val="44"/>
        </w:numPr>
        <w:autoSpaceDE/>
        <w:autoSpaceDN/>
        <w:adjustRightInd/>
        <w:contextualSpacing/>
        <w:rPr>
          <w:rFonts w:eastAsia="Calibri"/>
        </w:rPr>
      </w:pPr>
      <w:r w:rsidRPr="00F828E4">
        <w:rPr>
          <w:rFonts w:eastAsia="Calibri"/>
        </w:rPr>
        <w:t>except in the case of Refunding Bonds, the Authority is not in default in the performance of any of the covenants, conditions, agreements or provisions contained in the Indenture.</w:t>
      </w:r>
    </w:p>
    <w:p w:rsidRPr="00B34407" w:rsidR="00122F04" w:rsidP="00122F04" w:rsidRDefault="00122F04" w14:paraId="651310E9" w14:textId="77777777">
      <w:pPr>
        <w:widowControl/>
        <w:autoSpaceDE/>
        <w:autoSpaceDN/>
        <w:adjustRightInd/>
        <w:rPr>
          <w:rFonts w:eastAsia="Calibri"/>
        </w:rPr>
      </w:pPr>
    </w:p>
    <w:p w:rsidRPr="00B34407" w:rsidR="00122F04" w:rsidP="00F828E4" w:rsidRDefault="00122F04" w14:paraId="277CA246" w14:textId="7E1DE7DD">
      <w:pPr>
        <w:pStyle w:val="BodyText"/>
        <w:rPr>
          <w:rFonts w:eastAsia="Calibri"/>
        </w:rPr>
      </w:pPr>
      <w:r w:rsidRPr="00B34407">
        <w:rPr>
          <w:rFonts w:eastAsia="Calibri"/>
        </w:rPr>
        <w:t xml:space="preserve">Other than Additional Bonds, the Authority is not permitted to issue any obligations or create any indebtedness which will be secured by a superior or equal charge or lien on the Revenues and assets pledged under the Indenture. </w:t>
      </w:r>
      <w:r w:rsidR="00133455">
        <w:rPr>
          <w:rFonts w:eastAsia="Calibri"/>
        </w:rPr>
        <w:t xml:space="preserve"> </w:t>
      </w:r>
      <w:r w:rsidRPr="00B34407">
        <w:rPr>
          <w:rFonts w:eastAsia="Calibri"/>
        </w:rPr>
        <w:t>The Authority has reserved the right to issue other obligations not secured under the Indenture.</w:t>
      </w:r>
    </w:p>
    <w:p w:rsidRPr="00B34407" w:rsidR="00122F04" w:rsidP="00F828E4" w:rsidRDefault="00122F04" w14:paraId="4764CA1D" w14:textId="77777777">
      <w:pPr>
        <w:pStyle w:val="abodytextbold"/>
        <w:rPr>
          <w:rFonts w:eastAsia="Calibri"/>
        </w:rPr>
      </w:pPr>
      <w:r w:rsidRPr="00B34407">
        <w:rPr>
          <w:rFonts w:eastAsia="Calibri"/>
        </w:rPr>
        <w:t>Application of Bond Proceeds</w:t>
      </w:r>
    </w:p>
    <w:p w:rsidRPr="00B34407" w:rsidR="00122F04" w:rsidP="00F828E4" w:rsidRDefault="00122F04" w14:paraId="2DE517B3" w14:textId="6F1AB1D0">
      <w:pPr>
        <w:pStyle w:val="BodyTextFirstIndent"/>
        <w:rPr>
          <w:rFonts w:eastAsia="Calibri"/>
        </w:rPr>
      </w:pPr>
      <w:r w:rsidRPr="00B34407">
        <w:rPr>
          <w:rFonts w:eastAsia="Calibri"/>
        </w:rPr>
        <w:t>Upon the delivery of each series of Bonds, other than Refunding Bonds, an amount is required to be deposited in the Loan Account or Revenue Account for payment of costs of issuance and interest on the Bonds or as otherwise provided in the Indenture.</w:t>
      </w:r>
      <w:r w:rsidR="00133455">
        <w:rPr>
          <w:rFonts w:eastAsia="Calibri"/>
        </w:rPr>
        <w:t xml:space="preserve"> </w:t>
      </w:r>
      <w:r w:rsidRPr="00B34407">
        <w:rPr>
          <w:rFonts w:eastAsia="Calibri"/>
        </w:rPr>
        <w:t xml:space="preserve"> Amounts in the Loan Account may not be expended and applied for the financing of a Mortgage Loan (other than Mortgage Loans which are Mortgage Certificates) unless the Mortgage Loan has been made for residential housing for occupancy by lower and moderate income persons and families as determined by the Authority under the Program Guide.</w:t>
      </w:r>
    </w:p>
    <w:p w:rsidRPr="00B34407" w:rsidR="00122F04" w:rsidP="00F828E4" w:rsidRDefault="00122F04" w14:paraId="2E44C07B" w14:textId="77777777">
      <w:pPr>
        <w:pStyle w:val="abodytextbold"/>
        <w:rPr>
          <w:rFonts w:eastAsia="Calibri"/>
        </w:rPr>
      </w:pPr>
      <w:r w:rsidRPr="00B34407">
        <w:rPr>
          <w:rFonts w:eastAsia="Calibri"/>
        </w:rPr>
        <w:t>Establishment of Accounts</w:t>
      </w:r>
    </w:p>
    <w:p w:rsidRPr="00B34407" w:rsidR="00122F04" w:rsidP="00F828E4" w:rsidRDefault="00122F04" w14:paraId="6E2B4265" w14:textId="77777777">
      <w:pPr>
        <w:pStyle w:val="BodyTextFirstIndent"/>
        <w:rPr>
          <w:rFonts w:eastAsia="Calibri"/>
        </w:rPr>
      </w:pPr>
      <w:r w:rsidRPr="00B34407">
        <w:rPr>
          <w:rFonts w:eastAsia="Calibri"/>
        </w:rPr>
        <w:t>The Indenture establishes the following Accounts, all of which are held in trust for application only in accordance with the Indenture:</w:t>
      </w:r>
    </w:p>
    <w:p w:rsidRPr="00B34407" w:rsidR="00122F04" w:rsidP="00A97E57" w:rsidRDefault="00122F04" w14:paraId="4D1086F0" w14:textId="77777777">
      <w:pPr>
        <w:widowControl/>
        <w:numPr>
          <w:ilvl w:val="0"/>
          <w:numId w:val="30"/>
        </w:numPr>
        <w:tabs>
          <w:tab w:val="num" w:pos="2160"/>
        </w:tabs>
        <w:autoSpaceDE/>
        <w:autoSpaceDN/>
        <w:adjustRightInd/>
        <w:ind w:left="1800"/>
        <w:contextualSpacing/>
        <w:rPr>
          <w:rFonts w:eastAsia="Calibri"/>
        </w:rPr>
      </w:pPr>
      <w:r w:rsidRPr="00B34407">
        <w:rPr>
          <w:rFonts w:eastAsia="Calibri"/>
        </w:rPr>
        <w:t>Loan Account</w:t>
      </w:r>
    </w:p>
    <w:p w:rsidRPr="00B34407" w:rsidR="00122F04" w:rsidP="00A97E57" w:rsidRDefault="00122F04" w14:paraId="0E1587A6" w14:textId="77777777">
      <w:pPr>
        <w:widowControl/>
        <w:tabs>
          <w:tab w:val="num" w:pos="2160"/>
        </w:tabs>
        <w:autoSpaceDE/>
        <w:autoSpaceDN/>
        <w:adjustRightInd/>
        <w:ind w:left="1800"/>
        <w:rPr>
          <w:rFonts w:eastAsia="Calibri"/>
        </w:rPr>
      </w:pPr>
    </w:p>
    <w:p w:rsidRPr="00B34407" w:rsidR="00122F04" w:rsidP="00A97E57" w:rsidRDefault="00122F04" w14:paraId="6B019257" w14:textId="77777777">
      <w:pPr>
        <w:widowControl/>
        <w:numPr>
          <w:ilvl w:val="0"/>
          <w:numId w:val="30"/>
        </w:numPr>
        <w:tabs>
          <w:tab w:val="num" w:pos="2160"/>
        </w:tabs>
        <w:autoSpaceDE/>
        <w:autoSpaceDN/>
        <w:adjustRightInd/>
        <w:ind w:left="1800"/>
        <w:contextualSpacing/>
        <w:rPr>
          <w:rFonts w:eastAsia="Calibri"/>
        </w:rPr>
      </w:pPr>
      <w:r w:rsidRPr="00B34407">
        <w:rPr>
          <w:rFonts w:eastAsia="Calibri"/>
        </w:rPr>
        <w:t>Revenue Account,</w:t>
      </w:r>
    </w:p>
    <w:p w:rsidRPr="00B34407" w:rsidR="00122F04" w:rsidP="00A97E57" w:rsidRDefault="00122F04" w14:paraId="365805CC" w14:textId="77777777">
      <w:pPr>
        <w:widowControl/>
        <w:autoSpaceDE/>
        <w:autoSpaceDN/>
        <w:adjustRightInd/>
        <w:ind w:left="1800"/>
        <w:contextualSpacing/>
        <w:rPr>
          <w:rFonts w:eastAsia="Calibri"/>
        </w:rPr>
      </w:pPr>
    </w:p>
    <w:p w:rsidRPr="00B34407" w:rsidR="00122F04" w:rsidP="00A97E57" w:rsidRDefault="00122F04" w14:paraId="69E3360E" w14:textId="77777777">
      <w:pPr>
        <w:widowControl/>
        <w:numPr>
          <w:ilvl w:val="0"/>
          <w:numId w:val="30"/>
        </w:numPr>
        <w:tabs>
          <w:tab w:val="num" w:pos="2160"/>
        </w:tabs>
        <w:autoSpaceDE/>
        <w:autoSpaceDN/>
        <w:adjustRightInd/>
        <w:ind w:left="1800"/>
        <w:contextualSpacing/>
        <w:rPr>
          <w:rFonts w:eastAsia="Calibri"/>
        </w:rPr>
      </w:pPr>
      <w:r w:rsidRPr="00B34407">
        <w:rPr>
          <w:rFonts w:eastAsia="Calibri"/>
        </w:rPr>
        <w:t>Redemption Account, and</w:t>
      </w:r>
    </w:p>
    <w:p w:rsidRPr="00B34407" w:rsidR="00122F04" w:rsidP="00A97E57" w:rsidRDefault="00122F04" w14:paraId="4C9D93D9" w14:textId="77777777">
      <w:pPr>
        <w:widowControl/>
        <w:autoSpaceDE/>
        <w:autoSpaceDN/>
        <w:adjustRightInd/>
        <w:ind w:left="1800"/>
        <w:contextualSpacing/>
        <w:rPr>
          <w:rFonts w:eastAsia="Calibri"/>
        </w:rPr>
      </w:pPr>
    </w:p>
    <w:p w:rsidRPr="00B34407" w:rsidR="00122F04" w:rsidP="00A97E57" w:rsidRDefault="00122F04" w14:paraId="543DC0BA" w14:textId="77777777">
      <w:pPr>
        <w:widowControl/>
        <w:numPr>
          <w:ilvl w:val="0"/>
          <w:numId w:val="30"/>
        </w:numPr>
        <w:tabs>
          <w:tab w:val="num" w:pos="2160"/>
        </w:tabs>
        <w:autoSpaceDE/>
        <w:autoSpaceDN/>
        <w:adjustRightInd/>
        <w:ind w:left="1800"/>
        <w:contextualSpacing/>
        <w:rPr>
          <w:rFonts w:eastAsia="Calibri"/>
        </w:rPr>
      </w:pPr>
      <w:r w:rsidRPr="00B34407">
        <w:rPr>
          <w:rFonts w:eastAsia="Calibri"/>
        </w:rPr>
        <w:t>Purchase Fund.</w:t>
      </w:r>
    </w:p>
    <w:p w:rsidRPr="00B34407" w:rsidR="00122F04" w:rsidP="00122F04" w:rsidRDefault="00122F04" w14:paraId="601771B1" w14:textId="77777777">
      <w:pPr>
        <w:widowControl/>
        <w:autoSpaceDE/>
        <w:autoSpaceDN/>
        <w:adjustRightInd/>
        <w:rPr>
          <w:rFonts w:eastAsia="Calibri"/>
        </w:rPr>
      </w:pPr>
    </w:p>
    <w:p w:rsidRPr="00B34407" w:rsidR="00122F04" w:rsidP="00F828E4" w:rsidRDefault="00122F04" w14:paraId="7E717022" w14:textId="77777777">
      <w:pPr>
        <w:pStyle w:val="BodyTextFirstIndent"/>
        <w:rPr>
          <w:rFonts w:eastAsia="Calibri"/>
        </w:rPr>
      </w:pPr>
      <w:r w:rsidRPr="00B34407">
        <w:rPr>
          <w:rFonts w:eastAsia="Calibri"/>
        </w:rPr>
        <w:t>The Authority may from time to time establish subaccounts in each of such Accounts for the purpose of maintaining adequate records as may be necessary or desirable to comply with covenants contained in the Indenture.</w:t>
      </w:r>
    </w:p>
    <w:p w:rsidRPr="00B34407" w:rsidR="00122F04" w:rsidP="00F828E4" w:rsidRDefault="00122F04" w14:paraId="37535DEB" w14:textId="77777777">
      <w:pPr>
        <w:pStyle w:val="abodytextbold"/>
        <w:rPr>
          <w:rFonts w:eastAsia="Calibri"/>
        </w:rPr>
      </w:pPr>
      <w:r w:rsidRPr="00B34407">
        <w:rPr>
          <w:rFonts w:eastAsia="Calibri"/>
        </w:rPr>
        <w:t>Loan Account</w:t>
      </w:r>
    </w:p>
    <w:p w:rsidRPr="00B34407" w:rsidR="00122F04" w:rsidP="00F828E4" w:rsidRDefault="00122F04" w14:paraId="7A065FA0" w14:textId="145E2307">
      <w:pPr>
        <w:pStyle w:val="BodyTextFirstIndent"/>
        <w:rPr>
          <w:rFonts w:eastAsia="Calibri"/>
        </w:rPr>
      </w:pPr>
      <w:r w:rsidRPr="00B34407">
        <w:rPr>
          <w:rFonts w:eastAsia="Calibri"/>
        </w:rPr>
        <w:t xml:space="preserve">In addition to proceeds of a series of Bonds, amounts are required to be deposited in the Loan Account from the Revenue Account under certain circumstances as more fully described below under </w:t>
      </w:r>
      <w:r w:rsidR="00C34AEA">
        <w:rPr>
          <w:rFonts w:eastAsia="Calibri"/>
        </w:rPr>
        <w:t>“</w:t>
      </w:r>
      <w:r w:rsidRPr="00B34407">
        <w:rPr>
          <w:rFonts w:eastAsia="Calibri"/>
        </w:rPr>
        <w:t>Revenue Account.</w:t>
      </w:r>
      <w:r w:rsidR="00C34AEA">
        <w:rPr>
          <w:rFonts w:eastAsia="Calibri"/>
        </w:rPr>
        <w:t>”</w:t>
      </w:r>
      <w:r w:rsidRPr="00B34407">
        <w:rPr>
          <w:rFonts w:eastAsia="Calibri"/>
        </w:rPr>
        <w:t xml:space="preserve"> </w:t>
      </w:r>
      <w:r w:rsidR="00133455">
        <w:rPr>
          <w:rFonts w:eastAsia="Calibri"/>
        </w:rPr>
        <w:t xml:space="preserve"> </w:t>
      </w:r>
      <w:r w:rsidRPr="00B34407">
        <w:rPr>
          <w:rFonts w:eastAsia="Calibri"/>
        </w:rPr>
        <w:t xml:space="preserve">Amounts in the Loan Account may be expended only to finance Mortgage Certificates consisting of pools of Mortgage Loans, to pay Costs of Issuance and to make deposits in the Revenue Account representing capitalized interest as provided in a Supplemental Indenture. </w:t>
      </w:r>
      <w:r w:rsidR="00133455">
        <w:rPr>
          <w:rFonts w:eastAsia="Calibri"/>
        </w:rPr>
        <w:t xml:space="preserve"> </w:t>
      </w:r>
      <w:r w:rsidRPr="00B34407">
        <w:rPr>
          <w:rFonts w:eastAsia="Calibri"/>
        </w:rPr>
        <w:t>In addition, amounts in the Loan Account may be transferred to the Revenue Account at the direction of the Authority.</w:t>
      </w:r>
      <w:r w:rsidR="00133455">
        <w:rPr>
          <w:rFonts w:eastAsia="Calibri"/>
        </w:rPr>
        <w:t xml:space="preserve"> </w:t>
      </w:r>
      <w:r w:rsidRPr="00B34407">
        <w:rPr>
          <w:rFonts w:eastAsia="Calibri"/>
        </w:rPr>
        <w:t xml:space="preserve"> In addition, at the direction of the Authority, the Trustee may transfer amounts from the Loan Account to the Redemption Account or apply such amounts directly to the redemption or purchase of Bonds at any time that such Bonds are subject to redemption from such amounts.</w:t>
      </w:r>
    </w:p>
    <w:p w:rsidRPr="00B34407" w:rsidR="00122F04" w:rsidP="00F828E4" w:rsidRDefault="00122F04" w14:paraId="59C7A5AD" w14:textId="77777777">
      <w:pPr>
        <w:pStyle w:val="abodytextbold"/>
        <w:rPr>
          <w:rFonts w:eastAsia="Calibri"/>
        </w:rPr>
      </w:pPr>
      <w:r w:rsidRPr="00B34407">
        <w:rPr>
          <w:rFonts w:eastAsia="Calibri"/>
        </w:rPr>
        <w:t>Revenue Account</w:t>
      </w:r>
    </w:p>
    <w:p w:rsidRPr="00B34407" w:rsidR="00122F04" w:rsidP="00F828E4" w:rsidRDefault="00122F04" w14:paraId="39A8304A" w14:textId="1D7F98BA">
      <w:pPr>
        <w:pStyle w:val="BodyTextFirstIndent"/>
        <w:rPr>
          <w:rFonts w:eastAsia="Calibri"/>
        </w:rPr>
      </w:pPr>
      <w:r w:rsidRPr="00B34407">
        <w:rPr>
          <w:rFonts w:eastAsia="Calibri"/>
        </w:rPr>
        <w:t xml:space="preserve">All Revenues are to be deposited promptly with a bank or trust company, savings and loan association or national banking association selected by the Authority or the Trustee as a depositary of moneys or securities held under the provisions of the Indenture (a </w:t>
      </w:r>
      <w:r w:rsidR="00C34AEA">
        <w:rPr>
          <w:rFonts w:eastAsia="Calibri"/>
        </w:rPr>
        <w:t>“</w:t>
      </w:r>
      <w:r w:rsidRPr="00B34407">
        <w:rPr>
          <w:rFonts w:eastAsia="Calibri"/>
        </w:rPr>
        <w:t>Depository</w:t>
      </w:r>
      <w:r w:rsidR="00C34AEA">
        <w:rPr>
          <w:rFonts w:eastAsia="Calibri"/>
        </w:rPr>
        <w:t>”</w:t>
      </w:r>
      <w:r w:rsidRPr="00B34407">
        <w:rPr>
          <w:rFonts w:eastAsia="Calibri"/>
        </w:rPr>
        <w:t>), and transmitted promptly to the Trustee for deposit in the Revenue Account.</w:t>
      </w:r>
      <w:r w:rsidR="00133455">
        <w:rPr>
          <w:rFonts w:eastAsia="Calibri"/>
        </w:rPr>
        <w:t xml:space="preserve"> </w:t>
      </w:r>
      <w:r w:rsidRPr="00B34407">
        <w:rPr>
          <w:rFonts w:eastAsia="Calibri"/>
        </w:rPr>
        <w:t xml:space="preserve"> The Trustee is required to make the following payments out of the Revenue Account to the Paying Agent: (i) on or before each interest payment date, the amounts required for the payment of Principal Installments, if any, and interest due on the outstanding Bonds on such date and (ii) on or before the redemption date or date of </w:t>
      </w:r>
      <w:bookmarkStart w:name="ElPgBr75" w:id="933"/>
      <w:bookmarkEnd w:id="933"/>
      <w:r w:rsidRPr="00B34407">
        <w:rPr>
          <w:rFonts w:eastAsia="Calibri"/>
        </w:rPr>
        <w:lastRenderedPageBreak/>
        <w:t xml:space="preserve">purchase, the amounts required for the payment of accrued interest on the outstanding Bonds to be redeemed or purchased for retirement, unless such interest is otherwise provided for. </w:t>
      </w:r>
      <w:r w:rsidR="00133455">
        <w:rPr>
          <w:rFonts w:eastAsia="Calibri"/>
        </w:rPr>
        <w:t xml:space="preserve"> </w:t>
      </w:r>
      <w:r w:rsidRPr="00B34407">
        <w:rPr>
          <w:rFonts w:eastAsia="Calibri"/>
        </w:rPr>
        <w:t>The Trustee shall also pay out of the Revenue Account any Swap Payments that are on parity with the payment of Debt Service due on the Bonds.</w:t>
      </w:r>
    </w:p>
    <w:p w:rsidRPr="00B34407" w:rsidR="00122F04" w:rsidP="00F828E4" w:rsidRDefault="00122F04" w14:paraId="3DE1EE72" w14:textId="57BCC536">
      <w:pPr>
        <w:pStyle w:val="BodyTextFirstIndent"/>
        <w:rPr>
          <w:rFonts w:eastAsia="Calibri"/>
        </w:rPr>
      </w:pPr>
      <w:r w:rsidRPr="00B34407">
        <w:rPr>
          <w:rFonts w:eastAsia="Calibri"/>
        </w:rPr>
        <w:t>Prior to the 45</w:t>
      </w:r>
      <w:r w:rsidRPr="00133455">
        <w:rPr>
          <w:rFonts w:eastAsia="Calibri"/>
          <w:vertAlign w:val="superscript"/>
        </w:rPr>
        <w:t>th</w:t>
      </w:r>
      <w:r w:rsidR="00133455">
        <w:rPr>
          <w:rFonts w:eastAsia="Calibri"/>
        </w:rPr>
        <w:t xml:space="preserve"> </w:t>
      </w:r>
      <w:r w:rsidRPr="00B34407">
        <w:rPr>
          <w:rFonts w:eastAsia="Calibri"/>
        </w:rPr>
        <w:t xml:space="preserve">day preceding the due date of any sinking fund payment, the Trustee may, and if so directed by the Authority must, apply any amount accumulated in the Revenue Account up to the unsatisfied balance of such sinking fund payment (together with amounts accumulated in the Revenue Account with respect to interest on the Bonds for which such sinking fund payment was established) as follows: (i) to the purchase of the Bonds for which such sinking fund payment was established, at prices not exceeding the redemption price for such Bonds if they are redeemable by application of the sinking fund payment plus unpaid interest accrued to the date of purchase; or (ii) to the redemption of such Bonds if then redeemable by their terms at the redemption price referred to in clause (i) above. </w:t>
      </w:r>
      <w:r w:rsidR="00133455">
        <w:rPr>
          <w:rFonts w:eastAsia="Calibri"/>
        </w:rPr>
        <w:t xml:space="preserve"> </w:t>
      </w:r>
      <w:r w:rsidRPr="00B34407">
        <w:rPr>
          <w:rFonts w:eastAsia="Calibri"/>
        </w:rPr>
        <w:t xml:space="preserve">Upon such purchase or redemption of any Bond, an amount equal to the principal amount of the Bond so purchased or redeemed will be credited toward the next sinking fund payment thereafter to become due with respect to Bonds of such series and maturity. </w:t>
      </w:r>
      <w:r w:rsidR="00133455">
        <w:rPr>
          <w:rFonts w:eastAsia="Calibri"/>
        </w:rPr>
        <w:t xml:space="preserve"> </w:t>
      </w:r>
      <w:r w:rsidRPr="00B34407">
        <w:rPr>
          <w:rFonts w:eastAsia="Calibri"/>
        </w:rPr>
        <w:t>The excess of the amounts so credited will be credited by the Trustee against future sinking fund payments, unless otherwise directed by an Authorized Officer.</w:t>
      </w:r>
    </w:p>
    <w:p w:rsidRPr="00B34407" w:rsidR="00122F04" w:rsidP="00F828E4" w:rsidRDefault="00122F04" w14:paraId="58D57F74" w14:textId="15055AB6">
      <w:pPr>
        <w:pStyle w:val="BodyTextFirstIndent"/>
        <w:rPr>
          <w:rFonts w:eastAsia="Calibri"/>
        </w:rPr>
      </w:pPr>
      <w:r w:rsidRPr="00B34407">
        <w:rPr>
          <w:rFonts w:eastAsia="Calibri"/>
        </w:rPr>
        <w:t>As soon as practicable after the 45</w:t>
      </w:r>
      <w:r w:rsidRPr="00133455">
        <w:rPr>
          <w:rFonts w:eastAsia="Calibri"/>
          <w:vertAlign w:val="superscript"/>
        </w:rPr>
        <w:t>th</w:t>
      </w:r>
      <w:r w:rsidR="00133455">
        <w:rPr>
          <w:rFonts w:eastAsia="Calibri"/>
        </w:rPr>
        <w:t xml:space="preserve"> </w:t>
      </w:r>
      <w:r w:rsidRPr="00B34407">
        <w:rPr>
          <w:rFonts w:eastAsia="Calibri"/>
        </w:rPr>
        <w:t xml:space="preserve">day preceding the due date of any sinking fund payment, the Trustee will proceed to call for redemption on such due date Bonds of the series and maturity for which such sinking fund payment was established in a principal amount equal to the amount of such sinking fund payment reduced by crediting thereto the principal amount of the Bonds purchased or redeemed as described above. </w:t>
      </w:r>
      <w:r w:rsidR="00133455">
        <w:rPr>
          <w:rFonts w:eastAsia="Calibri"/>
        </w:rPr>
        <w:t xml:space="preserve"> </w:t>
      </w:r>
      <w:r w:rsidRPr="00B34407">
        <w:rPr>
          <w:rFonts w:eastAsia="Calibri"/>
        </w:rPr>
        <w:t>The Trustee is required to call such Bonds for redemption whether or not it then has moneys in the Revenue Account sufficient to pay the applicable redemption price on the redemption date.</w:t>
      </w:r>
    </w:p>
    <w:p w:rsidRPr="00B34407" w:rsidR="00122F04" w:rsidP="00F828E4" w:rsidRDefault="00122F04" w14:paraId="109E7D02" w14:textId="42F4045F">
      <w:pPr>
        <w:pStyle w:val="BodyTextFirstIndent"/>
        <w:rPr>
          <w:rFonts w:eastAsia="Calibri"/>
        </w:rPr>
      </w:pPr>
      <w:r w:rsidRPr="00B34407">
        <w:rPr>
          <w:rFonts w:eastAsia="Calibri"/>
        </w:rPr>
        <w:t>Within 180 days after the close of each Fiscal Year, the Authority will deliver to the Trustee a Statement of Projected Cash Flow and a certificate of an Authorized Officer expressing a direction for the retention or use of any funds in the Revenue Account.</w:t>
      </w:r>
      <w:r w:rsidR="00133455">
        <w:rPr>
          <w:rFonts w:eastAsia="Calibri"/>
        </w:rPr>
        <w:t xml:space="preserve"> </w:t>
      </w:r>
      <w:r w:rsidRPr="00B34407">
        <w:rPr>
          <w:rFonts w:eastAsia="Calibri"/>
        </w:rPr>
        <w:t xml:space="preserve"> Such certificate may direct the Trustee to transfer from the Revenue Account, funds for the following purpose: (i) to the Loan Account, an amount sufficient to cause the outstanding principal amount of Mortgage Loans, together with Investment Securities and cash credited to the Loan Account, to be at least equal to 103% of the principal amount of Outstanding Principal Asset Bonds or such other amount the Authorized Officer shall direct; (ii) for payment of any unpaid Swap Payment or termination fees on Derivative Agreements other than those payable on parity with payment of Debt Service on Bonds; (iii) for payment of Program Expenses or (iv) upon satisfaction of the 103% test set forth in (i) above, to the Authority free and clear of the lien of the pledge of this Indenture.</w:t>
      </w:r>
    </w:p>
    <w:p w:rsidRPr="00B34407" w:rsidR="00122F04" w:rsidP="00F828E4" w:rsidRDefault="00122F04" w14:paraId="2A5AD65F" w14:textId="4AD7A8CA">
      <w:pPr>
        <w:pStyle w:val="BodyTextFirstIndent"/>
        <w:rPr>
          <w:rFonts w:eastAsia="Calibri"/>
        </w:rPr>
      </w:pPr>
      <w:r w:rsidRPr="00B34407">
        <w:rPr>
          <w:rFonts w:eastAsia="Calibri"/>
        </w:rPr>
        <w:t>The Trustee may at any time make transfers from the Revenue Account, upon the written direction of an Authorized Officer, to the Loan Account or the Redemption Account for the purposes of such Accounts or to the general operating funds of the Authority for the purpose of paying reasonable and necessary Program Expenses for the then current Fiscal Year.</w:t>
      </w:r>
      <w:r w:rsidR="00133455">
        <w:rPr>
          <w:rFonts w:eastAsia="Calibri"/>
        </w:rPr>
        <w:t xml:space="preserve"> </w:t>
      </w:r>
      <w:r w:rsidRPr="00B34407">
        <w:rPr>
          <w:rFonts w:eastAsia="Calibri"/>
        </w:rPr>
        <w:t xml:space="preserve"> In addition to transfers for authorized purposes, the Trustee may at any time make transfers from the Revenue Account, upon the written direction of an Authorized Officer, for the purpose of</w:t>
      </w:r>
      <w:r w:rsidR="006D51D1">
        <w:rPr>
          <w:rFonts w:eastAsia="Calibri"/>
        </w:rPr>
        <w:t xml:space="preserve"> </w:t>
      </w:r>
      <w:r w:rsidRPr="00B34407">
        <w:rPr>
          <w:rFonts w:eastAsia="Calibri"/>
        </w:rPr>
        <w:t xml:space="preserve">paying the Administrative Fee and reasonable and necessary Program Expenses for the then current Fiscal Year. </w:t>
      </w:r>
      <w:r w:rsidR="00133455">
        <w:rPr>
          <w:rFonts w:eastAsia="Calibri"/>
        </w:rPr>
        <w:t xml:space="preserve"> </w:t>
      </w:r>
      <w:r w:rsidRPr="00B34407">
        <w:rPr>
          <w:rFonts w:eastAsia="Calibri"/>
        </w:rPr>
        <w:t>Except for transfers to pay such Program Expenses and Administrative Fee, however, no such transfer will be made unless there is on deposit in the Revenue Account after such transfer an amount equal to the Aggregate Debt Service accrued on all outstanding Bonds as of the date of such transfer.</w:t>
      </w:r>
    </w:p>
    <w:p w:rsidRPr="00B34407" w:rsidR="00122F04" w:rsidP="00F828E4" w:rsidRDefault="00122F04" w14:paraId="7182F506" w14:textId="77777777">
      <w:pPr>
        <w:pStyle w:val="BodyTextFirstIndent"/>
        <w:rPr>
          <w:rFonts w:eastAsia="Calibri"/>
        </w:rPr>
      </w:pPr>
      <w:r w:rsidRPr="00B34407">
        <w:rPr>
          <w:rFonts w:eastAsia="Calibri"/>
        </w:rPr>
        <w:t>The Authority shall promptly deposit into the Revenue Account all Swap Payments and termination fees received by the Authority with respect to any Derivative Agreement.</w:t>
      </w:r>
    </w:p>
    <w:p w:rsidRPr="00B34407" w:rsidR="00122F04" w:rsidP="00F828E4" w:rsidRDefault="00122F04" w14:paraId="17BD7AD6" w14:textId="77777777">
      <w:pPr>
        <w:pStyle w:val="abodytextbold"/>
        <w:rPr>
          <w:rFonts w:eastAsia="Calibri"/>
        </w:rPr>
      </w:pPr>
      <w:r w:rsidRPr="00B34407">
        <w:rPr>
          <w:rFonts w:eastAsia="Calibri"/>
        </w:rPr>
        <w:t>Redemption Account</w:t>
      </w:r>
    </w:p>
    <w:p w:rsidRPr="00B34407" w:rsidR="00122F04" w:rsidP="00F828E4" w:rsidRDefault="00122F04" w14:paraId="60B5BA94" w14:textId="38EF8D00">
      <w:pPr>
        <w:pStyle w:val="BodyTextFirstIndent"/>
        <w:rPr>
          <w:rFonts w:eastAsia="Calibri"/>
        </w:rPr>
      </w:pPr>
      <w:r w:rsidRPr="00B34407">
        <w:rPr>
          <w:rFonts w:eastAsia="Calibri"/>
        </w:rPr>
        <w:t>There are to be deposited in the Redemption Account any amounts required by the Indenture to be so deposited and any other amounts available therefor and determined by the Authority to be deposited therein. Subject to the provisions of the respective series of Bonds and of the resolution authorizing the issuance thereof and authorizing the issuance of Refunding Bonds, all amounts deposited in the Redemption Account will be applied to (i) the purchase or redemption of Bonds at the earliest practicable redemption date or (ii) to the payment of the Principal Installments of or interest on the Bonds to the extent such amounts have not been made</w:t>
      </w:r>
      <w:r w:rsidR="00F828E4">
        <w:rPr>
          <w:rFonts w:eastAsia="Calibri"/>
        </w:rPr>
        <w:t xml:space="preserve"> </w:t>
      </w:r>
      <w:r w:rsidRPr="00B34407">
        <w:rPr>
          <w:rFonts w:eastAsia="Calibri"/>
        </w:rPr>
        <w:t xml:space="preserve">the subject of a notice of redemption. </w:t>
      </w:r>
      <w:r w:rsidR="007655B5">
        <w:rPr>
          <w:rFonts w:eastAsia="Calibri"/>
        </w:rPr>
        <w:t xml:space="preserve"> </w:t>
      </w:r>
      <w:r w:rsidRPr="00B34407">
        <w:rPr>
          <w:rFonts w:eastAsia="Calibri"/>
        </w:rPr>
        <w:t xml:space="preserve">Except as otherwise may be required in connection with the issuance of Refunding Bonds, at any time </w:t>
      </w:r>
      <w:bookmarkStart w:name="ElPgBr76" w:id="934"/>
      <w:bookmarkEnd w:id="934"/>
      <w:r w:rsidRPr="00B34407">
        <w:rPr>
          <w:rFonts w:eastAsia="Calibri"/>
        </w:rPr>
        <w:lastRenderedPageBreak/>
        <w:t>before the 45</w:t>
      </w:r>
      <w:r w:rsidRPr="008B7806">
        <w:rPr>
          <w:rFonts w:eastAsia="Calibri"/>
          <w:vertAlign w:val="superscript"/>
        </w:rPr>
        <w:t>th</w:t>
      </w:r>
      <w:r w:rsidR="008B7806">
        <w:rPr>
          <w:rFonts w:eastAsia="Calibri"/>
        </w:rPr>
        <w:t xml:space="preserve"> </w:t>
      </w:r>
      <w:r w:rsidRPr="00B34407">
        <w:rPr>
          <w:rFonts w:eastAsia="Calibri"/>
        </w:rPr>
        <w:t xml:space="preserve">day prior to the day upon which Bonds are to be paid or redeemed from such amounts, the Trustee may apply amounts in the Redemption Account to the purchase of any such Bonds, except that the Authority may require or prohibit such purchases in the discretion of the Authority. </w:t>
      </w:r>
      <w:r w:rsidR="008B7806">
        <w:rPr>
          <w:rFonts w:eastAsia="Calibri"/>
        </w:rPr>
        <w:t xml:space="preserve"> </w:t>
      </w:r>
      <w:r w:rsidRPr="00B34407">
        <w:rPr>
          <w:rFonts w:eastAsia="Calibri"/>
        </w:rPr>
        <w:t xml:space="preserve">The purchase price paid may not exceed the principal amount of such Bonds unless such Bonds may be redeemed within 13 months after such purchase, in which event such price may not exceed the highest redemption price payable on any such date upon the redemption of such Bonds. </w:t>
      </w:r>
      <w:r w:rsidR="008B7806">
        <w:rPr>
          <w:rFonts w:eastAsia="Calibri"/>
        </w:rPr>
        <w:t xml:space="preserve"> </w:t>
      </w:r>
      <w:r w:rsidRPr="00B34407">
        <w:rPr>
          <w:rFonts w:eastAsia="Calibri"/>
        </w:rPr>
        <w:t>If the Trustee is able to purchase Bonds at a price less than the redemption price at which such Bonds were to be redeemed, the Trustee is required to deposit in the Revenue Account the difference between such purchase price and such redemption price</w:t>
      </w:r>
      <w:r w:rsidRPr="00B34407">
        <w:rPr>
          <w:rFonts w:eastAsia="Calibri"/>
          <w:b/>
          <w:bCs/>
        </w:rPr>
        <w:t>.</w:t>
      </w:r>
    </w:p>
    <w:p w:rsidRPr="00B34407" w:rsidR="00122F04" w:rsidP="00F828E4" w:rsidRDefault="00122F04" w14:paraId="0CF3726D" w14:textId="77777777">
      <w:pPr>
        <w:pStyle w:val="abodytextbold"/>
        <w:rPr>
          <w:rFonts w:eastAsia="Calibri"/>
        </w:rPr>
      </w:pPr>
      <w:r w:rsidRPr="00B34407">
        <w:rPr>
          <w:rFonts w:eastAsia="Calibri"/>
        </w:rPr>
        <w:t>Purchase Fund</w:t>
      </w:r>
    </w:p>
    <w:p w:rsidRPr="00B34407" w:rsidR="00122F04" w:rsidP="00F828E4" w:rsidRDefault="00122F04" w14:paraId="3A121CA0" w14:textId="77777777">
      <w:pPr>
        <w:pStyle w:val="BodyTextFirstIndent"/>
        <w:rPr>
          <w:rFonts w:eastAsia="Calibri"/>
        </w:rPr>
      </w:pPr>
      <w:r w:rsidRPr="00B34407">
        <w:rPr>
          <w:rFonts w:eastAsia="Calibri"/>
        </w:rPr>
        <w:t>The Authority may provide for the deposit of moneys to and use of the moneys in the Purchase Fund or any account thereof, in connection with the issuance of any variable rate Bonds to the extent required by the provisions of any Supplemental Indenture authorizing the issuance of such Bonds.</w:t>
      </w:r>
    </w:p>
    <w:p w:rsidRPr="00B34407" w:rsidR="00122F04" w:rsidP="00F828E4" w:rsidRDefault="00122F04" w14:paraId="476713D2" w14:textId="77777777">
      <w:pPr>
        <w:pStyle w:val="abodytextbold"/>
        <w:rPr>
          <w:rFonts w:eastAsia="Calibri"/>
        </w:rPr>
      </w:pPr>
      <w:r w:rsidRPr="00B34407">
        <w:rPr>
          <w:rFonts w:eastAsia="Calibri"/>
        </w:rPr>
        <w:t>Investment Securities</w:t>
      </w:r>
    </w:p>
    <w:p w:rsidRPr="00B34407" w:rsidR="00122F04" w:rsidP="00F828E4" w:rsidRDefault="00122F04" w14:paraId="62EDC870" w14:textId="762B3D0B">
      <w:pPr>
        <w:pStyle w:val="BodyTextFirstIndent"/>
        <w:rPr>
          <w:rFonts w:eastAsia="Calibri"/>
        </w:rPr>
      </w:pPr>
      <w:r w:rsidRPr="00B34407">
        <w:rPr>
          <w:rFonts w:eastAsia="Calibri"/>
        </w:rPr>
        <w:t xml:space="preserve">Moneys in any account will be continuously invested and reinvested or deposited and redeposited in Investment Securities, with a view toward maximizing yield (with proper preservation of principal) and minimizing the instances of uninvested funds. </w:t>
      </w:r>
      <w:r w:rsidR="008B7806">
        <w:rPr>
          <w:rFonts w:eastAsia="Calibri"/>
        </w:rPr>
        <w:t xml:space="preserve"> </w:t>
      </w:r>
      <w:r w:rsidRPr="00B34407">
        <w:rPr>
          <w:rFonts w:eastAsia="Calibri"/>
        </w:rPr>
        <w:t xml:space="preserve">See </w:t>
      </w:r>
      <w:r w:rsidR="00C34AEA">
        <w:rPr>
          <w:rFonts w:eastAsia="Calibri"/>
        </w:rPr>
        <w:t>“</w:t>
      </w:r>
      <w:r w:rsidRPr="00B34407">
        <w:rPr>
          <w:rFonts w:eastAsia="Calibri"/>
        </w:rPr>
        <w:t>APPENDIX F: CERTAIN DEFINITIONS</w:t>
      </w:r>
      <w:r w:rsidR="00C34AEA">
        <w:rPr>
          <w:rFonts w:eastAsia="Calibri"/>
        </w:rPr>
        <w:t>”</w:t>
      </w:r>
      <w:r w:rsidR="00515E19">
        <w:rPr>
          <w:rFonts w:eastAsia="Calibri"/>
        </w:rPr>
        <w:t xml:space="preserve"> attached hereto</w:t>
      </w:r>
      <w:r w:rsidRPr="00B34407">
        <w:rPr>
          <w:rFonts w:eastAsia="Calibri"/>
        </w:rPr>
        <w:t>.</w:t>
      </w:r>
    </w:p>
    <w:p w:rsidRPr="00B34407" w:rsidR="00122F04" w:rsidP="00F828E4" w:rsidRDefault="00F828E4" w14:paraId="4CD4E882" w14:textId="467772FB">
      <w:pPr>
        <w:pStyle w:val="BodyTextFirstIndent"/>
        <w:rPr>
          <w:rFonts w:eastAsia="Calibri"/>
        </w:rPr>
      </w:pPr>
      <w:r>
        <w:rPr>
          <w:rFonts w:eastAsia="Calibri"/>
        </w:rPr>
        <w:t>E</w:t>
      </w:r>
      <w:r w:rsidRPr="00B34407" w:rsidR="00122F04">
        <w:rPr>
          <w:rFonts w:eastAsia="Calibri"/>
        </w:rPr>
        <w:t xml:space="preserve">xcept as provided in the Indenture, in computing the amount in any Account, obligations purchased as an investment of moneys therein will be valued at par if purchased at par value or at amortized value if purchased at other than par value. </w:t>
      </w:r>
      <w:r w:rsidR="00515E19">
        <w:rPr>
          <w:rFonts w:eastAsia="Calibri"/>
        </w:rPr>
        <w:t xml:space="preserve"> </w:t>
      </w:r>
      <w:r w:rsidRPr="00B34407" w:rsidR="00122F04">
        <w:rPr>
          <w:rFonts w:eastAsia="Calibri"/>
        </w:rPr>
        <w:t>Valuation will be made on January 1 and July 1 of each year and otherwise as required under the Indenture, and on any particular date will not include the amount of interest then earned or accrued to such date on any deposit or investment.</w:t>
      </w:r>
    </w:p>
    <w:p w:rsidRPr="00B34407" w:rsidR="00122F04" w:rsidP="00F828E4" w:rsidRDefault="00122F04" w14:paraId="5BE731F8" w14:textId="77777777">
      <w:pPr>
        <w:pStyle w:val="abodytextbold"/>
        <w:rPr>
          <w:rFonts w:eastAsia="Calibri"/>
        </w:rPr>
      </w:pPr>
      <w:r w:rsidRPr="00B34407">
        <w:rPr>
          <w:rFonts w:eastAsia="Calibri"/>
        </w:rPr>
        <w:t>Statements of Projected Cash Flow</w:t>
      </w:r>
    </w:p>
    <w:p w:rsidRPr="00B34407" w:rsidR="00122F04" w:rsidP="00F828E4" w:rsidRDefault="00122F04" w14:paraId="50CDA37E" w14:textId="0B829E44">
      <w:pPr>
        <w:pStyle w:val="BodyTextFirstIndent"/>
        <w:rPr>
          <w:rFonts w:eastAsia="Calibri"/>
        </w:rPr>
      </w:pPr>
      <w:r w:rsidRPr="00B34407">
        <w:rPr>
          <w:rFonts w:eastAsia="Calibri"/>
          <w:b/>
          <w:bCs/>
          <w:i/>
          <w:iCs/>
        </w:rPr>
        <w:t>Requirements as to Preparation and Filing.</w:t>
      </w:r>
      <w:r w:rsidRPr="00515E19">
        <w:rPr>
          <w:rFonts w:eastAsia="Calibri"/>
          <w:bCs/>
          <w:iCs/>
        </w:rPr>
        <w:t xml:space="preserve"> </w:t>
      </w:r>
      <w:r w:rsidRPr="00515E19" w:rsidR="00515E19">
        <w:rPr>
          <w:rFonts w:eastAsia="Calibri"/>
          <w:bCs/>
          <w:iCs/>
        </w:rPr>
        <w:t xml:space="preserve"> </w:t>
      </w:r>
      <w:r w:rsidRPr="00B34407">
        <w:rPr>
          <w:rFonts w:eastAsia="Calibri"/>
        </w:rPr>
        <w:t>The Authority is required to prepare and file with the Trustee annually and with the Rating Agency then rating the Bonds a Statement of Projected Cash Flow in connection with the issuance of Additional Bonds.</w:t>
      </w:r>
    </w:p>
    <w:p w:rsidRPr="00B34407" w:rsidR="00122F04" w:rsidP="00F828E4" w:rsidRDefault="00122F04" w14:paraId="0E415FCB" w14:textId="3DEA24D0">
      <w:pPr>
        <w:pStyle w:val="BodyTextFirstIndent"/>
        <w:rPr>
          <w:rFonts w:eastAsia="Calibri"/>
        </w:rPr>
      </w:pPr>
      <w:r w:rsidRPr="00B34407">
        <w:rPr>
          <w:rFonts w:eastAsia="Calibri"/>
          <w:b/>
          <w:bCs/>
          <w:i/>
          <w:iCs/>
        </w:rPr>
        <w:t>Form of Statement.</w:t>
      </w:r>
      <w:r w:rsidRPr="0058656E">
        <w:rPr>
          <w:rFonts w:eastAsia="Calibri"/>
          <w:bCs/>
          <w:iCs/>
        </w:rPr>
        <w:t xml:space="preserve"> </w:t>
      </w:r>
      <w:r w:rsidRPr="0058656E" w:rsidR="0058656E">
        <w:rPr>
          <w:rFonts w:eastAsia="Calibri"/>
          <w:bCs/>
          <w:iCs/>
        </w:rPr>
        <w:t xml:space="preserve"> </w:t>
      </w:r>
      <w:r w:rsidRPr="00B34407">
        <w:rPr>
          <w:rFonts w:eastAsia="Calibri"/>
        </w:rPr>
        <w:t>A Statement of Projected Cash Flow will consist of a written statement prepared or verified by a firm having experience in preparation of mortgage revenue bond cash flows that is acceptable to the Rating Agency then rating the Bonds, setting forth for the then-current and each succeeding Fiscal Year in which Bonds are scheduled to be Outstanding a projection of:</w:t>
      </w:r>
    </w:p>
    <w:p w:rsidRPr="00B34407" w:rsidR="00122F04" w:rsidP="00F828E4" w:rsidRDefault="00122F04" w14:paraId="35B9376A" w14:textId="77777777">
      <w:pPr>
        <w:widowControl/>
        <w:autoSpaceDE/>
        <w:autoSpaceDN/>
        <w:adjustRightInd/>
        <w:ind w:left="1440" w:hanging="720"/>
        <w:rPr>
          <w:rFonts w:eastAsia="Calibri"/>
        </w:rPr>
      </w:pPr>
      <w:r w:rsidRPr="00B34407">
        <w:rPr>
          <w:rFonts w:eastAsia="Calibri"/>
        </w:rPr>
        <w:t xml:space="preserve">(1) </w:t>
      </w:r>
      <w:r w:rsidRPr="00B34407">
        <w:rPr>
          <w:rFonts w:eastAsia="Calibri"/>
        </w:rPr>
        <w:tab/>
        <w:t>The Revenues projected to be received with respect to the Bonds;</w:t>
      </w:r>
    </w:p>
    <w:p w:rsidRPr="00B34407" w:rsidR="00122F04" w:rsidP="00F828E4" w:rsidRDefault="00122F04" w14:paraId="1D8FB1A8" w14:textId="77777777">
      <w:pPr>
        <w:widowControl/>
        <w:autoSpaceDE/>
        <w:autoSpaceDN/>
        <w:adjustRightInd/>
        <w:ind w:left="1440" w:hanging="720"/>
        <w:rPr>
          <w:rFonts w:eastAsia="Calibri"/>
        </w:rPr>
      </w:pPr>
    </w:p>
    <w:p w:rsidRPr="00B34407" w:rsidR="00122F04" w:rsidP="00F828E4" w:rsidRDefault="00122F04" w14:paraId="7187C70F" w14:textId="0A5D6474">
      <w:pPr>
        <w:widowControl/>
        <w:autoSpaceDE/>
        <w:autoSpaceDN/>
        <w:adjustRightInd/>
        <w:ind w:left="1440" w:hanging="720"/>
        <w:rPr>
          <w:rFonts w:eastAsia="Calibri"/>
        </w:rPr>
      </w:pPr>
      <w:r w:rsidRPr="00B34407">
        <w:rPr>
          <w:rFonts w:eastAsia="Calibri"/>
        </w:rPr>
        <w:t xml:space="preserve">(2) </w:t>
      </w:r>
      <w:r w:rsidRPr="00B34407">
        <w:rPr>
          <w:rFonts w:eastAsia="Calibri"/>
        </w:rPr>
        <w:tab/>
        <w:t>The interest to be earned and other income which the Authority projects to be derived from the investment of the Accounts and the rates or yields used in projecting such amounts with respect to the Bonds;</w:t>
      </w:r>
    </w:p>
    <w:p w:rsidRPr="00B34407" w:rsidR="00122F04" w:rsidP="00F828E4" w:rsidRDefault="00122F04" w14:paraId="00EC88EF" w14:textId="77777777">
      <w:pPr>
        <w:widowControl/>
        <w:autoSpaceDE/>
        <w:autoSpaceDN/>
        <w:adjustRightInd/>
        <w:ind w:left="1440" w:hanging="720"/>
        <w:rPr>
          <w:rFonts w:eastAsia="Calibri"/>
        </w:rPr>
      </w:pPr>
    </w:p>
    <w:p w:rsidRPr="00B34407" w:rsidR="00122F04" w:rsidP="00F828E4" w:rsidRDefault="00122F04" w14:paraId="7F303182" w14:textId="2E885B35">
      <w:pPr>
        <w:widowControl/>
        <w:autoSpaceDE/>
        <w:autoSpaceDN/>
        <w:adjustRightInd/>
        <w:ind w:left="1440" w:hanging="720"/>
        <w:rPr>
          <w:rFonts w:eastAsia="Calibri"/>
        </w:rPr>
      </w:pPr>
      <w:r w:rsidRPr="00B34407">
        <w:rPr>
          <w:rFonts w:eastAsia="Calibri"/>
        </w:rPr>
        <w:t xml:space="preserve">(3) </w:t>
      </w:r>
      <w:r w:rsidRPr="00B34407">
        <w:rPr>
          <w:rFonts w:eastAsia="Calibri"/>
        </w:rPr>
        <w:tab/>
        <w:t>Money held or projected to be held in any other Account available for payment of Debt Service on the Bonds or Program Expenses;</w:t>
      </w:r>
    </w:p>
    <w:p w:rsidRPr="00B34407" w:rsidR="00122F04" w:rsidP="00F828E4" w:rsidRDefault="00122F04" w14:paraId="76E83FB2" w14:textId="77777777">
      <w:pPr>
        <w:widowControl/>
        <w:autoSpaceDE/>
        <w:autoSpaceDN/>
        <w:adjustRightInd/>
        <w:ind w:left="1440" w:hanging="720"/>
        <w:rPr>
          <w:rFonts w:eastAsia="Calibri"/>
        </w:rPr>
      </w:pPr>
    </w:p>
    <w:p w:rsidRPr="00B34407" w:rsidR="00122F04" w:rsidP="00F828E4" w:rsidRDefault="00122F04" w14:paraId="30B9C0DC" w14:textId="301834FD">
      <w:pPr>
        <w:widowControl/>
        <w:autoSpaceDE/>
        <w:autoSpaceDN/>
        <w:adjustRightInd/>
        <w:ind w:left="1440" w:hanging="720"/>
        <w:rPr>
          <w:rFonts w:eastAsia="Calibri"/>
        </w:rPr>
      </w:pPr>
      <w:r w:rsidRPr="00B34407">
        <w:rPr>
          <w:rFonts w:eastAsia="Calibri"/>
        </w:rPr>
        <w:t xml:space="preserve">(4) </w:t>
      </w:r>
      <w:r w:rsidRPr="00B34407">
        <w:rPr>
          <w:rFonts w:eastAsia="Calibri"/>
        </w:rPr>
        <w:tab/>
        <w:t>The Debt Service on the Bonds and parity Swap Payments projected to be due during such fiscal year; and</w:t>
      </w:r>
    </w:p>
    <w:p w:rsidRPr="00B34407" w:rsidR="00122F04" w:rsidP="00F828E4" w:rsidRDefault="00122F04" w14:paraId="612894D5" w14:textId="77777777">
      <w:pPr>
        <w:widowControl/>
        <w:autoSpaceDE/>
        <w:autoSpaceDN/>
        <w:adjustRightInd/>
        <w:ind w:left="1440" w:hanging="720"/>
        <w:rPr>
          <w:rFonts w:eastAsia="Calibri"/>
        </w:rPr>
      </w:pPr>
    </w:p>
    <w:p w:rsidRPr="00B34407" w:rsidR="00122F04" w:rsidP="00F828E4" w:rsidRDefault="00122F04" w14:paraId="4B0FEB7F" w14:textId="2FD4C1BB">
      <w:pPr>
        <w:widowControl/>
        <w:autoSpaceDE/>
        <w:autoSpaceDN/>
        <w:adjustRightInd/>
        <w:ind w:left="1440" w:hanging="720"/>
        <w:rPr>
          <w:rFonts w:eastAsia="Calibri"/>
        </w:rPr>
      </w:pPr>
      <w:r w:rsidRPr="00B34407">
        <w:rPr>
          <w:rFonts w:eastAsia="Calibri"/>
        </w:rPr>
        <w:t xml:space="preserve">(5) </w:t>
      </w:r>
      <w:r w:rsidRPr="00B34407">
        <w:rPr>
          <w:rFonts w:eastAsia="Calibri"/>
        </w:rPr>
        <w:tab/>
        <w:t>The Authority</w:t>
      </w:r>
      <w:r w:rsidR="00C34AEA">
        <w:rPr>
          <w:rFonts w:eastAsia="Calibri"/>
        </w:rPr>
        <w:t>’</w:t>
      </w:r>
      <w:r w:rsidRPr="00B34407">
        <w:rPr>
          <w:rFonts w:eastAsia="Calibri"/>
        </w:rPr>
        <w:t>s Program Expenses and the Administrative Fee permitted by each Supplemental Indenture with respect to the Bonds.</w:t>
      </w:r>
    </w:p>
    <w:p w:rsidRPr="00B34407" w:rsidR="00122F04" w:rsidP="00F828E4" w:rsidRDefault="00122F04" w14:paraId="3CCA44DF" w14:textId="77777777">
      <w:pPr>
        <w:widowControl/>
        <w:autoSpaceDE/>
        <w:autoSpaceDN/>
        <w:adjustRightInd/>
        <w:ind w:left="1440" w:hanging="720"/>
        <w:rPr>
          <w:rFonts w:eastAsia="Calibri"/>
        </w:rPr>
      </w:pPr>
    </w:p>
    <w:p w:rsidRPr="00B34407" w:rsidR="00122F04" w:rsidP="00F828E4" w:rsidRDefault="00122F04" w14:paraId="36C101C5" w14:textId="77777777">
      <w:pPr>
        <w:pStyle w:val="BodyTextFirstIndent"/>
        <w:rPr>
          <w:rFonts w:eastAsia="Calibri"/>
        </w:rPr>
      </w:pPr>
      <w:r w:rsidRPr="00B34407">
        <w:rPr>
          <w:rFonts w:eastAsia="Calibri"/>
        </w:rPr>
        <w:t>A Statement of Projected Cash Flow will set forth the projections under the following circumstances:</w:t>
      </w:r>
    </w:p>
    <w:p w:rsidRPr="00F828E4" w:rsidR="00122F04" w:rsidP="00623633" w:rsidRDefault="00122F04" w14:paraId="0683AFFE" w14:textId="0302024C">
      <w:pPr>
        <w:widowControl/>
        <w:numPr>
          <w:ilvl w:val="0"/>
          <w:numId w:val="31"/>
        </w:numPr>
        <w:autoSpaceDE/>
        <w:autoSpaceDN/>
        <w:adjustRightInd/>
        <w:contextualSpacing/>
        <w:rPr>
          <w:rFonts w:eastAsia="Calibri"/>
        </w:rPr>
      </w:pPr>
      <w:bookmarkStart w:name="ElPgBr77" w:id="935"/>
      <w:bookmarkEnd w:id="935"/>
      <w:r w:rsidRPr="00F828E4">
        <w:rPr>
          <w:rFonts w:eastAsia="Calibri"/>
        </w:rPr>
        <w:lastRenderedPageBreak/>
        <w:t>In projecting Prepayments of Mortgage Loans for the purposes of (1) above, the Authority will make such assumptions as are required by the Rating Agency then rating the Bonds;</w:t>
      </w:r>
    </w:p>
    <w:p w:rsidRPr="00B34407" w:rsidR="00122F04" w:rsidP="00F828E4" w:rsidRDefault="00122F04" w14:paraId="05034BAA" w14:textId="77777777">
      <w:pPr>
        <w:widowControl/>
        <w:autoSpaceDE/>
        <w:autoSpaceDN/>
        <w:adjustRightInd/>
        <w:ind w:left="1440"/>
        <w:rPr>
          <w:rFonts w:eastAsia="Calibri"/>
        </w:rPr>
      </w:pPr>
    </w:p>
    <w:p w:rsidRPr="00F828E4" w:rsidR="00122F04" w:rsidP="00623633" w:rsidRDefault="00122F04" w14:paraId="750A31CE" w14:textId="70BA4D72">
      <w:pPr>
        <w:widowControl/>
        <w:numPr>
          <w:ilvl w:val="0"/>
          <w:numId w:val="31"/>
        </w:numPr>
        <w:autoSpaceDE/>
        <w:autoSpaceDN/>
        <w:adjustRightInd/>
        <w:contextualSpacing/>
        <w:rPr>
          <w:rFonts w:eastAsia="Calibri"/>
        </w:rPr>
      </w:pPr>
      <w:r w:rsidRPr="00F828E4">
        <w:rPr>
          <w:rFonts w:eastAsia="Calibri"/>
        </w:rPr>
        <w:t>The assumption that all amounts held in the Accounts will be invested at a rate equal to the lesser of the passbook savings rate then in effect or such other assumed rate as may be acceptable to the Rating Agency then rating the Bonds; provided, however, that, to the extent that such amounts are invested in Investment Securities that bear interest at a specified rate (or minimum rate) for a specified period of time, such rate (or minimum rate) may be assumed for such specified period of time;</w:t>
      </w:r>
    </w:p>
    <w:p w:rsidRPr="00B34407" w:rsidR="00122F04" w:rsidP="00F828E4" w:rsidRDefault="00122F04" w14:paraId="23258F58" w14:textId="77777777">
      <w:pPr>
        <w:widowControl/>
        <w:autoSpaceDE/>
        <w:autoSpaceDN/>
        <w:adjustRightInd/>
        <w:ind w:left="1440"/>
        <w:rPr>
          <w:rFonts w:eastAsia="Calibri"/>
        </w:rPr>
      </w:pPr>
    </w:p>
    <w:p w:rsidRPr="00F828E4" w:rsidR="00122F04" w:rsidP="00623633" w:rsidRDefault="00122F04" w14:paraId="5089969A" w14:textId="754B23B8">
      <w:pPr>
        <w:widowControl/>
        <w:numPr>
          <w:ilvl w:val="0"/>
          <w:numId w:val="31"/>
        </w:numPr>
        <w:autoSpaceDE/>
        <w:autoSpaceDN/>
        <w:adjustRightInd/>
        <w:contextualSpacing/>
        <w:rPr>
          <w:rFonts w:eastAsia="Calibri"/>
        </w:rPr>
      </w:pPr>
      <w:r w:rsidRPr="00F828E4">
        <w:rPr>
          <w:rFonts w:eastAsia="Calibri"/>
        </w:rPr>
        <w:t>Such other assumptions as may be required by or as may be consistent with the Supplemental Indentures applicable to the Bonds expected to be Outstanding during the period covered by such statement (which will include assumptions as to the method of selecting the Bonds for redemption and the application of Mortgage Loan principal payments held in the Revenue Account); and</w:t>
      </w:r>
    </w:p>
    <w:p w:rsidRPr="00B34407" w:rsidR="00122F04" w:rsidP="00F828E4" w:rsidRDefault="00122F04" w14:paraId="49636A49" w14:textId="77777777">
      <w:pPr>
        <w:widowControl/>
        <w:autoSpaceDE/>
        <w:autoSpaceDN/>
        <w:adjustRightInd/>
        <w:ind w:left="1440"/>
        <w:rPr>
          <w:rFonts w:eastAsia="Calibri"/>
        </w:rPr>
      </w:pPr>
    </w:p>
    <w:p w:rsidRPr="00B34407" w:rsidR="00122F04" w:rsidP="00F828E4" w:rsidRDefault="00122F04" w14:paraId="15EE4CE1" w14:textId="24D4E116">
      <w:pPr>
        <w:widowControl/>
        <w:autoSpaceDE/>
        <w:autoSpaceDN/>
        <w:adjustRightInd/>
        <w:ind w:left="1440" w:hanging="720"/>
        <w:rPr>
          <w:rFonts w:eastAsia="Calibri"/>
        </w:rPr>
      </w:pPr>
      <w:r w:rsidRPr="00B34407">
        <w:rPr>
          <w:rFonts w:eastAsia="Calibri"/>
        </w:rPr>
        <w:t xml:space="preserve">(4) </w:t>
      </w:r>
      <w:r w:rsidRPr="00B34407">
        <w:rPr>
          <w:rFonts w:eastAsia="Calibri"/>
        </w:rPr>
        <w:tab/>
        <w:t>In making any Statement of Projected Cash Flow the Authority may contemplate: (i) the expenditure of amounts in the Loan Account for the financing of Mortgage Loans in accordance with the Authority</w:t>
      </w:r>
      <w:r w:rsidR="00C34AEA">
        <w:rPr>
          <w:rFonts w:eastAsia="Calibri"/>
        </w:rPr>
        <w:t>’</w:t>
      </w:r>
      <w:r w:rsidRPr="00B34407">
        <w:rPr>
          <w:rFonts w:eastAsia="Calibri"/>
        </w:rPr>
        <w:t>s reasonable expectations at the time the Statement is made; (ii) the transfer of moneys from one Account to another Account if such transfer is or will be permitted in accordance with the Indenture; (iii) the payment or redemption of the Bonds if such payment or redemption is or will be permitted in accordance with the Indenture; and (iv) the transfer of moneys among the various Accounts from time to time by the Authority to the extent the Authority reasonably expects such amounts to be available for such transfer.</w:t>
      </w:r>
    </w:p>
    <w:p w:rsidRPr="00B34407" w:rsidR="00122F04" w:rsidP="00122F04" w:rsidRDefault="00122F04" w14:paraId="72081A78" w14:textId="77777777">
      <w:pPr>
        <w:widowControl/>
        <w:autoSpaceDE/>
        <w:autoSpaceDN/>
        <w:adjustRightInd/>
        <w:rPr>
          <w:rFonts w:eastAsia="Calibri"/>
        </w:rPr>
      </w:pPr>
    </w:p>
    <w:p w:rsidRPr="00B34407" w:rsidR="00122F04" w:rsidP="00F828E4" w:rsidRDefault="00122F04" w14:paraId="3BEC596B" w14:textId="14B6B230">
      <w:pPr>
        <w:pStyle w:val="BodyTextFirstIndent"/>
        <w:rPr>
          <w:rFonts w:eastAsia="Calibri"/>
        </w:rPr>
      </w:pPr>
      <w:r w:rsidRPr="00B34407">
        <w:rPr>
          <w:rFonts w:eastAsia="Calibri"/>
        </w:rPr>
        <w:t xml:space="preserve">The Statement of Projected Cash Flow will be based upon the assets held by the Trustee as of a date no more than 120 days prior to the date of such Statement or otherwise such Statement of Projected Cash Flow will be based on a reasonable estimate of such assets held by the Trustee as of the date of the Statement of Projected Cash Flow. </w:t>
      </w:r>
      <w:r w:rsidR="00790334">
        <w:rPr>
          <w:rFonts w:eastAsia="Calibri"/>
        </w:rPr>
        <w:t xml:space="preserve"> </w:t>
      </w:r>
      <w:r w:rsidRPr="00B34407">
        <w:rPr>
          <w:rFonts w:eastAsia="Calibri"/>
        </w:rPr>
        <w:t xml:space="preserve">The Authority will also supply supporting schedules appropriate to show the sources and applications of funds used, identifying particularly amounts to be transferred between Accounts, amounts to be applied to the redemption or payment of Bonds and amounts to be used to provide for Costs of Issuance and capitalized interest for the Bonds. </w:t>
      </w:r>
      <w:r w:rsidR="00790334">
        <w:rPr>
          <w:rFonts w:eastAsia="Calibri"/>
        </w:rPr>
        <w:t xml:space="preserve"> </w:t>
      </w:r>
      <w:r w:rsidRPr="00B34407">
        <w:rPr>
          <w:rFonts w:eastAsia="Calibri"/>
        </w:rPr>
        <w:t>In projecting the amounts set forth above, the Authority will set forth its assumptions (which, in the opinion of the Authority, must be reasonable) of the interest rates and yields that Mortgage Loans or Investment Securities may be financed or purchased and the terms to maturity with respect thereto, fund and Account balances, Program Expenses, redemption, or any other action or event which is necessary or desirable for such purpose.</w:t>
      </w:r>
    </w:p>
    <w:p w:rsidRPr="00B34407" w:rsidR="00122F04" w:rsidP="00F828E4" w:rsidRDefault="00122F04" w14:paraId="2BECBBA8" w14:textId="77777777">
      <w:pPr>
        <w:pStyle w:val="BodyTextFirstIndent"/>
        <w:rPr>
          <w:rFonts w:eastAsia="Calibri"/>
        </w:rPr>
      </w:pPr>
      <w:r w:rsidRPr="00B34407">
        <w:rPr>
          <w:rFonts w:eastAsia="Calibri"/>
        </w:rPr>
        <w:t>In the event the interest rate on any Bond is, at the time of calculation, not determined for the term of the Statement of Projected Cash Flow, interest rates on such Bond will be determined by a certificate of the Authority estimating such interest rate in the manner used in securing the required rating on such Bonds from the Rating Agency rating such Bonds.</w:t>
      </w:r>
    </w:p>
    <w:p w:rsidRPr="00B34407" w:rsidR="00122F04" w:rsidP="00F828E4" w:rsidRDefault="00122F04" w14:paraId="647441D2" w14:textId="309415E2">
      <w:pPr>
        <w:pStyle w:val="BodyTextFirstIndent"/>
        <w:rPr>
          <w:rFonts w:eastAsia="Calibri"/>
        </w:rPr>
      </w:pPr>
      <w:r w:rsidRPr="00B34407">
        <w:rPr>
          <w:rFonts w:eastAsia="Calibri"/>
          <w:b/>
          <w:bCs/>
          <w:i/>
          <w:iCs/>
        </w:rPr>
        <w:t>Disposition of Mortgage Certificates.</w:t>
      </w:r>
      <w:r w:rsidRPr="00790334">
        <w:rPr>
          <w:rFonts w:eastAsia="Calibri"/>
          <w:bCs/>
          <w:iCs/>
        </w:rPr>
        <w:t xml:space="preserve"> </w:t>
      </w:r>
      <w:r w:rsidRPr="00790334" w:rsidR="00790334">
        <w:rPr>
          <w:rFonts w:eastAsia="Calibri"/>
          <w:bCs/>
          <w:iCs/>
        </w:rPr>
        <w:t xml:space="preserve"> </w:t>
      </w:r>
      <w:r w:rsidRPr="00B34407">
        <w:rPr>
          <w:rFonts w:eastAsia="Calibri"/>
        </w:rPr>
        <w:t>Except as provided in a Supplemental Indenture, the Authority may sell, assign or otherwise dispose of a Mortgage Certificate in order to obtain funds to provide for the redemption or purchase of such Bonds.</w:t>
      </w:r>
    </w:p>
    <w:p w:rsidRPr="00B34407" w:rsidR="00122F04" w:rsidP="00F828E4" w:rsidRDefault="00122F04" w14:paraId="430E3A78" w14:textId="77777777">
      <w:pPr>
        <w:pStyle w:val="abodytextbold"/>
        <w:rPr>
          <w:rFonts w:eastAsia="Calibri"/>
        </w:rPr>
      </w:pPr>
      <w:r w:rsidRPr="00B34407">
        <w:rPr>
          <w:rFonts w:eastAsia="Calibri"/>
        </w:rPr>
        <w:t>Powers as to Bonds and Pledges</w:t>
      </w:r>
    </w:p>
    <w:p w:rsidRPr="00B34407" w:rsidR="00122F04" w:rsidP="00F828E4" w:rsidRDefault="00122F04" w14:paraId="7373FB72" w14:textId="77777777">
      <w:pPr>
        <w:pStyle w:val="BodyTextFirstIndent"/>
        <w:rPr>
          <w:rFonts w:eastAsia="Calibri"/>
        </w:rPr>
      </w:pPr>
      <w:r w:rsidRPr="00B34407">
        <w:rPr>
          <w:rFonts w:eastAsia="Calibri"/>
        </w:rPr>
        <w:t>The Authority covenants that it is duly authorized pursuant to law to authorize and issue the Bonds and to enter into, execute and deliver the Indenture and to pledge the Revenues and assets purported to be pledged by the Indenture in the manner and to the extent provided in the Indenture.</w:t>
      </w:r>
    </w:p>
    <w:p w:rsidRPr="00B34407" w:rsidR="00122F04" w:rsidP="00F828E4" w:rsidRDefault="00122F04" w14:paraId="75618C3B" w14:textId="77777777">
      <w:pPr>
        <w:pStyle w:val="abodytextbold"/>
        <w:rPr>
          <w:rFonts w:eastAsia="Calibri"/>
        </w:rPr>
      </w:pPr>
      <w:r w:rsidRPr="00B34407">
        <w:rPr>
          <w:rFonts w:eastAsia="Calibri"/>
        </w:rPr>
        <w:t>Tax Covenants</w:t>
      </w:r>
    </w:p>
    <w:p w:rsidRPr="00B34407" w:rsidR="00122F04" w:rsidP="00F828E4" w:rsidRDefault="00122F04" w14:paraId="51FFA53D" w14:textId="77777777">
      <w:pPr>
        <w:pStyle w:val="BodyTextFirstIndent"/>
        <w:rPr>
          <w:rFonts w:eastAsia="Calibri"/>
        </w:rPr>
      </w:pPr>
      <w:r w:rsidRPr="00B34407">
        <w:rPr>
          <w:rFonts w:eastAsia="Calibri"/>
        </w:rPr>
        <w:t xml:space="preserve">The Authority covenants that it will at all times do and perform all acts and things necessary or desirable in order to assure that interest paid on the Bonds (except for interest paid on Bonds originally issued as obligations, the interest on which is included in gross income for federal tax purposes) will, for the purposes of federal income taxation, be excludable from the gross income of the recipients thereof and exempt from such taxation. However, the Authority </w:t>
      </w:r>
      <w:bookmarkStart w:name="ElPgBr78" w:id="936"/>
      <w:bookmarkEnd w:id="936"/>
      <w:r w:rsidRPr="00B34407">
        <w:rPr>
          <w:rFonts w:eastAsia="Calibri"/>
        </w:rPr>
        <w:lastRenderedPageBreak/>
        <w:t>may elect to issue Bonds the interest on which is not exempt from federal income taxation, if such election is made prior to the issuance of such Bonds.</w:t>
      </w:r>
    </w:p>
    <w:p w:rsidRPr="00B34407" w:rsidR="00122F04" w:rsidP="00F828E4" w:rsidRDefault="00122F04" w14:paraId="71DFA6CB" w14:textId="77777777">
      <w:pPr>
        <w:pStyle w:val="abodytextbold"/>
        <w:rPr>
          <w:rFonts w:eastAsia="Calibri"/>
        </w:rPr>
      </w:pPr>
      <w:r w:rsidRPr="00B34407">
        <w:rPr>
          <w:rFonts w:eastAsia="Calibri"/>
        </w:rPr>
        <w:t>Accounts and Reports</w:t>
      </w:r>
    </w:p>
    <w:p w:rsidRPr="00B34407" w:rsidR="00122F04" w:rsidP="00F828E4" w:rsidRDefault="00122F04" w14:paraId="4D004570" w14:textId="77777777">
      <w:pPr>
        <w:pStyle w:val="BodyTextFirstIndent"/>
        <w:rPr>
          <w:rFonts w:eastAsia="Calibri"/>
        </w:rPr>
      </w:pPr>
      <w:r w:rsidRPr="00B34407">
        <w:rPr>
          <w:rFonts w:eastAsia="Calibri"/>
        </w:rPr>
        <w:t>The Authority covenants that it will keep, or cause to be kept, proper books of record and account in which complete and accurate entries will be made of all its transactions relating to the Mortgage Loans and all Accounts established by the Indenture which will at all reasonable times be subject to the inspection of the Trustee and any holder of an aggregate of not less than 5% in principal amount of Bonds then outstanding or their representatives duly authorized in writing.</w:t>
      </w:r>
    </w:p>
    <w:p w:rsidRPr="00B34407" w:rsidR="00122F04" w:rsidP="00F828E4" w:rsidRDefault="00122F04" w14:paraId="008D9766" w14:textId="5CD99818">
      <w:pPr>
        <w:pStyle w:val="BodyTextFirstIndent"/>
        <w:rPr>
          <w:rFonts w:eastAsia="Calibri"/>
        </w:rPr>
      </w:pPr>
      <w:r w:rsidRPr="00B34407">
        <w:rPr>
          <w:rFonts w:eastAsia="Calibri"/>
        </w:rPr>
        <w:t>On or before the 25</w:t>
      </w:r>
      <w:r w:rsidRPr="00D2194E">
        <w:rPr>
          <w:rFonts w:eastAsia="Calibri"/>
          <w:vertAlign w:val="superscript"/>
        </w:rPr>
        <w:t>th</w:t>
      </w:r>
      <w:r w:rsidR="00D2194E">
        <w:rPr>
          <w:rFonts w:eastAsia="Calibri"/>
        </w:rPr>
        <w:t xml:space="preserve"> </w:t>
      </w:r>
      <w:r w:rsidRPr="00B34407">
        <w:rPr>
          <w:rFonts w:eastAsia="Calibri"/>
        </w:rPr>
        <w:t>day of each month or as soon as practicable thereafter, the Trustee will submit to the Authority a statement of account for the preceding month setting forth the amount received as Revenues during such month.</w:t>
      </w:r>
    </w:p>
    <w:p w:rsidRPr="00B34407" w:rsidR="00122F04" w:rsidP="00F828E4" w:rsidRDefault="00122F04" w14:paraId="3943D1A5" w14:textId="4474747B">
      <w:pPr>
        <w:pStyle w:val="BodyTextFirstIndent"/>
        <w:rPr>
          <w:rFonts w:eastAsia="Calibri"/>
        </w:rPr>
      </w:pPr>
      <w:r w:rsidRPr="00B34407">
        <w:rPr>
          <w:rFonts w:eastAsia="Calibri"/>
        </w:rPr>
        <w:t xml:space="preserve">The Authority will, within 180 days after the close of each Fiscal Year, file with the Trustee (i) an annual report for such Fiscal Year, setting forth its operations and accomplishments during such Fiscal Year and (ii) financial statements of the Authority for such Fiscal Year setting forth in reasonable detail: (a) a statement of revenues and expenses in accordance with the categories or classifications established by the Authority for its operating and program purposes and showing the revenues and expenses of the Programs during such fiscal year, (b) the balance sheet for the Authority and its programs, showing the assets and liabilities of the Programs at the end of such Fiscal Year, and (c) a statement of changes in financial position, including changes in financial position of the Programs, as of the end of such Fiscal Year. Any such financial statements may be combined with financial statements for other programs and purposes of the Authority so long as financial statements are consistent with the requirements of the Indenture and satisfactory to the Trustee. </w:t>
      </w:r>
      <w:r w:rsidR="00D2194E">
        <w:rPr>
          <w:rFonts w:eastAsia="Calibri"/>
        </w:rPr>
        <w:t xml:space="preserve"> </w:t>
      </w:r>
      <w:r w:rsidRPr="00B34407">
        <w:rPr>
          <w:rFonts w:eastAsia="Calibri"/>
        </w:rPr>
        <w:t xml:space="preserve">The financial statements will be accompanied by the certificate of such reputable and experienced independent certified public accountant or firm of independent certified public accountants as may be selected by the Authority and satisfactory to the Trustee (an </w:t>
      </w:r>
      <w:r w:rsidR="00C34AEA">
        <w:rPr>
          <w:rFonts w:eastAsia="Calibri"/>
        </w:rPr>
        <w:t>“</w:t>
      </w:r>
      <w:r w:rsidRPr="00B34407">
        <w:rPr>
          <w:rFonts w:eastAsia="Calibri"/>
        </w:rPr>
        <w:t>Accountant</w:t>
      </w:r>
      <w:r w:rsidR="00C34AEA">
        <w:rPr>
          <w:rFonts w:eastAsia="Calibri"/>
        </w:rPr>
        <w:t>”</w:t>
      </w:r>
      <w:r w:rsidRPr="00B34407">
        <w:rPr>
          <w:rFonts w:eastAsia="Calibri"/>
        </w:rPr>
        <w:t xml:space="preserve">), stating that the financial statements examined present fairly the financial position of the Authority at the end of the Fiscal Year, the results of its operations and the changes in financial position for the period examined, in conformity with generally accepted accounting principles on a consistent basis except for changes with which such Accountant concurs. </w:t>
      </w:r>
      <w:r w:rsidR="00D2194E">
        <w:rPr>
          <w:rFonts w:eastAsia="Calibri"/>
        </w:rPr>
        <w:t xml:space="preserve"> </w:t>
      </w:r>
      <w:r w:rsidRPr="00B34407">
        <w:rPr>
          <w:rFonts w:eastAsia="Calibri"/>
        </w:rPr>
        <w:t>A copy of each such annual report will be mailed promptly thereafter by the Authority to any Bondholder who, by written request, has filed his name and address with the Authority for such purposes unless the Authority shall have posted the report on its website or on the Municipal Securities Rulemaking Board</w:t>
      </w:r>
      <w:r w:rsidR="00C34AEA">
        <w:rPr>
          <w:rFonts w:eastAsia="Calibri"/>
        </w:rPr>
        <w:t>’</w:t>
      </w:r>
      <w:r w:rsidRPr="00B34407">
        <w:rPr>
          <w:rFonts w:eastAsia="Calibri"/>
        </w:rPr>
        <w:t>s EMMA system.</w:t>
      </w:r>
    </w:p>
    <w:p w:rsidRPr="00B34407" w:rsidR="00122F04" w:rsidP="00F828E4" w:rsidRDefault="00122F04" w14:paraId="013255B7" w14:textId="77777777">
      <w:pPr>
        <w:pStyle w:val="abodytextbold"/>
        <w:rPr>
          <w:rFonts w:eastAsia="Calibri"/>
        </w:rPr>
      </w:pPr>
      <w:r w:rsidRPr="00B34407">
        <w:rPr>
          <w:rFonts w:eastAsia="Calibri"/>
        </w:rPr>
        <w:t>Budgets</w:t>
      </w:r>
    </w:p>
    <w:p w:rsidRPr="00B34407" w:rsidR="00122F04" w:rsidP="00F828E4" w:rsidRDefault="00122F04" w14:paraId="6E742D67" w14:textId="5F554172">
      <w:pPr>
        <w:pStyle w:val="BodyTextFirstIndent"/>
        <w:rPr>
          <w:rFonts w:eastAsia="Calibri"/>
        </w:rPr>
      </w:pPr>
      <w:r w:rsidRPr="00B34407">
        <w:rPr>
          <w:rFonts w:eastAsia="Calibri"/>
        </w:rPr>
        <w:t>The Authority will adopt an annual budget covering its fiscal operations for the succeeding Fiscal Year not later than the first day of each Fiscal Year.</w:t>
      </w:r>
      <w:r w:rsidR="00D2194E">
        <w:rPr>
          <w:rFonts w:eastAsia="Calibri"/>
        </w:rPr>
        <w:t xml:space="preserve"> </w:t>
      </w:r>
      <w:r w:rsidRPr="00B34407">
        <w:rPr>
          <w:rFonts w:eastAsia="Calibri"/>
        </w:rPr>
        <w:t xml:space="preserve"> The annual budget will at least set forth for such Fiscal Year the estimated Revenues, the Principal Installments and the amount of interest due and payable or estimated to become due and payable during such Fiscal Year, and estimated total Program Expenses. </w:t>
      </w:r>
      <w:r w:rsidR="00D2194E">
        <w:rPr>
          <w:rFonts w:eastAsia="Calibri"/>
        </w:rPr>
        <w:t xml:space="preserve"> </w:t>
      </w:r>
      <w:r w:rsidRPr="00B34407">
        <w:rPr>
          <w:rFonts w:eastAsia="Calibri"/>
        </w:rPr>
        <w:t>The Authority at any time may adopt and file with the Trustee an amended annual budget for the remainder of the then current Fiscal Year in the manner provided in the Indenture for the adoption of the annual budget.</w:t>
      </w:r>
      <w:r w:rsidR="00D2194E">
        <w:rPr>
          <w:rFonts w:eastAsia="Calibri"/>
        </w:rPr>
        <w:t xml:space="preserve"> </w:t>
      </w:r>
      <w:r w:rsidRPr="00B34407">
        <w:rPr>
          <w:rFonts w:eastAsia="Calibri"/>
        </w:rPr>
        <w:t xml:space="preserve"> Copies of the annual budget and any amended annual budget will be made available by the Authority during normal business hours in the Authority</w:t>
      </w:r>
      <w:r w:rsidR="00C34AEA">
        <w:rPr>
          <w:rFonts w:eastAsia="Calibri"/>
        </w:rPr>
        <w:t>’</w:t>
      </w:r>
      <w:r w:rsidRPr="00B34407">
        <w:rPr>
          <w:rFonts w:eastAsia="Calibri"/>
        </w:rPr>
        <w:t>s office for inspection by any Bondholder; unless such budget shall have been posted on its website or on EMMA.</w:t>
      </w:r>
    </w:p>
    <w:p w:rsidRPr="00B34407" w:rsidR="00122F04" w:rsidP="00F828E4" w:rsidRDefault="00122F04" w14:paraId="3D36D3FC" w14:textId="77777777">
      <w:pPr>
        <w:pStyle w:val="abodytextbold"/>
        <w:rPr>
          <w:rFonts w:eastAsia="Calibri"/>
        </w:rPr>
      </w:pPr>
      <w:r w:rsidRPr="00B34407">
        <w:rPr>
          <w:rFonts w:eastAsia="Calibri"/>
        </w:rPr>
        <w:t>Single Family Mortgage Program</w:t>
      </w:r>
    </w:p>
    <w:p w:rsidRPr="00B34407" w:rsidR="00122F04" w:rsidP="00F828E4" w:rsidRDefault="00122F04" w14:paraId="73FEB9E5" w14:textId="77777777">
      <w:pPr>
        <w:pStyle w:val="BodyTextFirstIndent"/>
        <w:rPr>
          <w:rFonts w:eastAsia="Calibri"/>
        </w:rPr>
      </w:pPr>
      <w:r w:rsidRPr="00B34407">
        <w:rPr>
          <w:rFonts w:eastAsia="Calibri"/>
        </w:rPr>
        <w:t>In order to pay the Principal Installments, redemption price, if any, of and interest on the Bonds and Program Expenses, the Authority will from time to time, with all practical dispatch and in a sound and economical manner consistent in all respects with the Act, with the provisions of the Indenture and with sound banking practices and principles, (i) use and apply the proceeds of the Bonds (to the extent not reasonably or otherwise required for other purposes of the Programs) to finance Mortgage Loans pursuant to the Act and the Indenture, (ii) do all such acts and things necessary to receive and collect Revenues, and (iii) diligently enforce, and take all steps, actions and proceedings reasonably necessary in the judgment of the Authority to protect its rights with respect to the Mortgage Certificates held under the Indenture.</w:t>
      </w:r>
    </w:p>
    <w:p w:rsidRPr="00B34407" w:rsidR="00122F04" w:rsidP="00F828E4" w:rsidRDefault="00122F04" w14:paraId="2A9E9A2A" w14:textId="77777777">
      <w:pPr>
        <w:pStyle w:val="BodyTextFirstIndent"/>
        <w:rPr>
          <w:rFonts w:eastAsia="Calibri"/>
        </w:rPr>
      </w:pPr>
      <w:bookmarkStart w:name="ElPgBr79" w:id="937"/>
      <w:bookmarkEnd w:id="937"/>
      <w:r w:rsidRPr="00B34407">
        <w:rPr>
          <w:rFonts w:eastAsia="Calibri"/>
        </w:rPr>
        <w:lastRenderedPageBreak/>
        <w:t>The Authority further covenants to at all times appoint, retain and employ competent personnel for the purposes of carrying out its programs, and to duly and properly service all Mortgage Loans and to enforce the payment of principal and interest and all escrow payments, or to cause such servicing to be done by a servicer evidencing the capacity and experience necessary to adequately service the Mortgage Loans.</w:t>
      </w:r>
    </w:p>
    <w:p w:rsidRPr="00B34407" w:rsidR="00122F04" w:rsidP="00F828E4" w:rsidRDefault="00122F04" w14:paraId="38AE3A71" w14:textId="77777777">
      <w:pPr>
        <w:pStyle w:val="abodytextbold"/>
        <w:rPr>
          <w:rFonts w:eastAsia="Calibri"/>
        </w:rPr>
      </w:pPr>
      <w:r w:rsidRPr="00B34407">
        <w:rPr>
          <w:rFonts w:eastAsia="Calibri"/>
        </w:rPr>
        <w:t>Events of Default</w:t>
      </w:r>
    </w:p>
    <w:p w:rsidRPr="00B34407" w:rsidR="00122F04" w:rsidP="00F828E4" w:rsidRDefault="00122F04" w14:paraId="46F81DE4" w14:textId="269D11B4">
      <w:pPr>
        <w:pStyle w:val="BodyTextFirstIndent"/>
        <w:rPr>
          <w:rFonts w:eastAsia="Calibri"/>
        </w:rPr>
      </w:pPr>
      <w:r w:rsidRPr="00B34407">
        <w:rPr>
          <w:rFonts w:eastAsia="Calibri"/>
        </w:rPr>
        <w:t xml:space="preserve">It is an </w:t>
      </w:r>
      <w:r w:rsidR="00C34AEA">
        <w:rPr>
          <w:rFonts w:eastAsia="Calibri"/>
        </w:rPr>
        <w:t>“</w:t>
      </w:r>
      <w:r w:rsidRPr="00B34407">
        <w:rPr>
          <w:rFonts w:eastAsia="Calibri"/>
        </w:rPr>
        <w:t>Event of Default</w:t>
      </w:r>
      <w:r w:rsidR="00C34AEA">
        <w:rPr>
          <w:rFonts w:eastAsia="Calibri"/>
        </w:rPr>
        <w:t>”</w:t>
      </w:r>
      <w:r w:rsidRPr="00B34407">
        <w:rPr>
          <w:rFonts w:eastAsia="Calibri"/>
        </w:rPr>
        <w:t xml:space="preserve"> if the Authority fails to:</w:t>
      </w:r>
    </w:p>
    <w:p w:rsidRPr="00F828E4" w:rsidR="00122F04" w:rsidP="00623633" w:rsidRDefault="00122F04" w14:paraId="7DBA59EC" w14:textId="47DD11D2">
      <w:pPr>
        <w:widowControl/>
        <w:numPr>
          <w:ilvl w:val="0"/>
          <w:numId w:val="32"/>
        </w:numPr>
        <w:autoSpaceDE/>
        <w:autoSpaceDN/>
        <w:adjustRightInd/>
        <w:contextualSpacing/>
        <w:rPr>
          <w:rFonts w:eastAsia="Calibri"/>
        </w:rPr>
      </w:pPr>
      <w:r w:rsidRPr="00F828E4">
        <w:rPr>
          <w:rFonts w:eastAsia="Calibri"/>
        </w:rPr>
        <w:t>pay the principal or redemption price, if any, on any Bond when and as the same becomes due, whether at maturity or upon call for redemption or otherwise;</w:t>
      </w:r>
    </w:p>
    <w:p w:rsidRPr="00B34407" w:rsidR="00122F04" w:rsidP="00F828E4" w:rsidRDefault="00122F04" w14:paraId="7118A1ED" w14:textId="77777777">
      <w:pPr>
        <w:widowControl/>
        <w:autoSpaceDE/>
        <w:autoSpaceDN/>
        <w:adjustRightInd/>
        <w:ind w:left="1440"/>
        <w:contextualSpacing/>
        <w:rPr>
          <w:rFonts w:eastAsia="Calibri"/>
        </w:rPr>
      </w:pPr>
    </w:p>
    <w:p w:rsidRPr="00F828E4" w:rsidR="00122F04" w:rsidP="00623633" w:rsidRDefault="00122F04" w14:paraId="46F45635" w14:textId="013ECFBA">
      <w:pPr>
        <w:widowControl/>
        <w:numPr>
          <w:ilvl w:val="0"/>
          <w:numId w:val="32"/>
        </w:numPr>
        <w:autoSpaceDE/>
        <w:autoSpaceDN/>
        <w:adjustRightInd/>
        <w:contextualSpacing/>
        <w:rPr>
          <w:rFonts w:eastAsia="Calibri"/>
        </w:rPr>
      </w:pPr>
      <w:r w:rsidRPr="00F828E4">
        <w:rPr>
          <w:rFonts w:eastAsia="Calibri"/>
        </w:rPr>
        <w:t>pay any installments of interest on any of the Bonds within 30 days after the same becomes due; or</w:t>
      </w:r>
    </w:p>
    <w:p w:rsidRPr="00B34407" w:rsidR="00122F04" w:rsidP="00F828E4" w:rsidRDefault="00122F04" w14:paraId="269BFC22" w14:textId="77777777">
      <w:pPr>
        <w:widowControl/>
        <w:autoSpaceDE/>
        <w:autoSpaceDN/>
        <w:adjustRightInd/>
        <w:ind w:left="1440"/>
        <w:rPr>
          <w:rFonts w:eastAsia="Calibri"/>
        </w:rPr>
      </w:pPr>
    </w:p>
    <w:p w:rsidRPr="00B34407" w:rsidR="00122F04" w:rsidP="00F828E4" w:rsidRDefault="00122F04" w14:paraId="1460D9A3" w14:textId="20F101C2">
      <w:pPr>
        <w:widowControl/>
        <w:autoSpaceDE/>
        <w:autoSpaceDN/>
        <w:adjustRightInd/>
        <w:ind w:left="1440" w:hanging="720"/>
        <w:rPr>
          <w:rFonts w:eastAsia="Calibri"/>
        </w:rPr>
      </w:pPr>
      <w:r w:rsidRPr="00B34407">
        <w:rPr>
          <w:rFonts w:eastAsia="Calibri"/>
        </w:rPr>
        <w:t xml:space="preserve">(iii) </w:t>
      </w:r>
      <w:r w:rsidRPr="00B34407">
        <w:rPr>
          <w:rFonts w:eastAsia="Calibri"/>
        </w:rPr>
        <w:tab/>
        <w:t>perform, observe or otherwise comply with any of the covenants, agreements, provisions or conditions on its part contained in the Indenture or the Bonds, and such failure continues for a period of 45 days after written notice thereof to the Authority by the Trustee or the holders of not less than 25% in principal amount of the outstanding Bonds.</w:t>
      </w:r>
    </w:p>
    <w:p w:rsidRPr="00B34407" w:rsidR="00122F04" w:rsidP="00122F04" w:rsidRDefault="00122F04" w14:paraId="6289F5FD" w14:textId="77777777">
      <w:pPr>
        <w:widowControl/>
        <w:autoSpaceDE/>
        <w:autoSpaceDN/>
        <w:adjustRightInd/>
        <w:rPr>
          <w:rFonts w:eastAsia="Calibri"/>
        </w:rPr>
      </w:pPr>
    </w:p>
    <w:p w:rsidRPr="00B34407" w:rsidR="00122F04" w:rsidP="00F828E4" w:rsidRDefault="00122F04" w14:paraId="61AED874" w14:textId="1C6717C4">
      <w:pPr>
        <w:pStyle w:val="BodyTextFirstIndent"/>
        <w:rPr>
          <w:rFonts w:eastAsia="Calibri"/>
        </w:rPr>
      </w:pPr>
      <w:r w:rsidRPr="00B34407">
        <w:rPr>
          <w:rFonts w:eastAsia="Calibri"/>
        </w:rPr>
        <w:t xml:space="preserve">The Trustee will give to the Bondholders notice of each Event of Default under the Indenture known to the Trustee within 90 days after actual knowledge by the Trustee of the occurrence thereof, unless such Event of Default has been remedied or cured before the giving of such notice. </w:t>
      </w:r>
      <w:r w:rsidR="00D2194E">
        <w:rPr>
          <w:rFonts w:eastAsia="Calibri"/>
        </w:rPr>
        <w:t xml:space="preserve"> </w:t>
      </w:r>
      <w:r w:rsidRPr="00B34407">
        <w:rPr>
          <w:rFonts w:eastAsia="Calibri"/>
        </w:rPr>
        <w:t xml:space="preserve">However, except that in the case of default in the payment of the principal of or redemption price, if any, or interest on any of the Bonds, or the making of any payment required to be made into the Loan Account, the Trustee may withhold such notice if and so long as the Trustee in good faith determines that the withholding of such notice is in the best interest of the Bondholders. </w:t>
      </w:r>
      <w:r w:rsidR="00D2194E">
        <w:rPr>
          <w:rFonts w:eastAsia="Calibri"/>
        </w:rPr>
        <w:t xml:space="preserve"> </w:t>
      </w:r>
      <w:r w:rsidRPr="00B34407">
        <w:rPr>
          <w:rFonts w:eastAsia="Calibri"/>
        </w:rPr>
        <w:t>Each such notice will be given by mail to all holders of Bonds.</w:t>
      </w:r>
    </w:p>
    <w:p w:rsidRPr="00B34407" w:rsidR="00122F04" w:rsidP="00F828E4" w:rsidRDefault="00122F04" w14:paraId="64E590DE" w14:textId="77777777">
      <w:pPr>
        <w:pStyle w:val="abodytextbold"/>
        <w:rPr>
          <w:rFonts w:eastAsia="Calibri"/>
        </w:rPr>
      </w:pPr>
      <w:r w:rsidRPr="00B34407">
        <w:rPr>
          <w:rFonts w:eastAsia="Calibri"/>
        </w:rPr>
        <w:t>Remedies</w:t>
      </w:r>
    </w:p>
    <w:p w:rsidRPr="00B34407" w:rsidR="00122F04" w:rsidP="00F828E4" w:rsidRDefault="00122F04" w14:paraId="7869717E" w14:textId="24DAE35A">
      <w:pPr>
        <w:pStyle w:val="BodyTextFirstIndent"/>
        <w:rPr>
          <w:rFonts w:eastAsia="Calibri"/>
        </w:rPr>
      </w:pPr>
      <w:r w:rsidRPr="00B34407">
        <w:rPr>
          <w:rFonts w:eastAsia="Calibri"/>
        </w:rPr>
        <w:t xml:space="preserve">Upon the happening and continuance of any Event of Default specified in clauses (i) and (ii) under the heading </w:t>
      </w:r>
      <w:r w:rsidR="00C34AEA">
        <w:rPr>
          <w:rFonts w:eastAsia="Calibri"/>
        </w:rPr>
        <w:t>“</w:t>
      </w:r>
      <w:r w:rsidRPr="00B34407">
        <w:rPr>
          <w:rFonts w:eastAsia="Calibri"/>
        </w:rPr>
        <w:t>Events of Default,</w:t>
      </w:r>
      <w:r w:rsidR="00C34AEA">
        <w:rPr>
          <w:rFonts w:eastAsia="Calibri"/>
        </w:rPr>
        <w:t>”</w:t>
      </w:r>
      <w:r w:rsidRPr="00B34407">
        <w:rPr>
          <w:rFonts w:eastAsia="Calibri"/>
        </w:rPr>
        <w:t xml:space="preserve"> the Trustee must proceed, or, upon the happening and continuance of any Event of Default specified in clause (iii) under the heading </w:t>
      </w:r>
      <w:r w:rsidR="00C34AEA">
        <w:rPr>
          <w:rFonts w:eastAsia="Calibri"/>
        </w:rPr>
        <w:t>“</w:t>
      </w:r>
      <w:r w:rsidRPr="00B34407">
        <w:rPr>
          <w:rFonts w:eastAsia="Calibri"/>
        </w:rPr>
        <w:t>Events of Default,</w:t>
      </w:r>
      <w:r w:rsidR="00C34AEA">
        <w:rPr>
          <w:rFonts w:eastAsia="Calibri"/>
        </w:rPr>
        <w:t>”</w:t>
      </w:r>
      <w:r w:rsidRPr="00B34407">
        <w:rPr>
          <w:rFonts w:eastAsia="Calibri"/>
        </w:rPr>
        <w:t xml:space="preserve"> the Trustee may proceed and, upon written request by the holders of not less than 25% in principal amount of the outstanding Bonds, must proceed, in its own name, subject to its right to indemnification and other provisions of the Indenture, to protect and enforce the rights of the Bondholders by such of the following remedies as the Trustee, being advised by counsel, deems most effectual to protect and enforce such rights:</w:t>
      </w:r>
    </w:p>
    <w:p w:rsidRPr="00F828E4" w:rsidR="00122F04" w:rsidP="00623633" w:rsidRDefault="00122F04" w14:paraId="091B17CF" w14:textId="7CDAF0BC">
      <w:pPr>
        <w:widowControl/>
        <w:numPr>
          <w:ilvl w:val="0"/>
          <w:numId w:val="33"/>
        </w:numPr>
        <w:autoSpaceDE/>
        <w:autoSpaceDN/>
        <w:adjustRightInd/>
        <w:contextualSpacing/>
        <w:rPr>
          <w:rFonts w:eastAsia="Calibri"/>
        </w:rPr>
      </w:pPr>
      <w:r w:rsidRPr="00F828E4">
        <w:rPr>
          <w:rFonts w:eastAsia="Calibri"/>
        </w:rPr>
        <w:t>by suit, action or proceeding in law or in equity, to enforce all rights of the Bondholders, including the right to require the Authority to receive and collect Revenues adequate to carry out the covenants and agreements as to the Mortgage Loans and to require the Authority to carry out any other covenants and agreements with Bondholders and to perform its duties under the Act;</w:t>
      </w:r>
    </w:p>
    <w:p w:rsidRPr="00B34407" w:rsidR="00122F04" w:rsidP="00122F04" w:rsidRDefault="00122F04" w14:paraId="6F6D0E47" w14:textId="77777777">
      <w:pPr>
        <w:widowControl/>
        <w:autoSpaceDE/>
        <w:autoSpaceDN/>
        <w:adjustRightInd/>
        <w:rPr>
          <w:rFonts w:eastAsia="Calibri"/>
        </w:rPr>
      </w:pPr>
    </w:p>
    <w:p w:rsidRPr="00B34407" w:rsidR="00122F04" w:rsidP="00623633" w:rsidRDefault="00122F04" w14:paraId="45C9AED5" w14:textId="77777777">
      <w:pPr>
        <w:widowControl/>
        <w:numPr>
          <w:ilvl w:val="0"/>
          <w:numId w:val="33"/>
        </w:numPr>
        <w:autoSpaceDE/>
        <w:autoSpaceDN/>
        <w:adjustRightInd/>
        <w:contextualSpacing/>
        <w:rPr>
          <w:rFonts w:eastAsia="Calibri"/>
        </w:rPr>
      </w:pPr>
      <w:r w:rsidRPr="00B34407">
        <w:rPr>
          <w:rFonts w:eastAsia="Calibri"/>
        </w:rPr>
        <w:t xml:space="preserve"> by bringing suit upon the Bonds;</w:t>
      </w:r>
    </w:p>
    <w:p w:rsidRPr="00B34407" w:rsidR="00122F04" w:rsidP="00122F04" w:rsidRDefault="00122F04" w14:paraId="6544F0BA" w14:textId="77777777">
      <w:pPr>
        <w:widowControl/>
        <w:autoSpaceDE/>
        <w:autoSpaceDN/>
        <w:adjustRightInd/>
        <w:ind w:left="720"/>
        <w:rPr>
          <w:rFonts w:eastAsia="Calibri"/>
        </w:rPr>
      </w:pPr>
    </w:p>
    <w:p w:rsidRPr="00F828E4" w:rsidR="00122F04" w:rsidP="00623633" w:rsidRDefault="00122F04" w14:paraId="7EBC3B25" w14:textId="08F9BC62">
      <w:pPr>
        <w:widowControl/>
        <w:numPr>
          <w:ilvl w:val="0"/>
          <w:numId w:val="33"/>
        </w:numPr>
        <w:autoSpaceDE/>
        <w:autoSpaceDN/>
        <w:adjustRightInd/>
        <w:contextualSpacing/>
        <w:rPr>
          <w:rFonts w:eastAsia="Calibri"/>
        </w:rPr>
      </w:pPr>
      <w:r w:rsidRPr="00F828E4">
        <w:rPr>
          <w:rFonts w:eastAsia="Calibri"/>
        </w:rPr>
        <w:t>by action or suit in equity, to require the Authority to account as if it were the trustee of an express trust for the holders of the Bonds;</w:t>
      </w:r>
    </w:p>
    <w:p w:rsidRPr="00B34407" w:rsidR="00122F04" w:rsidP="00122F04" w:rsidRDefault="00122F04" w14:paraId="1636074F" w14:textId="77777777">
      <w:pPr>
        <w:widowControl/>
        <w:autoSpaceDE/>
        <w:autoSpaceDN/>
        <w:adjustRightInd/>
        <w:ind w:left="720"/>
        <w:rPr>
          <w:rFonts w:eastAsia="Calibri"/>
        </w:rPr>
      </w:pPr>
    </w:p>
    <w:p w:rsidRPr="00F828E4" w:rsidR="00122F04" w:rsidP="00623633" w:rsidRDefault="00122F04" w14:paraId="26D910F3" w14:textId="6D9C7B0F">
      <w:pPr>
        <w:widowControl/>
        <w:numPr>
          <w:ilvl w:val="0"/>
          <w:numId w:val="33"/>
        </w:numPr>
        <w:autoSpaceDE/>
        <w:autoSpaceDN/>
        <w:adjustRightInd/>
        <w:contextualSpacing/>
        <w:rPr>
          <w:rFonts w:eastAsia="Calibri"/>
        </w:rPr>
      </w:pPr>
      <w:r w:rsidRPr="00F828E4">
        <w:rPr>
          <w:rFonts w:eastAsia="Calibri"/>
        </w:rPr>
        <w:t>by action or suit in equity, to enjoin any acts or things which may be unlawful or in violation of the rights of the holders of the Bonds;</w:t>
      </w:r>
    </w:p>
    <w:p w:rsidRPr="00B34407" w:rsidR="00122F04" w:rsidP="00122F04" w:rsidRDefault="00122F04" w14:paraId="706BFB16" w14:textId="77777777">
      <w:pPr>
        <w:widowControl/>
        <w:autoSpaceDE/>
        <w:autoSpaceDN/>
        <w:adjustRightInd/>
        <w:ind w:left="720"/>
        <w:rPr>
          <w:rFonts w:eastAsia="Calibri"/>
        </w:rPr>
      </w:pPr>
    </w:p>
    <w:p w:rsidRPr="00F828E4" w:rsidR="00122F04" w:rsidP="00623633" w:rsidRDefault="00122F04" w14:paraId="1E0E56F3" w14:textId="218B9F0C">
      <w:pPr>
        <w:widowControl/>
        <w:numPr>
          <w:ilvl w:val="0"/>
          <w:numId w:val="33"/>
        </w:numPr>
        <w:autoSpaceDE/>
        <w:autoSpaceDN/>
        <w:adjustRightInd/>
        <w:contextualSpacing/>
        <w:rPr>
          <w:rFonts w:eastAsia="Calibri"/>
        </w:rPr>
      </w:pPr>
      <w:r w:rsidRPr="00F828E4">
        <w:rPr>
          <w:rFonts w:eastAsia="Calibri"/>
        </w:rPr>
        <w:t>by declaring all Bonds due and payable, and, if all defaults are cured, then, with the written consent of the holders of not less than 25% in principal amount of the outstanding Bonds, by annulling such declaration and its consequences; or</w:t>
      </w:r>
    </w:p>
    <w:p w:rsidRPr="00B34407" w:rsidR="00122F04" w:rsidP="00122F04" w:rsidRDefault="00122F04" w14:paraId="272A6C8A" w14:textId="77777777">
      <w:pPr>
        <w:widowControl/>
        <w:autoSpaceDE/>
        <w:autoSpaceDN/>
        <w:adjustRightInd/>
        <w:ind w:left="720"/>
        <w:rPr>
          <w:rFonts w:eastAsia="Calibri"/>
        </w:rPr>
      </w:pPr>
    </w:p>
    <w:p w:rsidRPr="00F828E4" w:rsidR="00122F04" w:rsidP="00623633" w:rsidRDefault="00122F04" w14:paraId="136FBBEC" w14:textId="007AEFDC">
      <w:pPr>
        <w:widowControl/>
        <w:numPr>
          <w:ilvl w:val="0"/>
          <w:numId w:val="33"/>
        </w:numPr>
        <w:autoSpaceDE/>
        <w:autoSpaceDN/>
        <w:adjustRightInd/>
        <w:contextualSpacing/>
        <w:rPr>
          <w:rFonts w:eastAsia="Calibri"/>
        </w:rPr>
      </w:pPr>
      <w:bookmarkStart w:name="ElPgBr80" w:id="938"/>
      <w:bookmarkEnd w:id="938"/>
      <w:r w:rsidRPr="00F828E4">
        <w:rPr>
          <w:rFonts w:eastAsia="Calibri"/>
        </w:rPr>
        <w:lastRenderedPageBreak/>
        <w:t>in the event that all outstanding Bonds are declared due and payable, by selling the Mortgage Certificates and, to the extent permitted by the Indenture, any Investment Securities securing such Bonds.</w:t>
      </w:r>
    </w:p>
    <w:p w:rsidRPr="00B34407" w:rsidR="00122F04" w:rsidP="00122F04" w:rsidRDefault="00122F04" w14:paraId="4088FBCA" w14:textId="77777777">
      <w:pPr>
        <w:widowControl/>
        <w:autoSpaceDE/>
        <w:autoSpaceDN/>
        <w:adjustRightInd/>
        <w:rPr>
          <w:rFonts w:eastAsia="Calibri"/>
        </w:rPr>
      </w:pPr>
    </w:p>
    <w:p w:rsidRPr="00B34407" w:rsidR="00122F04" w:rsidP="00F828E4" w:rsidRDefault="00122F04" w14:paraId="623050EB" w14:textId="77777777">
      <w:pPr>
        <w:pStyle w:val="BodyTextFirstIndent"/>
        <w:rPr>
          <w:rFonts w:eastAsia="Calibri"/>
        </w:rPr>
      </w:pPr>
      <w:r w:rsidRPr="00B34407">
        <w:rPr>
          <w:rFonts w:eastAsia="Calibri"/>
        </w:rPr>
        <w:t>If, upon the happening and continuance of any Event of Default, the funds held by the Trustee and Paying Agent are insufficient for the payment of the principal or redemption price, if any, and interest then due on the Bonds, such funds (other than funds held for the payment or redemption of particular Bonds which have theretofore become due at maturity or by call for redemption) and any other amounts received or collected by the Trustee, after making provision for the payment of expenses necessary in the opinion of the Trustee to protect the interest of the holders of the Bonds and for the payment of charges and expenses and liabilities incurred and advances made by the Trustee or the Paying Agent in the performance of their respective duties under the Indenture, will be applied as follows:</w:t>
      </w:r>
    </w:p>
    <w:p w:rsidRPr="00F828E4" w:rsidR="00122F04" w:rsidP="00623633" w:rsidRDefault="00122F04" w14:paraId="19F19217" w14:textId="77C29775">
      <w:pPr>
        <w:widowControl/>
        <w:numPr>
          <w:ilvl w:val="0"/>
          <w:numId w:val="34"/>
        </w:numPr>
        <w:autoSpaceDE/>
        <w:autoSpaceDN/>
        <w:adjustRightInd/>
        <w:contextualSpacing/>
        <w:rPr>
          <w:rFonts w:eastAsia="Calibri"/>
        </w:rPr>
      </w:pPr>
      <w:r w:rsidRPr="00F828E4">
        <w:rPr>
          <w:rFonts w:eastAsia="Calibri"/>
        </w:rPr>
        <w:t>Unless the principal of all of the Bonds has become or been declared due and payable:</w:t>
      </w:r>
    </w:p>
    <w:p w:rsidRPr="00B34407" w:rsidR="00122F04" w:rsidP="00122F04" w:rsidRDefault="00122F04" w14:paraId="637E4363" w14:textId="77777777">
      <w:pPr>
        <w:widowControl/>
        <w:autoSpaceDE/>
        <w:autoSpaceDN/>
        <w:adjustRightInd/>
        <w:rPr>
          <w:rFonts w:eastAsia="Calibri"/>
        </w:rPr>
      </w:pPr>
    </w:p>
    <w:p w:rsidRPr="00B34407" w:rsidR="00122F04" w:rsidP="00F828E4" w:rsidRDefault="00122F04" w14:paraId="7DEC0E4B" w14:textId="77777777">
      <w:pPr>
        <w:pStyle w:val="BodyTextFirstIndent"/>
        <w:rPr>
          <w:rFonts w:eastAsia="Calibri"/>
        </w:rPr>
      </w:pPr>
      <w:r w:rsidRPr="00B34407">
        <w:rPr>
          <w:rFonts w:eastAsia="Calibri"/>
        </w:rPr>
        <w:t>First: to the payment to the persons entitled thereto of all installments of interest then due in the order of the maturity thereof, and, if the amounts available are not sufficient to pay in full any installment, then to the payment thereof ratably, according to the amounts due on such installment, to the persons entitled thereto, without any discrimination or preference; and</w:t>
      </w:r>
    </w:p>
    <w:p w:rsidRPr="00B34407" w:rsidR="00122F04" w:rsidP="00F828E4" w:rsidRDefault="00122F04" w14:paraId="225F57D6" w14:textId="77777777">
      <w:pPr>
        <w:pStyle w:val="BodyTextFirstIndent"/>
        <w:rPr>
          <w:rFonts w:eastAsia="Calibri"/>
        </w:rPr>
      </w:pPr>
      <w:r w:rsidRPr="00B34407">
        <w:rPr>
          <w:rFonts w:eastAsia="Calibri"/>
        </w:rPr>
        <w:t>Second: to the payment to the persons entitled thereto of the unpaid principal or redemption price of any Bonds which have become due, whether at maturity or by call for redemption, in the order of their due dates and, if the amounts available are not sufficient to pay in full all the Bonds due on any date, then to the payment thereof ratably, according to the amounts of principal or redemption price, if any, due on such date, to the persons entitled thereto, without any discrimination or preference.</w:t>
      </w:r>
    </w:p>
    <w:p w:rsidRPr="00F828E4" w:rsidR="00122F04" w:rsidP="00623633" w:rsidRDefault="00122F04" w14:paraId="026C4CC5" w14:textId="4F817A4F">
      <w:pPr>
        <w:widowControl/>
        <w:numPr>
          <w:ilvl w:val="0"/>
          <w:numId w:val="34"/>
        </w:numPr>
        <w:autoSpaceDE/>
        <w:autoSpaceDN/>
        <w:adjustRightInd/>
        <w:contextualSpacing/>
        <w:rPr>
          <w:rFonts w:eastAsia="Calibri"/>
        </w:rPr>
      </w:pPr>
      <w:r w:rsidRPr="00F828E4">
        <w:rPr>
          <w:rFonts w:eastAsia="Calibri"/>
        </w:rPr>
        <w:t>If the principal of all of the Bonds has become or been declared due and payable, to the payment of the principal and interest then due and unpaid upon the Bonds without preference or priority of the principal over interest or of interest over principal, or of any installment of interest over any other installment of interest, or of any Bond over any other Bond, ratably, according to the amounts due respectively for principal and interest, to the persons entitled thereto without any discrimination or preference except as to any difference in the respective rates of interest specified in the Bonds.</w:t>
      </w:r>
    </w:p>
    <w:p w:rsidRPr="00B34407" w:rsidR="00122F04" w:rsidP="00122F04" w:rsidRDefault="00122F04" w14:paraId="0FC9D08D" w14:textId="77777777">
      <w:pPr>
        <w:widowControl/>
        <w:autoSpaceDE/>
        <w:autoSpaceDN/>
        <w:adjustRightInd/>
        <w:rPr>
          <w:rFonts w:eastAsia="Calibri"/>
        </w:rPr>
      </w:pPr>
    </w:p>
    <w:p w:rsidRPr="00B34407" w:rsidR="00122F04" w:rsidP="00F828E4" w:rsidRDefault="00122F04" w14:paraId="4C52606E" w14:textId="77777777">
      <w:pPr>
        <w:pStyle w:val="abodytextbold"/>
        <w:rPr>
          <w:rFonts w:eastAsia="Calibri"/>
        </w:rPr>
      </w:pPr>
      <w:r w:rsidRPr="00B34407">
        <w:rPr>
          <w:rFonts w:eastAsia="Calibri"/>
        </w:rPr>
        <w:t>Limitation on Rights of Bondholders</w:t>
      </w:r>
    </w:p>
    <w:p w:rsidRPr="00B34407" w:rsidR="00122F04" w:rsidP="00F828E4" w:rsidRDefault="00122F04" w14:paraId="2D2FA8F3" w14:textId="423867E4">
      <w:pPr>
        <w:pStyle w:val="BodyTextFirstIndent"/>
        <w:rPr>
          <w:rFonts w:eastAsia="Calibri"/>
        </w:rPr>
      </w:pPr>
      <w:r w:rsidRPr="00B34407">
        <w:rPr>
          <w:rFonts w:eastAsia="Calibri"/>
        </w:rPr>
        <w:t xml:space="preserve">No holder of any Bond may institute any suit, action, mandamus or other proceeding in equity or at law under the Indenture, or for the protection or enforcement of any right under the Indenture, unless such holder has given to the Trustee written notice of the Event of Default or breach of duty on account of which such suit, action or proceeding is to be taken, and unless the holders of not less than 25% in principal amount of the Bonds then outstanding have made written request of the Trustee after the right to exercise such powers or right of action, as the case may be, has occurred, and have afforded the Trustee a reasonable opportunity either to proceed to exercise the powers granted to it under the Indenture or the law or to institute such action, suit or proceedings in its name and unless, also, there has been offered to the Trustee reasonable security and indemnity against costs, expenses and liabilities to be incurred therein and thereby, and the Trustee has refused or neglected to comply with such request within a reasonable time. </w:t>
      </w:r>
      <w:r w:rsidR="00D2194E">
        <w:rPr>
          <w:rFonts w:eastAsia="Calibri"/>
        </w:rPr>
        <w:t xml:space="preserve"> </w:t>
      </w:r>
      <w:r w:rsidRPr="00B34407">
        <w:rPr>
          <w:rFonts w:eastAsia="Calibri"/>
        </w:rPr>
        <w:t>No provision in the Indenture with respect to defaults and remedies affects or impairs the right of any Bondholder to enforce the payment of the principal of and interest on his Bonds or the obligation of the Authority to pay the principal of and interest on each Bond issued under the Indenture to the holder thereof at the time and place in said Bond expressed.</w:t>
      </w:r>
    </w:p>
    <w:p w:rsidRPr="00B34407" w:rsidR="00122F04" w:rsidP="00F828E4" w:rsidRDefault="00122F04" w14:paraId="48B0C40D" w14:textId="77777777">
      <w:pPr>
        <w:pStyle w:val="abodytextbold"/>
        <w:rPr>
          <w:rFonts w:eastAsia="Calibri"/>
        </w:rPr>
      </w:pPr>
      <w:r w:rsidRPr="00B34407">
        <w:rPr>
          <w:rFonts w:eastAsia="Calibri"/>
        </w:rPr>
        <w:t>Compensation of Trustee</w:t>
      </w:r>
    </w:p>
    <w:p w:rsidRPr="00B34407" w:rsidR="00122F04" w:rsidP="00F828E4" w:rsidRDefault="00122F04" w14:paraId="71B2C132" w14:textId="77777777">
      <w:pPr>
        <w:pStyle w:val="BodyTextFirstIndent"/>
        <w:rPr>
          <w:rFonts w:eastAsia="Calibri"/>
        </w:rPr>
      </w:pPr>
      <w:r w:rsidRPr="00B34407">
        <w:rPr>
          <w:rFonts w:eastAsia="Calibri"/>
        </w:rPr>
        <w:t>The Authority will pay to each Fiduciary from time to time reasonable compensation for all services rendered under the Indenture, and also all reasonable expenses, charges, counsel fees and other disbursements, including those of their attorneys, agents and employees, incurred in and about the performance of their powers and duties under the Indenture, and each Fiduciary has a lien therefor on any and all funds at any time held by it under the Indenture.</w:t>
      </w:r>
    </w:p>
    <w:p w:rsidRPr="00B34407" w:rsidR="00122F04" w:rsidP="00F828E4" w:rsidRDefault="00122F04" w14:paraId="392B5611" w14:textId="77777777">
      <w:pPr>
        <w:pStyle w:val="abodytextbold"/>
        <w:rPr>
          <w:rFonts w:eastAsia="Calibri"/>
        </w:rPr>
      </w:pPr>
      <w:bookmarkStart w:name="ElPgBr81" w:id="939"/>
      <w:bookmarkEnd w:id="939"/>
      <w:r w:rsidRPr="00B34407">
        <w:rPr>
          <w:rFonts w:eastAsia="Calibri"/>
        </w:rPr>
        <w:lastRenderedPageBreak/>
        <w:t>Removal of Trustee</w:t>
      </w:r>
    </w:p>
    <w:p w:rsidRPr="00B34407" w:rsidR="00122F04" w:rsidP="00F828E4" w:rsidRDefault="00122F04" w14:paraId="42039982" w14:textId="31B93BA3">
      <w:pPr>
        <w:pStyle w:val="BodyTextFirstIndent"/>
        <w:rPr>
          <w:rFonts w:eastAsia="Calibri"/>
        </w:rPr>
      </w:pPr>
      <w:r w:rsidRPr="00B34407">
        <w:rPr>
          <w:rFonts w:eastAsia="Calibri"/>
        </w:rPr>
        <w:t>The Trustee will be removed by the Authority if at any time upon thirty (30) days</w:t>
      </w:r>
      <w:r w:rsidR="00C34AEA">
        <w:rPr>
          <w:rFonts w:eastAsia="Calibri"/>
        </w:rPr>
        <w:t>’</w:t>
      </w:r>
      <w:r w:rsidRPr="00B34407">
        <w:rPr>
          <w:rFonts w:eastAsia="Calibri"/>
        </w:rPr>
        <w:t xml:space="preserve"> notice so requested by the holders of a majority in principal amount of the Bonds then outstanding, excluding any Bonds held by or for the account of the Authority. </w:t>
      </w:r>
      <w:r w:rsidR="002E625A">
        <w:rPr>
          <w:rFonts w:eastAsia="Calibri"/>
        </w:rPr>
        <w:t xml:space="preserve"> </w:t>
      </w:r>
      <w:r w:rsidRPr="00B34407">
        <w:rPr>
          <w:rFonts w:eastAsia="Calibri"/>
        </w:rPr>
        <w:t xml:space="preserve">The Authority may remove the Trustee at any time, except during the existence of an Event of Default, for such cause as the Authority may determine in its sole discretion. </w:t>
      </w:r>
      <w:r w:rsidR="002E625A">
        <w:rPr>
          <w:rFonts w:eastAsia="Calibri"/>
        </w:rPr>
        <w:t xml:space="preserve"> </w:t>
      </w:r>
      <w:r w:rsidRPr="00B34407">
        <w:rPr>
          <w:rFonts w:eastAsia="Calibri"/>
        </w:rPr>
        <w:t xml:space="preserve">In either such event, the Authority will appoint a successor Trustee. </w:t>
      </w:r>
      <w:r w:rsidR="002E625A">
        <w:rPr>
          <w:rFonts w:eastAsia="Calibri"/>
        </w:rPr>
        <w:t xml:space="preserve"> </w:t>
      </w:r>
      <w:r w:rsidRPr="00B34407">
        <w:rPr>
          <w:rFonts w:eastAsia="Calibri"/>
        </w:rPr>
        <w:t>Any such successor Trustee must be a trust company or bank having the powers of a trust company and having capital, surplus and undivided profits of at least $50,000,000 if there be such an institution willing, authorized and able to so act.</w:t>
      </w:r>
    </w:p>
    <w:p w:rsidRPr="00B34407" w:rsidR="00122F04" w:rsidP="00F828E4" w:rsidRDefault="00122F04" w14:paraId="65A4A650" w14:textId="77777777">
      <w:pPr>
        <w:pStyle w:val="abodytextbold"/>
        <w:rPr>
          <w:rFonts w:eastAsia="Calibri"/>
        </w:rPr>
      </w:pPr>
      <w:r w:rsidRPr="00B34407">
        <w:rPr>
          <w:rFonts w:eastAsia="Calibri"/>
        </w:rPr>
        <w:t>Powers of Amendment</w:t>
      </w:r>
    </w:p>
    <w:p w:rsidRPr="00B34407" w:rsidR="00122F04" w:rsidP="00F828E4" w:rsidRDefault="00122F04" w14:paraId="5BDE6BCB" w14:textId="77777777">
      <w:pPr>
        <w:pStyle w:val="BodyTextFirstIndent"/>
        <w:rPr>
          <w:rFonts w:eastAsia="Calibri"/>
        </w:rPr>
      </w:pPr>
      <w:r w:rsidRPr="00B34407">
        <w:rPr>
          <w:rFonts w:eastAsia="Calibri"/>
        </w:rPr>
        <w:t>The Indenture permits the Authority to enter into Supplemental Indentures, without the consent of any Bondholder, in order:</w:t>
      </w:r>
    </w:p>
    <w:p w:rsidRPr="00F828E4" w:rsidR="00122F04" w:rsidP="00623633" w:rsidRDefault="00122F04" w14:paraId="2DF0001E" w14:textId="782E48AA">
      <w:pPr>
        <w:widowControl/>
        <w:numPr>
          <w:ilvl w:val="0"/>
          <w:numId w:val="35"/>
        </w:numPr>
        <w:autoSpaceDE/>
        <w:autoSpaceDN/>
        <w:adjustRightInd/>
        <w:contextualSpacing/>
        <w:rPr>
          <w:rFonts w:eastAsia="Calibri"/>
        </w:rPr>
      </w:pPr>
      <w:r w:rsidRPr="00F828E4">
        <w:rPr>
          <w:rFonts w:eastAsia="Calibri"/>
        </w:rPr>
        <w:t>to close the Indenture against, or provide additional limitations and restrictions on, the authentication and delivery of Bonds or the issuance of other evidences of indebtedness;</w:t>
      </w:r>
    </w:p>
    <w:p w:rsidRPr="00B34407" w:rsidR="00122F04" w:rsidP="00122F04" w:rsidRDefault="00122F04" w14:paraId="6B4139CA" w14:textId="77777777">
      <w:pPr>
        <w:widowControl/>
        <w:autoSpaceDE/>
        <w:autoSpaceDN/>
        <w:adjustRightInd/>
        <w:ind w:left="720"/>
        <w:rPr>
          <w:rFonts w:eastAsia="Calibri"/>
        </w:rPr>
      </w:pPr>
    </w:p>
    <w:p w:rsidRPr="00F828E4" w:rsidR="00122F04" w:rsidP="00623633" w:rsidRDefault="00122F04" w14:paraId="4910ED80" w14:textId="65FFAD80">
      <w:pPr>
        <w:widowControl/>
        <w:numPr>
          <w:ilvl w:val="0"/>
          <w:numId w:val="35"/>
        </w:numPr>
        <w:autoSpaceDE/>
        <w:autoSpaceDN/>
        <w:adjustRightInd/>
        <w:contextualSpacing/>
        <w:rPr>
          <w:rFonts w:eastAsia="Calibri"/>
        </w:rPr>
      </w:pPr>
      <w:r w:rsidRPr="00F828E4">
        <w:rPr>
          <w:rFonts w:eastAsia="Calibri"/>
        </w:rPr>
        <w:t>to add covenants, agreements, limitations or restrictions to be observed by the Authority which are not contrary to or inconsistent with the Indenture as then in effect;</w:t>
      </w:r>
    </w:p>
    <w:p w:rsidRPr="00B34407" w:rsidR="00122F04" w:rsidP="00122F04" w:rsidRDefault="00122F04" w14:paraId="29741B6C" w14:textId="77777777">
      <w:pPr>
        <w:widowControl/>
        <w:autoSpaceDE/>
        <w:autoSpaceDN/>
        <w:adjustRightInd/>
        <w:ind w:left="720"/>
        <w:rPr>
          <w:rFonts w:eastAsia="Calibri"/>
        </w:rPr>
      </w:pPr>
    </w:p>
    <w:p w:rsidRPr="00F828E4" w:rsidR="00122F04" w:rsidP="00623633" w:rsidRDefault="00122F04" w14:paraId="29CE47D2" w14:textId="520BDDAD">
      <w:pPr>
        <w:widowControl/>
        <w:numPr>
          <w:ilvl w:val="0"/>
          <w:numId w:val="35"/>
        </w:numPr>
        <w:autoSpaceDE/>
        <w:autoSpaceDN/>
        <w:adjustRightInd/>
        <w:contextualSpacing/>
        <w:rPr>
          <w:rFonts w:eastAsia="Calibri"/>
        </w:rPr>
      </w:pPr>
      <w:r w:rsidRPr="00F828E4">
        <w:rPr>
          <w:rFonts w:eastAsia="Calibri"/>
        </w:rPr>
        <w:t>to surrender any right, power or privilege reserved to or conferred upon the Authority by the terms of the Indenture, but only if the surrender of such right, power or privilege is not contrary to or inconsistent with the covenants and agreements of the Authority contained in the Indenture;</w:t>
      </w:r>
    </w:p>
    <w:p w:rsidRPr="00B34407" w:rsidR="00122F04" w:rsidP="00122F04" w:rsidRDefault="00122F04" w14:paraId="69A61A47" w14:textId="77777777">
      <w:pPr>
        <w:widowControl/>
        <w:autoSpaceDE/>
        <w:autoSpaceDN/>
        <w:adjustRightInd/>
        <w:ind w:left="720"/>
        <w:rPr>
          <w:rFonts w:eastAsia="Calibri"/>
        </w:rPr>
      </w:pPr>
    </w:p>
    <w:p w:rsidR="00122F04" w:rsidP="00623633" w:rsidRDefault="00122F04" w14:paraId="3E0CAD8A" w14:textId="2EB1792D">
      <w:pPr>
        <w:widowControl/>
        <w:numPr>
          <w:ilvl w:val="0"/>
          <w:numId w:val="35"/>
        </w:numPr>
        <w:autoSpaceDE/>
        <w:autoSpaceDN/>
        <w:adjustRightInd/>
        <w:contextualSpacing/>
        <w:rPr>
          <w:rFonts w:eastAsia="Calibri"/>
        </w:rPr>
      </w:pPr>
      <w:r w:rsidRPr="00F828E4">
        <w:rPr>
          <w:rFonts w:eastAsia="Calibri"/>
        </w:rPr>
        <w:t>to confirm, as further assurance, any pledge under, and the subjection to any lien or pledge created by, the Indenture, of the Revenues or of any other revenues or assets;</w:t>
      </w:r>
    </w:p>
    <w:p w:rsidRPr="00F828E4" w:rsidR="00F828E4" w:rsidP="00F828E4" w:rsidRDefault="00F828E4" w14:paraId="69829008" w14:textId="77777777">
      <w:pPr>
        <w:widowControl/>
        <w:autoSpaceDE/>
        <w:autoSpaceDN/>
        <w:adjustRightInd/>
        <w:ind w:left="1440"/>
        <w:contextualSpacing/>
        <w:rPr>
          <w:rFonts w:eastAsia="Calibri"/>
        </w:rPr>
      </w:pPr>
    </w:p>
    <w:p w:rsidRPr="00F828E4" w:rsidR="00122F04" w:rsidP="00623633" w:rsidRDefault="00122F04" w14:paraId="17CEF9DB" w14:textId="09B30ACF">
      <w:pPr>
        <w:widowControl/>
        <w:numPr>
          <w:ilvl w:val="0"/>
          <w:numId w:val="35"/>
        </w:numPr>
        <w:autoSpaceDE/>
        <w:autoSpaceDN/>
        <w:adjustRightInd/>
        <w:contextualSpacing/>
        <w:rPr>
          <w:rFonts w:eastAsia="Calibri"/>
        </w:rPr>
      </w:pPr>
      <w:r w:rsidRPr="00F828E4">
        <w:rPr>
          <w:rFonts w:eastAsia="Calibri"/>
        </w:rPr>
        <w:t>to modify any of the provisions of the Indenture in any respect if such modification is effective after all Bonds outstanding at the time such modification is made are no longer outstanding;</w:t>
      </w:r>
    </w:p>
    <w:p w:rsidRPr="00B34407" w:rsidR="00122F04" w:rsidP="00122F04" w:rsidRDefault="00122F04" w14:paraId="7A53FE60" w14:textId="77777777">
      <w:pPr>
        <w:widowControl/>
        <w:autoSpaceDE/>
        <w:autoSpaceDN/>
        <w:adjustRightInd/>
        <w:ind w:left="720"/>
        <w:rPr>
          <w:rFonts w:eastAsia="Calibri"/>
        </w:rPr>
      </w:pPr>
    </w:p>
    <w:p w:rsidRPr="00F828E4" w:rsidR="00122F04" w:rsidP="00623633" w:rsidRDefault="00122F04" w14:paraId="1707809A" w14:textId="28BD49A5">
      <w:pPr>
        <w:widowControl/>
        <w:numPr>
          <w:ilvl w:val="0"/>
          <w:numId w:val="35"/>
        </w:numPr>
        <w:autoSpaceDE/>
        <w:autoSpaceDN/>
        <w:adjustRightInd/>
        <w:contextualSpacing/>
        <w:rPr>
          <w:rFonts w:eastAsia="Calibri"/>
        </w:rPr>
      </w:pPr>
      <w:r w:rsidRPr="00F828E4">
        <w:rPr>
          <w:rFonts w:eastAsia="Calibri"/>
        </w:rPr>
        <w:t>to authorize the issuance of Bonds of a series and, in connection therewith, to specify and determine all matters concerning the issuance of such Bonds which are not inconsistent with the Indenture; or</w:t>
      </w:r>
    </w:p>
    <w:p w:rsidRPr="00B34407" w:rsidR="00122F04" w:rsidP="00122F04" w:rsidRDefault="00122F04" w14:paraId="15DD518B" w14:textId="77777777">
      <w:pPr>
        <w:widowControl/>
        <w:autoSpaceDE/>
        <w:autoSpaceDN/>
        <w:adjustRightInd/>
        <w:ind w:left="720"/>
        <w:rPr>
          <w:rFonts w:eastAsia="Calibri"/>
        </w:rPr>
      </w:pPr>
    </w:p>
    <w:p w:rsidRPr="00F828E4" w:rsidR="00122F04" w:rsidP="00623633" w:rsidRDefault="00122F04" w14:paraId="6E74AC34" w14:textId="6F33D59D">
      <w:pPr>
        <w:widowControl/>
        <w:numPr>
          <w:ilvl w:val="0"/>
          <w:numId w:val="35"/>
        </w:numPr>
        <w:autoSpaceDE/>
        <w:autoSpaceDN/>
        <w:adjustRightInd/>
        <w:contextualSpacing/>
        <w:rPr>
          <w:rFonts w:eastAsia="Calibri"/>
        </w:rPr>
      </w:pPr>
      <w:r w:rsidRPr="00F828E4">
        <w:rPr>
          <w:rFonts w:eastAsia="Calibri"/>
        </w:rPr>
        <w:t>to amend the Indenture in any manner provided that the Authority shall first deliver to the Trustee a Certificate of the Authority to the effect that such amendment, in the judgment of the Authority, does not adversely affect the rating assigned to the Bonds by each Rating Agency then rating the Bonds.</w:t>
      </w:r>
    </w:p>
    <w:p w:rsidRPr="00B34407" w:rsidR="00122F04" w:rsidP="00122F04" w:rsidRDefault="00122F04" w14:paraId="0CFF4885" w14:textId="77777777">
      <w:pPr>
        <w:widowControl/>
        <w:autoSpaceDE/>
        <w:autoSpaceDN/>
        <w:adjustRightInd/>
        <w:rPr>
          <w:rFonts w:eastAsia="Calibri"/>
        </w:rPr>
      </w:pPr>
    </w:p>
    <w:p w:rsidRPr="00B34407" w:rsidR="00122F04" w:rsidP="00F828E4" w:rsidRDefault="00122F04" w14:paraId="388DD316" w14:textId="77777777">
      <w:pPr>
        <w:pStyle w:val="BodyTextFirstIndent"/>
        <w:rPr>
          <w:rFonts w:eastAsia="Calibri"/>
        </w:rPr>
      </w:pPr>
      <w:r w:rsidRPr="00B34407">
        <w:rPr>
          <w:rFonts w:eastAsia="Calibri"/>
        </w:rPr>
        <w:t>The Indenture also permits the Authority to enter into Supplemental Indentures with the consent of the Trustee, but without the consent of any Bondholder, in order:</w:t>
      </w:r>
    </w:p>
    <w:p w:rsidRPr="00F828E4" w:rsidR="00122F04" w:rsidP="00623633" w:rsidRDefault="00122F04" w14:paraId="25E09DB6" w14:textId="1F672050">
      <w:pPr>
        <w:widowControl/>
        <w:numPr>
          <w:ilvl w:val="0"/>
          <w:numId w:val="38"/>
        </w:numPr>
        <w:autoSpaceDE/>
        <w:autoSpaceDN/>
        <w:adjustRightInd/>
        <w:ind w:left="1440" w:hanging="720"/>
        <w:contextualSpacing/>
        <w:rPr>
          <w:rFonts w:eastAsia="Calibri"/>
        </w:rPr>
      </w:pPr>
      <w:r w:rsidRPr="00F828E4">
        <w:rPr>
          <w:rFonts w:eastAsia="Calibri"/>
        </w:rPr>
        <w:t>to cure any ambiguity, supply any omission, or cure or correct any defect or inconsistent provision in the Indenture;</w:t>
      </w:r>
    </w:p>
    <w:p w:rsidRPr="00B34407" w:rsidR="00122F04" w:rsidP="00F828E4" w:rsidRDefault="00122F04" w14:paraId="350F0C2F" w14:textId="77777777">
      <w:pPr>
        <w:widowControl/>
        <w:autoSpaceDE/>
        <w:autoSpaceDN/>
        <w:adjustRightInd/>
        <w:ind w:left="1440" w:hanging="720"/>
        <w:rPr>
          <w:rFonts w:eastAsia="Calibri"/>
        </w:rPr>
      </w:pPr>
    </w:p>
    <w:p w:rsidRPr="00F828E4" w:rsidR="00122F04" w:rsidP="00623633" w:rsidRDefault="00122F04" w14:paraId="1E24C03A" w14:textId="3F2FFD27">
      <w:pPr>
        <w:widowControl/>
        <w:numPr>
          <w:ilvl w:val="0"/>
          <w:numId w:val="38"/>
        </w:numPr>
        <w:autoSpaceDE/>
        <w:autoSpaceDN/>
        <w:adjustRightInd/>
        <w:ind w:left="1440" w:hanging="720"/>
        <w:contextualSpacing/>
        <w:rPr>
          <w:rFonts w:eastAsia="Calibri"/>
        </w:rPr>
      </w:pPr>
      <w:r w:rsidRPr="00F828E4">
        <w:rPr>
          <w:rFonts w:eastAsia="Calibri"/>
        </w:rPr>
        <w:t>to insert such provisions clarifying matters or questions arising under the Indenture as are necessary or desirable and are not contrary to or inconsistent with the Indenture as theretofore in effect;</w:t>
      </w:r>
    </w:p>
    <w:p w:rsidRPr="00B34407" w:rsidR="00122F04" w:rsidP="00F828E4" w:rsidRDefault="00122F04" w14:paraId="02EF2287" w14:textId="77777777">
      <w:pPr>
        <w:widowControl/>
        <w:autoSpaceDE/>
        <w:autoSpaceDN/>
        <w:adjustRightInd/>
        <w:ind w:left="1440" w:hanging="720"/>
        <w:rPr>
          <w:rFonts w:eastAsia="Calibri"/>
        </w:rPr>
      </w:pPr>
    </w:p>
    <w:p w:rsidRPr="00F828E4" w:rsidR="00122F04" w:rsidP="00623633" w:rsidRDefault="00122F04" w14:paraId="109A6FC1" w14:textId="5AB27C0A">
      <w:pPr>
        <w:widowControl/>
        <w:numPr>
          <w:ilvl w:val="0"/>
          <w:numId w:val="38"/>
        </w:numPr>
        <w:autoSpaceDE/>
        <w:autoSpaceDN/>
        <w:adjustRightInd/>
        <w:ind w:left="1440" w:hanging="720"/>
        <w:contextualSpacing/>
        <w:rPr>
          <w:rFonts w:eastAsia="Calibri"/>
        </w:rPr>
      </w:pPr>
      <w:r w:rsidRPr="00F828E4">
        <w:rPr>
          <w:rFonts w:eastAsia="Calibri"/>
        </w:rPr>
        <w:t>to provide for additional duties of the Trustee in connection with the Mortgage Loans; or</w:t>
      </w:r>
    </w:p>
    <w:p w:rsidRPr="00B34407" w:rsidR="00122F04" w:rsidP="00F828E4" w:rsidRDefault="00122F04" w14:paraId="0FBDF3DE" w14:textId="77777777">
      <w:pPr>
        <w:widowControl/>
        <w:autoSpaceDE/>
        <w:autoSpaceDN/>
        <w:adjustRightInd/>
        <w:ind w:left="1440" w:hanging="720"/>
        <w:rPr>
          <w:rFonts w:eastAsia="Calibri"/>
        </w:rPr>
      </w:pPr>
    </w:p>
    <w:p w:rsidRPr="00F828E4" w:rsidR="00122F04" w:rsidP="00623633" w:rsidRDefault="00122F04" w14:paraId="32678893" w14:textId="0329BB3A">
      <w:pPr>
        <w:widowControl/>
        <w:numPr>
          <w:ilvl w:val="0"/>
          <w:numId w:val="38"/>
        </w:numPr>
        <w:autoSpaceDE/>
        <w:autoSpaceDN/>
        <w:adjustRightInd/>
        <w:ind w:left="1440" w:hanging="720"/>
        <w:contextualSpacing/>
        <w:rPr>
          <w:rFonts w:eastAsia="Calibri"/>
        </w:rPr>
      </w:pPr>
      <w:r w:rsidRPr="00F828E4">
        <w:rPr>
          <w:rFonts w:eastAsia="Calibri"/>
        </w:rPr>
        <w:t>to amend or modify the Indenture in any manner which in the reasonable opinion of the Trustee does not adversely affect in any material respect the security of the Bondholders.</w:t>
      </w:r>
    </w:p>
    <w:p w:rsidRPr="00B34407" w:rsidR="00122F04" w:rsidP="00122F04" w:rsidRDefault="00122F04" w14:paraId="48EF43FF" w14:textId="77777777">
      <w:pPr>
        <w:widowControl/>
        <w:autoSpaceDE/>
        <w:autoSpaceDN/>
        <w:adjustRightInd/>
        <w:rPr>
          <w:rFonts w:eastAsia="Calibri"/>
        </w:rPr>
      </w:pPr>
    </w:p>
    <w:p w:rsidRPr="00B34407" w:rsidR="00122F04" w:rsidP="00F828E4" w:rsidRDefault="00122F04" w14:paraId="1E106A40" w14:textId="77777777">
      <w:pPr>
        <w:pStyle w:val="BodyTextFirstIndent"/>
        <w:rPr>
          <w:rFonts w:eastAsia="Calibri"/>
        </w:rPr>
      </w:pPr>
      <w:r w:rsidRPr="00B34407">
        <w:rPr>
          <w:rFonts w:eastAsia="Calibri"/>
        </w:rPr>
        <w:t>Any modification of or amendment to the Indenture or of the rights and obligations of the Authority and of the holders of the Bonds may be made by a Supplemental Indenture, with the written consent of:</w:t>
      </w:r>
    </w:p>
    <w:p w:rsidRPr="00B34407" w:rsidR="00122F04" w:rsidP="00623633" w:rsidRDefault="00122F04" w14:paraId="134E2B9F" w14:textId="77777777">
      <w:pPr>
        <w:widowControl/>
        <w:numPr>
          <w:ilvl w:val="0"/>
          <w:numId w:val="36"/>
        </w:numPr>
        <w:autoSpaceDE/>
        <w:autoSpaceDN/>
        <w:adjustRightInd/>
        <w:ind w:left="1440" w:hanging="720"/>
        <w:contextualSpacing/>
        <w:rPr>
          <w:rFonts w:eastAsia="Calibri"/>
        </w:rPr>
      </w:pPr>
      <w:bookmarkStart w:name="ElPgBr82" w:id="940"/>
      <w:bookmarkEnd w:id="940"/>
      <w:r w:rsidRPr="00B34407">
        <w:rPr>
          <w:rFonts w:eastAsia="Calibri"/>
        </w:rPr>
        <w:lastRenderedPageBreak/>
        <w:t>the holders of at least a majority in principal amount of the outstanding Bonds;</w:t>
      </w:r>
    </w:p>
    <w:p w:rsidRPr="00B34407" w:rsidR="00122F04" w:rsidP="00F828E4" w:rsidRDefault="00122F04" w14:paraId="38EC28A3" w14:textId="77777777">
      <w:pPr>
        <w:widowControl/>
        <w:autoSpaceDE/>
        <w:autoSpaceDN/>
        <w:adjustRightInd/>
        <w:ind w:left="1440" w:hanging="720"/>
        <w:contextualSpacing/>
        <w:rPr>
          <w:rFonts w:eastAsia="Calibri"/>
        </w:rPr>
      </w:pPr>
    </w:p>
    <w:p w:rsidRPr="00F828E4" w:rsidR="00122F04" w:rsidP="00623633" w:rsidRDefault="00122F04" w14:paraId="60C9D845" w14:textId="0AEAE1C4">
      <w:pPr>
        <w:widowControl/>
        <w:numPr>
          <w:ilvl w:val="0"/>
          <w:numId w:val="36"/>
        </w:numPr>
        <w:autoSpaceDE/>
        <w:autoSpaceDN/>
        <w:adjustRightInd/>
        <w:ind w:left="1440" w:hanging="720"/>
        <w:contextualSpacing/>
        <w:rPr>
          <w:rFonts w:eastAsia="Calibri"/>
        </w:rPr>
      </w:pPr>
      <w:r w:rsidRPr="00F828E4">
        <w:rPr>
          <w:rFonts w:eastAsia="Calibri"/>
        </w:rPr>
        <w:t>in case less than all of the several series of Bonds are affected by the modification or amendment, the holders of at least a majority in principal amount of the outstanding Bonds of each series so affected; or</w:t>
      </w:r>
    </w:p>
    <w:p w:rsidRPr="00B34407" w:rsidR="00122F04" w:rsidP="00F828E4" w:rsidRDefault="00122F04" w14:paraId="3A7AA948" w14:textId="77777777">
      <w:pPr>
        <w:widowControl/>
        <w:autoSpaceDE/>
        <w:autoSpaceDN/>
        <w:adjustRightInd/>
        <w:ind w:left="1440" w:hanging="720"/>
        <w:rPr>
          <w:rFonts w:eastAsia="Calibri"/>
        </w:rPr>
      </w:pPr>
    </w:p>
    <w:p w:rsidRPr="00B34407" w:rsidR="00122F04" w:rsidP="00F828E4" w:rsidRDefault="00122F04" w14:paraId="0EBCFD4F" w14:textId="77777777">
      <w:pPr>
        <w:widowControl/>
        <w:autoSpaceDE/>
        <w:autoSpaceDN/>
        <w:adjustRightInd/>
        <w:ind w:left="1440" w:hanging="720"/>
        <w:rPr>
          <w:rFonts w:eastAsia="Calibri"/>
        </w:rPr>
      </w:pPr>
      <w:r w:rsidRPr="00B34407">
        <w:rPr>
          <w:rFonts w:eastAsia="Calibri"/>
        </w:rPr>
        <w:t>(iii)</w:t>
      </w:r>
      <w:r w:rsidRPr="00B34407">
        <w:rPr>
          <w:rFonts w:eastAsia="Calibri"/>
        </w:rPr>
        <w:tab/>
        <w:t xml:space="preserve"> in case the modification or amendment changes the terms of any sinking fund payment, the holders of at least a majority in principal amount of the outstanding Bonds of the particular series and maturity entitled to such sinking fund payment.</w:t>
      </w:r>
    </w:p>
    <w:p w:rsidRPr="00B34407" w:rsidR="00122F04" w:rsidP="00122F04" w:rsidRDefault="00122F04" w14:paraId="034E847D" w14:textId="77777777">
      <w:pPr>
        <w:widowControl/>
        <w:autoSpaceDE/>
        <w:autoSpaceDN/>
        <w:adjustRightInd/>
        <w:ind w:left="360"/>
        <w:rPr>
          <w:rFonts w:eastAsia="Calibri"/>
        </w:rPr>
      </w:pPr>
    </w:p>
    <w:p w:rsidRPr="00B34407" w:rsidR="00122F04" w:rsidP="00F828E4" w:rsidRDefault="007655B5" w14:paraId="2A91C0F4" w14:textId="5FE0E156">
      <w:pPr>
        <w:pStyle w:val="BodyTextFirstIndent"/>
        <w:rPr>
          <w:rFonts w:eastAsia="Calibri"/>
        </w:rPr>
      </w:pPr>
      <w:r w:rsidRPr="00B34407">
        <w:rPr>
          <w:rFonts w:eastAsia="Calibri"/>
        </w:rPr>
        <w:t xml:space="preserve">However, if any such modification or amendment will not take effect so long as any Bonds of any specified maturity remain outstanding, the consent of the holders of such Bonds is not required. </w:t>
      </w:r>
      <w:r>
        <w:rPr>
          <w:rFonts w:eastAsia="Calibri"/>
        </w:rPr>
        <w:t xml:space="preserve"> </w:t>
      </w:r>
      <w:r w:rsidRPr="00B34407">
        <w:rPr>
          <w:rFonts w:eastAsia="Calibri"/>
        </w:rPr>
        <w:t>No modification or amendment will permit a change in the terms of redemption or maturity of the principal of any outstanding Bond or of any installment of interest thereon or a reduction in the principal amount or the redemption price thereof or in the rate of interest thereon without the consent of the holder of such Bond</w:t>
      </w:r>
      <w:r>
        <w:rPr>
          <w:rFonts w:eastAsia="Calibri"/>
        </w:rPr>
        <w:t>,</w:t>
      </w:r>
      <w:r w:rsidRPr="00953EB5">
        <w:rPr>
          <w:rFonts w:eastAsia="Calibri"/>
        </w:rPr>
        <w:t xml:space="preserve"> </w:t>
      </w:r>
      <w:r w:rsidRPr="00FB6901">
        <w:rPr>
          <w:rFonts w:eastAsia="Calibri"/>
        </w:rPr>
        <w:t>nor shall any modification or amendment provide for a consent of less than all of the affected classes of Bonds with respect to any modification or amendment described in this sentence</w:t>
      </w:r>
      <w:r w:rsidRPr="00B34407">
        <w:rPr>
          <w:rFonts w:eastAsia="Calibri"/>
        </w:rPr>
        <w:t xml:space="preserve">. </w:t>
      </w:r>
      <w:r>
        <w:rPr>
          <w:rFonts w:eastAsia="Calibri"/>
        </w:rPr>
        <w:t xml:space="preserve"> </w:t>
      </w:r>
      <w:r w:rsidRPr="00B34407">
        <w:rPr>
          <w:rFonts w:eastAsia="Calibri"/>
        </w:rPr>
        <w:t>A series will be deemed</w:t>
      </w:r>
      <w:r>
        <w:rPr>
          <w:rFonts w:eastAsia="Calibri"/>
        </w:rPr>
        <w:t xml:space="preserve"> </w:t>
      </w:r>
      <w:r w:rsidRPr="00B34407">
        <w:rPr>
          <w:rFonts w:eastAsia="Calibri"/>
        </w:rPr>
        <w:t>to be affected by such a modification or amendment of the Indenture if the same adversely affects or diminishes the rights of the holders of Bonds of such series, as determined by the Trustee in its sole discretion.</w:t>
      </w:r>
    </w:p>
    <w:p w:rsidRPr="00B34407" w:rsidR="00122F04" w:rsidP="00F828E4" w:rsidRDefault="00122F04" w14:paraId="166F1FD8" w14:textId="0A037AEF">
      <w:pPr>
        <w:pStyle w:val="BodyTextFirstIndent"/>
        <w:rPr>
          <w:rFonts w:eastAsia="Calibri"/>
        </w:rPr>
      </w:pPr>
      <w:r w:rsidRPr="00B34407">
        <w:rPr>
          <w:rFonts w:eastAsia="Calibri"/>
        </w:rPr>
        <w:t xml:space="preserve">The terms and provisions of the Indenture and the rights and obligations of the Authority and of the holders of the Bonds may be modified or amended in any respect upon the entering into of a Supplemental Indenture and the consent of the holders of all the Bonds then outstanding, but no such modification or amendment may change or modify any of the rights or obligations of any Fiduciary without the written assent thereto of such Fiduciary. </w:t>
      </w:r>
      <w:r w:rsidR="002E625A">
        <w:rPr>
          <w:rFonts w:eastAsia="Calibri"/>
        </w:rPr>
        <w:t xml:space="preserve"> </w:t>
      </w:r>
      <w:r w:rsidRPr="00B34407">
        <w:rPr>
          <w:rFonts w:eastAsia="Calibri"/>
        </w:rPr>
        <w:t xml:space="preserve">In the event any modification or amendment to the Indenture affects a single series of Bonds or in case less than all of the several series of Bonds then outstanding are affected by the modification or amendment, the terms and provisions of the Indenture and the rights and obligations of the Authority and of the holders of such Bonds may be modified or amended in any respect upon the entering into of a Supplemental Indenture with the consent of the holders of the Bonds so affected. </w:t>
      </w:r>
      <w:r w:rsidR="002E625A">
        <w:rPr>
          <w:rFonts w:eastAsia="Calibri"/>
        </w:rPr>
        <w:t xml:space="preserve"> </w:t>
      </w:r>
      <w:r w:rsidRPr="00B34407">
        <w:rPr>
          <w:rFonts w:eastAsia="Calibri"/>
        </w:rPr>
        <w:t xml:space="preserve">If the series of Bonds so affected has not yet been issued, any such modification or amendment may be included in the Supplemental Indenture authorizing the issuance of such series of Bonds and the holders thereof, by purchasing such Bonds, will be deemed for all purposes to have consented thereto. </w:t>
      </w:r>
      <w:r w:rsidR="002E625A">
        <w:rPr>
          <w:rFonts w:eastAsia="Calibri"/>
        </w:rPr>
        <w:t xml:space="preserve"> </w:t>
      </w:r>
      <w:r w:rsidRPr="00B34407">
        <w:rPr>
          <w:rFonts w:eastAsia="Calibri"/>
        </w:rPr>
        <w:t xml:space="preserve">If the series of Bonds so affected is already outstanding, the consent of all holders of such series of Bonds must be given. </w:t>
      </w:r>
      <w:r w:rsidR="002E625A">
        <w:rPr>
          <w:rFonts w:eastAsia="Calibri"/>
        </w:rPr>
        <w:t xml:space="preserve"> </w:t>
      </w:r>
      <w:r w:rsidRPr="00B34407">
        <w:rPr>
          <w:rFonts w:eastAsia="Calibri"/>
        </w:rPr>
        <w:t>However, no modification or amendment which changes or modifies any of the rights or obligations of any Fiduciary may be made without the written assent thereto of such Fiduciary or, in the case of an amendment or modification made prior to or contemporaneously with the issuance of an affected series of Bonds, execution and delivery of the Supplemental Indenture effecting such change or modification.</w:t>
      </w:r>
    </w:p>
    <w:p w:rsidRPr="00B34407" w:rsidR="00122F04" w:rsidP="00F828E4" w:rsidRDefault="00122F04" w14:paraId="75FBB9C5" w14:textId="77777777">
      <w:pPr>
        <w:pStyle w:val="abodytextbold"/>
        <w:rPr>
          <w:rFonts w:eastAsia="Calibri"/>
        </w:rPr>
      </w:pPr>
      <w:r w:rsidRPr="00B34407">
        <w:rPr>
          <w:rFonts w:eastAsia="Calibri"/>
        </w:rPr>
        <w:t>Defeasance</w:t>
      </w:r>
    </w:p>
    <w:p w:rsidRPr="00B34407" w:rsidR="00122F04" w:rsidP="00F828E4" w:rsidRDefault="00122F04" w14:paraId="48100648" w14:textId="3AF5BAEF">
      <w:pPr>
        <w:pStyle w:val="BodyTextFirstIndent"/>
        <w:rPr>
          <w:rFonts w:eastAsia="Calibri"/>
        </w:rPr>
      </w:pPr>
      <w:r w:rsidRPr="00B34407">
        <w:rPr>
          <w:rFonts w:eastAsia="Calibri"/>
        </w:rPr>
        <w:t xml:space="preserve">If the Authority pays or causes to be paid to the holders of the Bonds the principal and interest and redemption price, if any, to become due thereon, at the times and in the manner stipulated therein and in the Indenture, then the pledge of any Revenues and other moneys, securities, funds and property thereby pledged and all other rights granted thereby will be discharged and satisfied. </w:t>
      </w:r>
      <w:r w:rsidR="002E625A">
        <w:rPr>
          <w:rFonts w:eastAsia="Calibri"/>
        </w:rPr>
        <w:t xml:space="preserve"> </w:t>
      </w:r>
      <w:r w:rsidRPr="00B34407">
        <w:rPr>
          <w:rFonts w:eastAsia="Calibri"/>
        </w:rPr>
        <w:t>All Bonds will, prior to their maturity or redemption date, be deemed to have been so paid if:</w:t>
      </w:r>
    </w:p>
    <w:p w:rsidRPr="00F828E4" w:rsidR="00122F04" w:rsidP="00623633" w:rsidRDefault="00122F04" w14:paraId="0773EA15" w14:textId="15E01262">
      <w:pPr>
        <w:widowControl/>
        <w:numPr>
          <w:ilvl w:val="0"/>
          <w:numId w:val="37"/>
        </w:numPr>
        <w:autoSpaceDE/>
        <w:autoSpaceDN/>
        <w:adjustRightInd/>
        <w:contextualSpacing/>
        <w:rPr>
          <w:rFonts w:eastAsia="Calibri"/>
        </w:rPr>
      </w:pPr>
      <w:r w:rsidRPr="00F828E4">
        <w:rPr>
          <w:rFonts w:eastAsia="Calibri"/>
        </w:rPr>
        <w:t>in case any of said Bonds are to be redeemed on any date prior to their maturity, the Authority has given to the Trustee irrevocable instructions to give notice of redemption on said date of such Bonds;</w:t>
      </w:r>
    </w:p>
    <w:p w:rsidRPr="00B34407" w:rsidR="00122F04" w:rsidP="00122F04" w:rsidRDefault="00122F04" w14:paraId="04E7D5B7" w14:textId="77777777">
      <w:pPr>
        <w:widowControl/>
        <w:autoSpaceDE/>
        <w:autoSpaceDN/>
        <w:adjustRightInd/>
        <w:ind w:left="720"/>
        <w:rPr>
          <w:rFonts w:eastAsia="Calibri"/>
        </w:rPr>
      </w:pPr>
    </w:p>
    <w:p w:rsidRPr="00F828E4" w:rsidR="00122F04" w:rsidP="00623633" w:rsidRDefault="00122F04" w14:paraId="58F9BBF2" w14:textId="4CC1572D">
      <w:pPr>
        <w:widowControl/>
        <w:numPr>
          <w:ilvl w:val="0"/>
          <w:numId w:val="37"/>
        </w:numPr>
        <w:autoSpaceDE/>
        <w:autoSpaceDN/>
        <w:adjustRightInd/>
        <w:contextualSpacing/>
        <w:rPr>
          <w:rFonts w:eastAsia="Calibri"/>
        </w:rPr>
      </w:pPr>
      <w:r w:rsidRPr="00F828E4">
        <w:rPr>
          <w:rFonts w:eastAsia="Calibri"/>
        </w:rPr>
        <w:t>there has been set aside and are held in trust by the Fiduciaries either moneys in an amount which is sufficient, or direct obligations of or obligations guaranteed by the United States of America, the principal of and the interest on which when due will provide moneys which, together with the moneys, if any, deposited with the Trustee at the same time, will be sufficient to pay when due the principal or redemption price, if any, of and interest due and to become due on said Bonds on and prior to the redemption date or maturity date thereof, as the case may be; and</w:t>
      </w:r>
    </w:p>
    <w:p w:rsidRPr="00B34407" w:rsidR="00122F04" w:rsidP="00122F04" w:rsidRDefault="00122F04" w14:paraId="7FAC0C86" w14:textId="77777777">
      <w:pPr>
        <w:widowControl/>
        <w:autoSpaceDE/>
        <w:autoSpaceDN/>
        <w:adjustRightInd/>
        <w:ind w:left="720"/>
        <w:rPr>
          <w:rFonts w:eastAsia="Calibri"/>
        </w:rPr>
      </w:pPr>
    </w:p>
    <w:p w:rsidRPr="00F828E4" w:rsidR="00122F04" w:rsidP="00623633" w:rsidRDefault="00122F04" w14:paraId="1780CFD1" w14:textId="7D92161E">
      <w:pPr>
        <w:widowControl/>
        <w:numPr>
          <w:ilvl w:val="0"/>
          <w:numId w:val="37"/>
        </w:numPr>
        <w:autoSpaceDE/>
        <w:autoSpaceDN/>
        <w:adjustRightInd/>
        <w:contextualSpacing/>
        <w:rPr>
          <w:rFonts w:eastAsia="Calibri"/>
        </w:rPr>
      </w:pPr>
      <w:bookmarkStart w:name="ElPgBr83" w:id="941"/>
      <w:bookmarkEnd w:id="941"/>
      <w:r w:rsidRPr="00F828E4">
        <w:rPr>
          <w:rFonts w:eastAsia="Calibri"/>
        </w:rPr>
        <w:lastRenderedPageBreak/>
        <w:t>in the event said Bonds are not by their terms subject to redemption within the next succeeding 60 days, the Authority has given the Trustee irrevocable instructions to mail, as soon as practicable a notice to the holders of such Bonds that the deposit required by clause (ii) above has been made with the Trustee and that said Bonds are deemed to have been paid and stating the maturity or redemption date upon which moneys are to be available for the payment of the principal or redemption price, if applicable, on said Bonds.</w:t>
      </w:r>
    </w:p>
    <w:p w:rsidRPr="00B34407" w:rsidR="00122F04" w:rsidP="00122F04" w:rsidRDefault="00122F04" w14:paraId="43B132A2" w14:textId="77777777">
      <w:pPr>
        <w:widowControl/>
        <w:autoSpaceDE/>
        <w:autoSpaceDN/>
        <w:adjustRightInd/>
        <w:rPr>
          <w:rFonts w:eastAsia="Calibri"/>
        </w:rPr>
      </w:pPr>
    </w:p>
    <w:p w:rsidRPr="00B34407" w:rsidR="00122F04" w:rsidP="00F828E4" w:rsidRDefault="00122F04" w14:paraId="7FF0430B" w14:textId="77777777">
      <w:pPr>
        <w:pStyle w:val="BodyTextFirstIndent"/>
        <w:rPr>
          <w:rFonts w:eastAsia="Calibri"/>
        </w:rPr>
      </w:pPr>
      <w:r w:rsidRPr="00B34407">
        <w:rPr>
          <w:rFonts w:eastAsia="Calibri"/>
        </w:rPr>
        <w:t>Neither the obligations or moneys so deposited with the Trustee nor principal or interest payments on any such obligations may be withdrawn or used for any purpose other than, and will be held in trust for, the payment of the principal or redemption price, if any, of and interest on said Bonds, but any cash received from principal or interest payments on such obligations so deposited with the Trustee, if not then needed for such purpose, will, to the extent practicable, be reinvested in direct obligations of or obligations guaranteed by the United States of America maturing at times and in amounts sufficient to pay when due the principal or redemption price, if any, of and interest to become due on said Bonds on and prior to such redemption date or maturity date thereof, as the case may be.</w:t>
      </w:r>
    </w:p>
    <w:p w:rsidRPr="00B34407" w:rsidR="00122F04" w:rsidP="00122F04" w:rsidRDefault="00122F04" w14:paraId="3F49072A" w14:textId="77777777">
      <w:pPr>
        <w:widowControl/>
        <w:autoSpaceDE/>
        <w:autoSpaceDN/>
        <w:adjustRightInd/>
        <w:rPr>
          <w:rFonts w:eastAsia="Calibri"/>
        </w:rPr>
      </w:pPr>
    </w:p>
    <w:p w:rsidRPr="00B34407" w:rsidR="00122F04" w:rsidP="00122F04" w:rsidRDefault="00122F04" w14:paraId="6FA4ADFF" w14:textId="77777777">
      <w:pPr>
        <w:widowControl/>
        <w:autoSpaceDE/>
        <w:autoSpaceDN/>
        <w:adjustRightInd/>
        <w:rPr>
          <w:rFonts w:eastAsia="Calibri"/>
          <w:sz w:val="24"/>
          <w:szCs w:val="22"/>
        </w:rPr>
      </w:pPr>
    </w:p>
    <w:p w:rsidRPr="00B34407" w:rsidR="00122F04" w:rsidP="00122F04" w:rsidRDefault="00122F04" w14:paraId="1BB40461" w14:textId="77777777">
      <w:pPr>
        <w:tabs>
          <w:tab w:val="left" w:pos="3139"/>
        </w:tabs>
      </w:pPr>
    </w:p>
    <w:p w:rsidRPr="00B34407" w:rsidR="00122F04" w:rsidP="00122F04" w:rsidRDefault="00122F04" w14:paraId="6418B0B6" w14:textId="77777777"/>
    <w:p w:rsidRPr="00B34407" w:rsidR="00B70C45" w:rsidP="00122F04" w:rsidRDefault="00B70C45" w14:paraId="22402E28" w14:textId="77777777">
      <w:pPr>
        <w:sectPr w:rsidRPr="00B34407" w:rsidR="00B70C45">
          <w:headerReference w:type="default" r:id="rId36"/>
          <w:footerReference w:type="default" r:id="rId37"/>
          <w:pgSz w:w="12240" w:h="15840"/>
          <w:pgMar w:top="1440" w:right="1440" w:bottom="1440" w:left="1440" w:header="720" w:footer="720" w:gutter="0"/>
          <w:pgNumType w:start="1"/>
          <w:cols w:space="720"/>
        </w:sectPr>
      </w:pPr>
    </w:p>
    <w:p w:rsidRPr="00B34407" w:rsidR="00AF72E5" w:rsidP="00AF72E5" w:rsidRDefault="00AF72E5" w14:paraId="1337678F" w14:textId="77777777">
      <w:pPr>
        <w:pStyle w:val="aBTRightJustified"/>
        <w:widowControl/>
      </w:pPr>
      <w:bookmarkStart w:name="_DV_M920" w:id="942"/>
      <w:bookmarkStart w:name="ElPgBr84" w:id="943"/>
      <w:bookmarkEnd w:id="942"/>
      <w:bookmarkEnd w:id="943"/>
      <w:r w:rsidRPr="00B34407">
        <w:lastRenderedPageBreak/>
        <w:t>APPENDIX E</w:t>
      </w:r>
    </w:p>
    <w:p w:rsidRPr="00B34407" w:rsidR="003114D4" w:rsidP="00F828E4" w:rsidRDefault="001537CE" w14:paraId="4F8CA72C" w14:textId="006BFC42">
      <w:pPr>
        <w:pStyle w:val="atitle"/>
      </w:pPr>
      <w:bookmarkStart w:name="_DV_M921" w:id="944"/>
      <w:bookmarkStart w:name="_Hlk522093145" w:id="945"/>
      <w:bookmarkEnd w:id="944"/>
      <w:r>
        <w:t>C</w:t>
      </w:r>
      <w:r w:rsidRPr="00B34407" w:rsidR="003114D4">
        <w:t>ONTINUING DISCLOSURE UNDERTAKING AGREEMENT</w:t>
      </w:r>
      <w:bookmarkStart w:name="_DV_M922" w:id="946"/>
      <w:bookmarkEnd w:id="946"/>
    </w:p>
    <w:p w:rsidRPr="00B34407" w:rsidR="001537CE" w:rsidP="001537CE" w:rsidRDefault="001537CE" w14:paraId="3869A5A3" w14:textId="3654F115">
      <w:pPr>
        <w:pStyle w:val="BodyTextFirstIndent"/>
      </w:pPr>
      <w:r w:rsidRPr="00B34407">
        <w:t xml:space="preserve">This UNDERTAKING AGREEMENT (the </w:t>
      </w:r>
      <w:r w:rsidR="00C34AEA">
        <w:t>“</w:t>
      </w:r>
      <w:r w:rsidRPr="00B34407">
        <w:t>Agreement</w:t>
      </w:r>
      <w:r w:rsidR="00C34AEA">
        <w:t>”</w:t>
      </w:r>
      <w:r w:rsidRPr="00B34407">
        <w:t xml:space="preserve">) is made as of </w:t>
      </w:r>
      <w:r w:rsidR="00BE0846">
        <w:t>th</w:t>
      </w:r>
      <w:r w:rsidR="00AF57A6">
        <w:t>is ___ day of ____________, 2024</w:t>
      </w:r>
      <w:r>
        <w:t>,</w:t>
      </w:r>
      <w:r w:rsidRPr="00B34407">
        <w:t xml:space="preserve"> by the Indiana Housing and Community Development Authority (the </w:t>
      </w:r>
      <w:r w:rsidR="00C34AEA">
        <w:t>“</w:t>
      </w:r>
      <w:r w:rsidRPr="00B34407">
        <w:t>Obligor</w:t>
      </w:r>
      <w:r w:rsidR="00C34AEA">
        <w:t>”</w:t>
      </w:r>
      <w:r w:rsidRPr="00B34407">
        <w:t>) for the purpose of permitting</w:t>
      </w:r>
      <w:r>
        <w:t xml:space="preserve"> </w:t>
      </w:r>
      <w:r w:rsidR="00016E57">
        <w:t>RBC Capital Markets, LLC</w:t>
      </w:r>
      <w:r w:rsidRPr="00B34407">
        <w:t xml:space="preserve">, as representative of the underwriters (the </w:t>
      </w:r>
      <w:r w:rsidR="00C34AEA">
        <w:t>“</w:t>
      </w:r>
      <w:r w:rsidRPr="00B34407">
        <w:t>Underwriters</w:t>
      </w:r>
      <w:r w:rsidR="00C34AEA">
        <w:t>”</w:t>
      </w:r>
      <w:r w:rsidRPr="00B34407">
        <w:t>) to purchase the Obligor</w:t>
      </w:r>
      <w:r w:rsidR="00C34AEA">
        <w:t>’</w:t>
      </w:r>
      <w:r w:rsidRPr="00B34407">
        <w:t xml:space="preserve">s Single Family Mortgage Revenue Bonds, </w:t>
      </w:r>
      <w:r w:rsidR="00C7294C">
        <w:t>2024 Series C</w:t>
      </w:r>
      <w:r w:rsidR="00E44FF5">
        <w:t>-1</w:t>
      </w:r>
      <w:r w:rsidRPr="00B34407">
        <w:t xml:space="preserve"> </w:t>
      </w:r>
      <w:r w:rsidR="00F019DD">
        <w:t>(Social Bonds)</w:t>
      </w:r>
      <w:r w:rsidR="00E44FF5">
        <w:t xml:space="preserve"> (Non-AMT)</w:t>
      </w:r>
      <w:r w:rsidR="00F019DD">
        <w:t xml:space="preserve"> </w:t>
      </w:r>
      <w:r w:rsidR="000451B1">
        <w:t xml:space="preserve">and </w:t>
      </w:r>
      <w:r w:rsidRPr="00B34407" w:rsidR="000451B1">
        <w:t xml:space="preserve">Single Family Mortgage Revenue Bonds, </w:t>
      </w:r>
      <w:r w:rsidR="00C7294C">
        <w:t>2024 Series C</w:t>
      </w:r>
      <w:r w:rsidR="00E44FF5">
        <w:t>-2</w:t>
      </w:r>
      <w:r w:rsidRPr="00B34407" w:rsidR="000451B1">
        <w:t xml:space="preserve"> </w:t>
      </w:r>
      <w:r w:rsidR="000451B1">
        <w:t>(Social Bonds) (Taxable)</w:t>
      </w:r>
      <w:r w:rsidRPr="00B34407" w:rsidR="000451B1">
        <w:t xml:space="preserve"> </w:t>
      </w:r>
      <w:r w:rsidRPr="00B34407">
        <w:t>(</w:t>
      </w:r>
      <w:r w:rsidR="000451B1">
        <w:t xml:space="preserve">collectively, </w:t>
      </w:r>
      <w:r w:rsidRPr="00B34407">
        <w:t xml:space="preserve">the </w:t>
      </w:r>
      <w:r w:rsidR="00C34AEA">
        <w:t>“</w:t>
      </w:r>
      <w:r w:rsidRPr="00B34407">
        <w:t>Bonds</w:t>
      </w:r>
      <w:r w:rsidR="00C34AEA">
        <w:t>”</w:t>
      </w:r>
      <w:r w:rsidRPr="00B34407">
        <w:t>).</w:t>
      </w:r>
    </w:p>
    <w:p w:rsidRPr="00B34407" w:rsidR="001537CE" w:rsidP="001537CE" w:rsidRDefault="001537CE" w14:paraId="48043116" w14:textId="05C5A735">
      <w:pPr>
        <w:widowControl/>
        <w:autoSpaceDE/>
        <w:autoSpaceDN/>
        <w:adjustRightInd/>
        <w:spacing w:after="240"/>
        <w:ind w:firstLine="720"/>
      </w:pPr>
      <w:r w:rsidRPr="00B34407">
        <w:t>Section 1.</w:t>
      </w:r>
      <w:r w:rsidRPr="00B34407">
        <w:tab/>
      </w:r>
      <w:r w:rsidRPr="00B34407">
        <w:rPr>
          <w:u w:val="single"/>
        </w:rPr>
        <w:t>Definitions</w:t>
      </w:r>
      <w:r w:rsidRPr="00B34407">
        <w:t>.  The words and terms defined in this Agreement shall have the meanings herein specified unless the context or use clearly indicates another or different meaning or intent.  Those words and terms not expressly defined herein and used herein with initial capitalization where rules of grammar do not otherwise require capitalization, shall have the meanings assigned to them in the Securities and Exchange Commission (</w:t>
      </w:r>
      <w:r w:rsidR="00C34AEA">
        <w:t>“</w:t>
      </w:r>
      <w:r w:rsidRPr="00B34407">
        <w:t>SEC</w:t>
      </w:r>
      <w:r w:rsidR="00C34AEA">
        <w:t>”</w:t>
      </w:r>
      <w:r w:rsidRPr="00B34407">
        <w:t xml:space="preserve">) Rule 15c2-12 (the </w:t>
      </w:r>
      <w:r w:rsidR="00C34AEA">
        <w:t>“</w:t>
      </w:r>
      <w:r w:rsidRPr="00B34407">
        <w:t>SEC Rule</w:t>
      </w:r>
      <w:r w:rsidR="00C34AEA">
        <w:t>”</w:t>
      </w:r>
      <w:r w:rsidRPr="00B34407">
        <w:t>).</w:t>
      </w:r>
    </w:p>
    <w:p w:rsidRPr="00B34407" w:rsidR="001537CE" w:rsidP="001537CE" w:rsidRDefault="00C34AEA" w14:paraId="63DBEEC9" w14:textId="0D427D5E">
      <w:pPr>
        <w:widowControl/>
        <w:numPr>
          <w:ilvl w:val="0"/>
          <w:numId w:val="27"/>
        </w:numPr>
        <w:autoSpaceDE/>
        <w:autoSpaceDN/>
        <w:adjustRightInd/>
        <w:spacing w:after="240"/>
      </w:pPr>
      <w:r>
        <w:t>“</w:t>
      </w:r>
      <w:r w:rsidRPr="00B34407" w:rsidR="001537CE">
        <w:t>Bondholder</w:t>
      </w:r>
      <w:r>
        <w:t>”</w:t>
      </w:r>
      <w:r w:rsidRPr="00B34407" w:rsidR="001537CE">
        <w:t xml:space="preserve"> or </w:t>
      </w:r>
      <w:r>
        <w:t>“</w:t>
      </w:r>
      <w:r w:rsidRPr="00B34407" w:rsidR="001537CE">
        <w:t>holder</w:t>
      </w:r>
      <w:r>
        <w:t>”</w:t>
      </w:r>
      <w:r w:rsidRPr="00B34407" w:rsidR="001537CE">
        <w:t xml:space="preserve"> or any similar term, when used with reference to a Bond or Bonds, means any person who shall be the registered owner of any outstanding Bond, including the holders of beneficial interests in the Bonds. </w:t>
      </w:r>
    </w:p>
    <w:p w:rsidRPr="00B34407" w:rsidR="001537CE" w:rsidP="001537CE" w:rsidRDefault="00C34AEA" w14:paraId="07646E0A" w14:textId="077B46B6">
      <w:pPr>
        <w:widowControl/>
        <w:numPr>
          <w:ilvl w:val="0"/>
          <w:numId w:val="27"/>
        </w:numPr>
        <w:autoSpaceDE/>
        <w:autoSpaceDN/>
        <w:adjustRightInd/>
        <w:spacing w:after="240"/>
      </w:pPr>
      <w:r>
        <w:t>“</w:t>
      </w:r>
      <w:r w:rsidRPr="00B34407" w:rsidR="001537CE">
        <w:t>EMMA</w:t>
      </w:r>
      <w:r>
        <w:t>”</w:t>
      </w:r>
      <w:r w:rsidRPr="00B34407" w:rsidR="001537CE">
        <w:t xml:space="preserve"> shall mean the Electronic Municipal Market Access of MSRB accessible at </w:t>
      </w:r>
      <w:hyperlink w:history="1" r:id="rId38">
        <w:r w:rsidRPr="00B34407" w:rsidR="001537CE">
          <w:rPr>
            <w:color w:val="0000FF"/>
            <w:u w:val="single"/>
          </w:rPr>
          <w:t>http://emma.msrb.org</w:t>
        </w:r>
      </w:hyperlink>
      <w:r w:rsidRPr="00B34407" w:rsidR="001537CE">
        <w:t xml:space="preserve"> or at such other information depository as may be designated by the SEC from time to time to receive final official statements, material event notices and annual financial information under the SEC Rule.</w:t>
      </w:r>
    </w:p>
    <w:p w:rsidRPr="00B34407" w:rsidR="001537CE" w:rsidP="001537CE" w:rsidRDefault="00C34AEA" w14:paraId="32DE2104" w14:textId="3D10C702">
      <w:pPr>
        <w:widowControl/>
        <w:numPr>
          <w:ilvl w:val="0"/>
          <w:numId w:val="27"/>
        </w:numPr>
        <w:autoSpaceDE/>
        <w:autoSpaceDN/>
        <w:adjustRightInd/>
        <w:spacing w:after="240"/>
        <w:ind w:left="1500" w:hanging="780"/>
      </w:pPr>
      <w:r>
        <w:t>“</w:t>
      </w:r>
      <w:r w:rsidRPr="00B34407" w:rsidR="001537CE">
        <w:t>Final Official Statement</w:t>
      </w:r>
      <w:r>
        <w:t>”</w:t>
      </w:r>
      <w:r w:rsidRPr="00B34407" w:rsidR="001537CE">
        <w:t xml:space="preserve"> means the Official Statement dated</w:t>
      </w:r>
      <w:r w:rsidR="00413DD9">
        <w:t xml:space="preserve"> July 24, </w:t>
      </w:r>
      <w:r w:rsidR="009C196A">
        <w:t>202</w:t>
      </w:r>
      <w:r w:rsidR="00AF57A6">
        <w:t>4</w:t>
      </w:r>
      <w:r w:rsidRPr="00B34407" w:rsidR="001537CE">
        <w:t>, relating to the Bonds, including any document or set of documents included therein by specific reference which is available to the public on EMMA.</w:t>
      </w:r>
    </w:p>
    <w:p w:rsidR="00433DD3" w:rsidP="001537CE" w:rsidRDefault="00433DD3" w14:paraId="6771A17F" w14:textId="5E5F8239">
      <w:pPr>
        <w:widowControl/>
        <w:autoSpaceDE/>
        <w:autoSpaceDN/>
        <w:adjustRightInd/>
        <w:spacing w:after="240"/>
        <w:ind w:left="1500" w:hanging="800"/>
      </w:pPr>
      <w:r>
        <w:t>(4)</w:t>
      </w:r>
      <w:r>
        <w:tab/>
      </w:r>
      <w:r w:rsidR="00C34AEA">
        <w:t>“</w:t>
      </w:r>
      <w:r w:rsidRPr="00433DD3">
        <w:t>Financial Obligation</w:t>
      </w:r>
      <w:r w:rsidR="00C34AEA">
        <w:t>”</w:t>
      </w:r>
      <w:r w:rsidRPr="00433DD3">
        <w:t xml:space="preserve"> means (i) a debt obligation, (ii) a derivative instrument entered into in connection with, or pledged as security or a source of payment for, an existing or planned debt obligation, or (iii) a guarantee of either clause (i) or (ii); provided, however, </w:t>
      </w:r>
      <w:r w:rsidR="00C34AEA">
        <w:t>“</w:t>
      </w:r>
      <w:r w:rsidRPr="00433DD3">
        <w:t>Financial Obligation</w:t>
      </w:r>
      <w:r w:rsidR="00C34AEA">
        <w:t>”</w:t>
      </w:r>
      <w:r w:rsidRPr="00433DD3">
        <w:t xml:space="preserve"> shall not include any municipal securities (as defined in the Act) as to which a final official statement (as defined in the Rule) has been provided to the MSRB consistent with the Rule</w:t>
      </w:r>
      <w:r w:rsidR="00C66CFB">
        <w:t>.</w:t>
      </w:r>
    </w:p>
    <w:p w:rsidRPr="00B34407" w:rsidR="001537CE" w:rsidP="001537CE" w:rsidRDefault="001537CE" w14:paraId="0EA576D0" w14:textId="74E207C7">
      <w:pPr>
        <w:widowControl/>
        <w:autoSpaceDE/>
        <w:autoSpaceDN/>
        <w:adjustRightInd/>
        <w:spacing w:after="240"/>
        <w:ind w:left="1500" w:hanging="800"/>
      </w:pPr>
      <w:r w:rsidRPr="00B34407">
        <w:t>(</w:t>
      </w:r>
      <w:r w:rsidR="00433DD3">
        <w:t>5</w:t>
      </w:r>
      <w:r w:rsidRPr="00B34407">
        <w:t>)</w:t>
      </w:r>
      <w:r w:rsidRPr="00B34407">
        <w:tab/>
      </w:r>
      <w:r w:rsidR="00C34AEA">
        <w:t>“</w:t>
      </w:r>
      <w:r w:rsidRPr="00B34407">
        <w:t>MSRB</w:t>
      </w:r>
      <w:r w:rsidR="00C34AEA">
        <w:t>”</w:t>
      </w:r>
      <w:r w:rsidRPr="00B34407">
        <w:t xml:space="preserve"> means the Municipal Securities Rulemaking Board.</w:t>
      </w:r>
    </w:p>
    <w:p w:rsidRPr="00B34407" w:rsidR="001537CE" w:rsidP="001537CE" w:rsidRDefault="001537CE" w14:paraId="7CCBD3AA" w14:textId="7C83DE94">
      <w:pPr>
        <w:widowControl/>
        <w:autoSpaceDE/>
        <w:autoSpaceDN/>
        <w:adjustRightInd/>
        <w:spacing w:after="240"/>
        <w:ind w:left="1500" w:hanging="800"/>
      </w:pPr>
      <w:r w:rsidRPr="00B34407">
        <w:t>(</w:t>
      </w:r>
      <w:r w:rsidR="00433DD3">
        <w:t>6</w:t>
      </w:r>
      <w:r w:rsidRPr="00B34407">
        <w:t>)</w:t>
      </w:r>
      <w:r w:rsidRPr="00B34407">
        <w:tab/>
      </w:r>
      <w:r w:rsidR="00C34AEA">
        <w:t>“</w:t>
      </w:r>
      <w:r w:rsidRPr="00B34407">
        <w:t>Obligated Person</w:t>
      </w:r>
      <w:r w:rsidR="00C34AEA">
        <w:t>”</w:t>
      </w:r>
      <w:r w:rsidRPr="00B34407">
        <w:t xml:space="preserve"> means any person, including an issuer of municipal securities, who is either generally or through an enterprise, fund, or account of such person committed by contract or other arrangement to support payment of all or part of the obligations on the Bonds (other than providers of municipal bond insurance, letters of credit, or other credit or liquidity facilities).  The Obligor is identified as the only Obligated Person with respect to the Bonds in Section 4.  </w:t>
      </w:r>
    </w:p>
    <w:p w:rsidRPr="00B34407" w:rsidR="001537CE" w:rsidP="001537CE" w:rsidRDefault="001537CE" w14:paraId="32841340" w14:textId="7BE29AB9">
      <w:pPr>
        <w:widowControl/>
        <w:autoSpaceDE/>
        <w:autoSpaceDN/>
        <w:adjustRightInd/>
        <w:spacing w:after="240"/>
        <w:ind w:firstLine="720"/>
      </w:pPr>
      <w:r w:rsidRPr="00B34407">
        <w:t>Section 2.</w:t>
      </w:r>
      <w:r w:rsidRPr="00B34407">
        <w:tab/>
      </w:r>
      <w:r w:rsidRPr="00B34407">
        <w:rPr>
          <w:u w:val="single"/>
        </w:rPr>
        <w:t>Bonds</w:t>
      </w:r>
      <w:r w:rsidRPr="00B34407">
        <w:t>.  This Agreement applies to the Obligor</w:t>
      </w:r>
      <w:r w:rsidR="00C34AEA">
        <w:t>’</w:t>
      </w:r>
      <w:r w:rsidRPr="00B34407">
        <w:t xml:space="preserve">s Single Family Mortgage Revenue Bonds, </w:t>
      </w:r>
      <w:r w:rsidR="00C7294C">
        <w:t>2024 Series C</w:t>
      </w:r>
      <w:r w:rsidRPr="00B34407">
        <w:t>.</w:t>
      </w:r>
    </w:p>
    <w:p w:rsidRPr="00B34407" w:rsidR="001537CE" w:rsidP="001537CE" w:rsidRDefault="001537CE" w14:paraId="0FE346B5" w14:textId="111891FA">
      <w:pPr>
        <w:widowControl/>
        <w:autoSpaceDE/>
        <w:autoSpaceDN/>
        <w:adjustRightInd/>
        <w:spacing w:after="240"/>
        <w:ind w:firstLine="720"/>
      </w:pPr>
      <w:r w:rsidRPr="00B34407">
        <w:t>Section 3.</w:t>
      </w:r>
      <w:r w:rsidRPr="00B34407">
        <w:tab/>
      </w:r>
      <w:r w:rsidRPr="00B34407">
        <w:rPr>
          <w:u w:val="single"/>
        </w:rPr>
        <w:t>Term</w:t>
      </w:r>
      <w:r w:rsidRPr="00B34407">
        <w:t xml:space="preserve">.  The term of this Agreement is from the date of delivery of the Bonds by the Obligor to the earlier of (i) the date of the last payment of principal or redemption price, if any, of, and interest to accrue on, all the Bonds in such series and (ii) the date such series of Bonds is defeased under the provisions of the Amended and Restated Indenture of Trust, dated as of June 1, 2016, as supplemented and amended from time to time (the </w:t>
      </w:r>
      <w:r w:rsidR="00C34AEA">
        <w:t>“</w:t>
      </w:r>
      <w:r w:rsidRPr="00B34407">
        <w:t>Master Indenture</w:t>
      </w:r>
      <w:r w:rsidR="00C34AEA">
        <w:t>”</w:t>
      </w:r>
      <w:r w:rsidR="0093227C">
        <w:t xml:space="preserve">), </w:t>
      </w:r>
      <w:r w:rsidRPr="00B34407">
        <w:t xml:space="preserve">a </w:t>
      </w:r>
      <w:r w:rsidR="00C7294C">
        <w:t>2024 Series C</w:t>
      </w:r>
      <w:r w:rsidRPr="00B34407">
        <w:t xml:space="preserve"> Suppleme</w:t>
      </w:r>
      <w:r>
        <w:t xml:space="preserve">ntal Indenture dated as of </w:t>
      </w:r>
      <w:r w:rsidR="002D34C5">
        <w:t>August 1, 2024</w:t>
      </w:r>
      <w:r>
        <w:t xml:space="preserve"> (the </w:t>
      </w:r>
      <w:r w:rsidR="00C34AEA">
        <w:t>“</w:t>
      </w:r>
      <w:r w:rsidR="00C7294C">
        <w:t>2024 Series C</w:t>
      </w:r>
      <w:r w:rsidR="0093227C">
        <w:t xml:space="preserve"> Supplement</w:t>
      </w:r>
      <w:r w:rsidR="00C34AEA">
        <w:t>”</w:t>
      </w:r>
      <w:r w:rsidR="002855B3">
        <w:t xml:space="preserve"> </w:t>
      </w:r>
      <w:r w:rsidRPr="00B34407" w:rsidR="002855B3">
        <w:t xml:space="preserve">and together with the Master Indenture, the </w:t>
      </w:r>
      <w:r w:rsidR="002855B3">
        <w:t>“</w:t>
      </w:r>
      <w:r w:rsidRPr="00B34407" w:rsidR="002855B3">
        <w:t>Indenture</w:t>
      </w:r>
      <w:r w:rsidR="002855B3">
        <w:t>”</w:t>
      </w:r>
      <w:r w:rsidR="0093227C">
        <w:t xml:space="preserve">), </w:t>
      </w:r>
      <w:r w:rsidRPr="00B34407">
        <w:t>all between the Obligor and The Bank of New York Mellon Trust Company, N.A., as trustee, and as further supplemented and amended from time to time.</w:t>
      </w:r>
    </w:p>
    <w:p w:rsidRPr="00B34407" w:rsidR="001537CE" w:rsidP="001537CE" w:rsidRDefault="001537CE" w14:paraId="1D1C5A09" w14:textId="77777777">
      <w:pPr>
        <w:widowControl/>
        <w:autoSpaceDE/>
        <w:autoSpaceDN/>
        <w:adjustRightInd/>
        <w:spacing w:after="240"/>
        <w:ind w:firstLine="720"/>
      </w:pPr>
      <w:bookmarkStart w:name="ElPgBr85" w:id="947"/>
      <w:bookmarkEnd w:id="947"/>
      <w:r w:rsidRPr="00B34407">
        <w:lastRenderedPageBreak/>
        <w:t>Section 4.</w:t>
      </w:r>
      <w:r w:rsidRPr="00B34407">
        <w:tab/>
      </w:r>
      <w:r w:rsidRPr="00B34407">
        <w:rPr>
          <w:u w:val="single"/>
        </w:rPr>
        <w:t>Obligated Persons</w:t>
      </w:r>
      <w:r w:rsidRPr="00B34407">
        <w:t xml:space="preserve">.  The Obligor hereby warrants and represents as of the date hereof, that the Obligor is the only Obligated Person with respect to the Bonds.  If the Obligor is no longer committed by contract or other arrangement to support payment of the obligations on the Bonds, the Obligor shall no longer be considered an Obligated Person within the meaning of the SEC Rule and the continuing obligation under this Agreement, to provide annual financial information and notices of events shall terminate with respect to the Obligor.  If the Obligor is no longer considered an Obligated Person within the meaning of the SEC Rule, the Obligor shall file, or cause to be filed with EMMA a written notice that it is no longer an Obligated Person.  In the event that any entity subsequently becomes an Obligated Person with respect to the Bonds, the Obligor agrees to use its best efforts (so long as it continues to be an Obligated Person with respect to the Bonds) to cause such other entity to enter into a written undertaking to comply with the disclosure requirements of Obligated Persons set forth herein.  </w:t>
      </w:r>
    </w:p>
    <w:p w:rsidRPr="00B34407" w:rsidR="001537CE" w:rsidP="001537CE" w:rsidRDefault="001537CE" w14:paraId="63B6BB4C" w14:textId="77777777">
      <w:pPr>
        <w:widowControl/>
        <w:autoSpaceDE/>
        <w:autoSpaceDN/>
        <w:adjustRightInd/>
        <w:spacing w:after="240"/>
        <w:ind w:firstLine="720"/>
      </w:pPr>
      <w:r w:rsidRPr="00B34407">
        <w:t>Section 5.</w:t>
      </w:r>
      <w:r w:rsidRPr="00B34407">
        <w:tab/>
      </w:r>
      <w:r w:rsidRPr="00B34407">
        <w:rPr>
          <w:u w:val="single"/>
        </w:rPr>
        <w:t>Provision of Annual Financial Information</w:t>
      </w:r>
      <w:r w:rsidRPr="00B34407">
        <w:t>.  (a)  The Obligor hereby undertakes to provide the following annual financial information:</w:t>
      </w:r>
    </w:p>
    <w:p w:rsidRPr="00B34407" w:rsidR="001537CE" w:rsidP="001537CE" w:rsidRDefault="001537CE" w14:paraId="743C3D01" w14:textId="53AB31CB">
      <w:pPr>
        <w:widowControl/>
        <w:autoSpaceDE/>
        <w:autoSpaceDN/>
        <w:adjustRightInd/>
        <w:spacing w:after="240"/>
        <w:ind w:left="1400" w:hanging="700"/>
      </w:pPr>
      <w:r w:rsidRPr="00B34407">
        <w:t>(1)</w:t>
      </w:r>
      <w:r w:rsidRPr="00B34407">
        <w:tab/>
        <w:t xml:space="preserve">To the MSRB through EMMA, when and if available, the audited financial statements of the Obligor for each fiscal year of the Obligor, beginning with the fiscal year ending December 31, </w:t>
      </w:r>
      <w:r>
        <w:t>202</w:t>
      </w:r>
      <w:r w:rsidR="003E3884">
        <w:t>4</w:t>
      </w:r>
      <w:r w:rsidRPr="00B34407">
        <w:t>, together with the auditor</w:t>
      </w:r>
      <w:r w:rsidR="00C34AEA">
        <w:t>’</w:t>
      </w:r>
      <w:r w:rsidRPr="00B34407">
        <w:t>s report and all notes thereto; and</w:t>
      </w:r>
    </w:p>
    <w:p w:rsidRPr="00B34407" w:rsidR="001537CE" w:rsidP="001537CE" w:rsidRDefault="001537CE" w14:paraId="45FD4CDE" w14:textId="2530FDAA">
      <w:pPr>
        <w:widowControl/>
        <w:autoSpaceDE/>
        <w:autoSpaceDN/>
        <w:adjustRightInd/>
        <w:spacing w:after="240"/>
        <w:ind w:left="1400" w:hanging="700"/>
      </w:pPr>
      <w:r w:rsidRPr="00B34407">
        <w:t>(2)</w:t>
      </w:r>
      <w:r w:rsidRPr="00B34407">
        <w:tab/>
        <w:t>To the MSRB through EMMA, within 180 days of the close of each fiscal year of the Obligor, beginning with the fisc</w:t>
      </w:r>
      <w:r>
        <w:t>al year ending December 31, 202</w:t>
      </w:r>
      <w:r w:rsidR="003E3884">
        <w:t>4</w:t>
      </w:r>
      <w:r w:rsidRPr="00B34407">
        <w:t xml:space="preserve">, annual financial information for the Obligor for such fiscal year, other than the audited financial statements described in (1) above, including (i) unaudited financial statements of the Obligor if audited financial statements are not then available and (ii) operating data (excluding any demographic information or forecasts) of the general type included </w:t>
      </w:r>
      <w:r>
        <w:t xml:space="preserve">in the table </w:t>
      </w:r>
      <w:r w:rsidRPr="00AD277E">
        <w:t xml:space="preserve">entitled </w:t>
      </w:r>
      <w:r w:rsidR="00C34AEA">
        <w:t>“</w:t>
      </w:r>
      <w:r w:rsidRPr="00AD277E">
        <w:t xml:space="preserve">Information as </w:t>
      </w:r>
      <w:r w:rsidRPr="008E2243">
        <w:t xml:space="preserve">of </w:t>
      </w:r>
      <w:r w:rsidR="00720B8B">
        <w:t>June 30</w:t>
      </w:r>
      <w:r w:rsidRPr="002D34C5" w:rsidR="002D34C5">
        <w:t>, 2024</w:t>
      </w:r>
      <w:r w:rsidR="002D34C5">
        <w:t xml:space="preserve"> </w:t>
      </w:r>
      <w:r w:rsidRPr="008E2243">
        <w:t>C</w:t>
      </w:r>
      <w:r w:rsidRPr="00AD277E">
        <w:t>oncerning Outstanding Indiana Housing and Community</w:t>
      </w:r>
      <w:r w:rsidR="003E3884">
        <w:t xml:space="preserve"> Development Authority Mortgage-Backed Securities </w:t>
      </w:r>
      <w:r w:rsidRPr="00AD277E">
        <w:t>under the 2016 Amended and Restated Indenture of Trust as of June 1, 2016</w:t>
      </w:r>
      <w:r w:rsidR="00C34AEA">
        <w:t>”</w:t>
      </w:r>
      <w:r w:rsidRPr="00B34407">
        <w:t xml:space="preserve"> in the Final Official Statement (collectively, the </w:t>
      </w:r>
      <w:r w:rsidR="00C34AEA">
        <w:t>“</w:t>
      </w:r>
      <w:r w:rsidRPr="00B34407">
        <w:t>Annual Information</w:t>
      </w:r>
      <w:r w:rsidR="00C34AEA">
        <w:t>”</w:t>
      </w:r>
      <w:r w:rsidRPr="00B34407">
        <w:t>), unless otherwise provided in the Obligor</w:t>
      </w:r>
      <w:r w:rsidR="00C34AEA">
        <w:t>’</w:t>
      </w:r>
      <w:r w:rsidRPr="00B34407">
        <w:t xml:space="preserve">s voluntary quarterly filings posted on EMMA (which filings currently provide such information).  </w:t>
      </w:r>
    </w:p>
    <w:p w:rsidRPr="00B34407" w:rsidR="001537CE" w:rsidP="001537CE" w:rsidRDefault="001537CE" w14:paraId="217AC415" w14:textId="77777777">
      <w:pPr>
        <w:widowControl/>
        <w:autoSpaceDE/>
        <w:autoSpaceDN/>
        <w:adjustRightInd/>
        <w:spacing w:after="240"/>
        <w:ind w:firstLine="720"/>
      </w:pPr>
      <w:r w:rsidRPr="00B34407">
        <w:t>(b)</w:t>
      </w:r>
      <w:r w:rsidRPr="00B34407">
        <w:tab/>
        <w:t>To the extent the Annual Information or audited financial statements relating to the Obligor referred to in paragraph (a) of this Section 5 is included in a final official statement (as that term is defined in paragraph (f)(3) of the SEC Rule) dated within one hundred eighty (180) days prior to the due date for such information for any fiscal year and filed with the MSRB through EMMA, the Obligor shall have been deemed to have provided that information as of the due date for the immediately preceding fiscal year as required by paragraph (a) of this Section 5.</w:t>
      </w:r>
    </w:p>
    <w:p w:rsidRPr="00B34407" w:rsidR="001537CE" w:rsidP="001537CE" w:rsidRDefault="001537CE" w14:paraId="7DC10E86" w14:textId="77777777">
      <w:pPr>
        <w:widowControl/>
        <w:autoSpaceDE/>
        <w:autoSpaceDN/>
        <w:adjustRightInd/>
        <w:spacing w:after="240"/>
        <w:ind w:firstLine="720"/>
      </w:pPr>
      <w:r w:rsidRPr="00B34407">
        <w:t>(c)</w:t>
      </w:r>
      <w:r w:rsidRPr="00B34407">
        <w:tab/>
        <w:t>If any Annual Information or audited financial statements relating to the Obligor referred to in paragraph (a) of this Section 5 no longer can be provided because the operations to which they related have been materially changed or discontinued, a statement to that effect, provided by the Obligor to the MSRB through EMMA, along with any other Annual Information or audited financial statements required to be provided under this Agreement, shall satisfy the undertaking to provide such Annual Information or audited financial statements.  To the extent available, the Obligor shall cause to be filed along with the other Annual Information or audited financial statements operating data similar to that which can no longer be provided.</w:t>
      </w:r>
    </w:p>
    <w:p w:rsidRPr="00B34407" w:rsidR="001537CE" w:rsidP="001537CE" w:rsidRDefault="001537CE" w14:paraId="72573405" w14:textId="77777777">
      <w:pPr>
        <w:widowControl/>
        <w:autoSpaceDE/>
        <w:autoSpaceDN/>
        <w:adjustRightInd/>
        <w:spacing w:after="240"/>
        <w:ind w:firstLine="720"/>
      </w:pPr>
      <w:r w:rsidRPr="00B34407">
        <w:t>(d)</w:t>
      </w:r>
      <w:r w:rsidRPr="00B34407">
        <w:tab/>
        <w:t xml:space="preserve">Failure to provide any component of Annual Information because it is not available to the Obligor on the date by which Annual Information is required to be provided hereunder, shall not be deemed to be a breach of this Agreement; </w:t>
      </w:r>
      <w:r w:rsidRPr="00B34407">
        <w:rPr>
          <w:u w:val="single"/>
        </w:rPr>
        <w:t>provided</w:t>
      </w:r>
      <w:r w:rsidRPr="00B34407">
        <w:t>, however, that in the event such Annual Information is not available to the Obligor, the Obligor will provide to the MSRB through EMMA, in the remaining disclosure of the Annual Information, (i) a description of the Annual Information that is not available, (ii) any replacement or substitute information, (iii) whether such Annual Information is expected to be available and, (iv) if known by the Obligor, the date such Annual Information will be made available to the Obligor.  The Obligor further agrees to supplement the Annual Information filing when such data is available.</w:t>
      </w:r>
    </w:p>
    <w:p w:rsidRPr="00B34407" w:rsidR="001537CE" w:rsidP="001537CE" w:rsidRDefault="001537CE" w14:paraId="1673A213" w14:textId="144B8B4A">
      <w:pPr>
        <w:widowControl/>
        <w:autoSpaceDE/>
        <w:autoSpaceDN/>
        <w:adjustRightInd/>
        <w:spacing w:after="240"/>
        <w:ind w:firstLine="720"/>
      </w:pPr>
      <w:r w:rsidRPr="00B34407">
        <w:t>(e)</w:t>
      </w:r>
      <w:r w:rsidRPr="00B34407">
        <w:tab/>
        <w:t>Annual Information or audited financial statements required to be provided pursuant to this Section 5 may be provided by a specific reference to such Annual Information or audited financial statements already prepared and previously provided to the MSRB through EMMA, or filed with the SEC, including in the Obligor</w:t>
      </w:r>
      <w:r w:rsidR="00C34AEA">
        <w:t>’</w:t>
      </w:r>
      <w:r w:rsidRPr="00B34407">
        <w:t xml:space="preserve">s </w:t>
      </w:r>
      <w:bookmarkStart w:name="ElPgBr86" w:id="948"/>
      <w:bookmarkEnd w:id="948"/>
      <w:r w:rsidRPr="00B34407">
        <w:lastRenderedPageBreak/>
        <w:t>voluntary quarterly filings posted on EMMA; however, if such document is a final official statement, it must also be available from the MSRB.</w:t>
      </w:r>
    </w:p>
    <w:p w:rsidRPr="00B34407" w:rsidR="001537CE" w:rsidP="001537CE" w:rsidRDefault="001537CE" w14:paraId="6D1D68EC" w14:textId="77777777">
      <w:pPr>
        <w:widowControl/>
        <w:autoSpaceDE/>
        <w:autoSpaceDN/>
        <w:adjustRightInd/>
        <w:spacing w:after="240"/>
        <w:ind w:firstLine="720"/>
      </w:pPr>
      <w:r w:rsidRPr="00B34407">
        <w:t>(f)</w:t>
      </w:r>
      <w:r w:rsidRPr="00B34407">
        <w:tab/>
        <w:t xml:space="preserve">The Annual Information and audited financial statements relating to the Obligor referred to in paragraph (a) of this Section 5 may be provided in a single submission with respect to multiple series of Bonds. </w:t>
      </w:r>
    </w:p>
    <w:p w:rsidRPr="00B34407" w:rsidR="001537CE" w:rsidP="001537CE" w:rsidRDefault="001537CE" w14:paraId="1C4F2484" w14:textId="77777777">
      <w:pPr>
        <w:widowControl/>
        <w:autoSpaceDE/>
        <w:autoSpaceDN/>
        <w:adjustRightInd/>
        <w:spacing w:after="240"/>
        <w:ind w:firstLine="720"/>
      </w:pPr>
      <w:r w:rsidRPr="00B34407">
        <w:t>(g)</w:t>
      </w:r>
      <w:r w:rsidRPr="00B34407">
        <w:tab/>
        <w:t>The Obligor must file all continuing disclosure filings with the MSRB through the EMMA system.</w:t>
      </w:r>
    </w:p>
    <w:p w:rsidRPr="00B34407" w:rsidR="001537CE" w:rsidP="001537CE" w:rsidRDefault="001537CE" w14:paraId="23389C52" w14:textId="5C507A2D">
      <w:pPr>
        <w:widowControl/>
        <w:autoSpaceDE/>
        <w:autoSpaceDN/>
        <w:adjustRightInd/>
        <w:spacing w:after="240"/>
        <w:ind w:firstLine="720"/>
      </w:pPr>
      <w:r w:rsidRPr="00B34407">
        <w:t>Section 6.</w:t>
      </w:r>
      <w:r w:rsidRPr="00B34407">
        <w:tab/>
      </w:r>
      <w:r w:rsidRPr="00B34407">
        <w:rPr>
          <w:u w:val="single"/>
        </w:rPr>
        <w:t>Accounting Principles</w:t>
      </w:r>
      <w:r w:rsidRPr="00B34407">
        <w:t>.  The accounting principles pursuant to which the Obligor</w:t>
      </w:r>
      <w:r w:rsidR="00C34AEA">
        <w:t>’</w:t>
      </w:r>
      <w:r w:rsidRPr="00B34407">
        <w:t>s financial statements will be prepared shall be generally accepted accounting principles, as in effect from time to time, those described in the auditors</w:t>
      </w:r>
      <w:r w:rsidR="00C34AEA">
        <w:t>’</w:t>
      </w:r>
      <w:r w:rsidRPr="00B34407">
        <w:t xml:space="preserve"> report and the notes accompanying the audited financial statements of the Obligor included as a part of the Final Official Statement for a series of Bonds specified in a Supplement or those mandated by state law from time to time, or any other accounting principles which do not, in the determination of the Obligor, materially deviate from any of such accounting principles.</w:t>
      </w:r>
    </w:p>
    <w:p w:rsidRPr="00B34407" w:rsidR="001537CE" w:rsidP="001537CE" w:rsidRDefault="001537CE" w14:paraId="4DD1AA63" w14:textId="25798C08">
      <w:pPr>
        <w:widowControl/>
        <w:autoSpaceDE/>
        <w:autoSpaceDN/>
        <w:adjustRightInd/>
        <w:spacing w:after="240"/>
        <w:ind w:firstLine="720"/>
      </w:pPr>
      <w:r w:rsidRPr="00B34407">
        <w:t>Section 7.</w:t>
      </w:r>
      <w:r w:rsidRPr="00B34407">
        <w:tab/>
      </w:r>
      <w:r w:rsidRPr="00B34407">
        <w:rPr>
          <w:u w:val="single"/>
        </w:rPr>
        <w:t>Material Events</w:t>
      </w:r>
      <w:r>
        <w:t xml:space="preserve">.  (a) </w:t>
      </w:r>
      <w:r w:rsidRPr="00B34407">
        <w:t>The Obligor shall disclose the following events to the MSRB through EMMA, within 10 business days of the occurrence of any of the following events, if material (which determination of materiality shall be made by the Obligor in accordance with the standards established by federal securities laws):</w:t>
      </w:r>
    </w:p>
    <w:p w:rsidRPr="00B34407" w:rsidR="001537CE" w:rsidP="001537CE" w:rsidRDefault="001537CE" w14:paraId="7F82856E" w14:textId="77777777">
      <w:pPr>
        <w:widowControl/>
        <w:numPr>
          <w:ilvl w:val="1"/>
          <w:numId w:val="0"/>
        </w:numPr>
        <w:autoSpaceDE/>
        <w:autoSpaceDN/>
        <w:adjustRightInd/>
        <w:spacing w:after="240"/>
        <w:ind w:firstLine="720"/>
        <w:outlineLvl w:val="1"/>
        <w:rPr>
          <w:bCs/>
          <w:kern w:val="32"/>
        </w:rPr>
      </w:pPr>
      <w:r w:rsidRPr="00B34407">
        <w:rPr>
          <w:bCs/>
          <w:kern w:val="32"/>
        </w:rPr>
        <w:tab/>
        <w:t>(1)</w:t>
      </w:r>
      <w:r w:rsidRPr="00B34407">
        <w:rPr>
          <w:bCs/>
          <w:kern w:val="32"/>
        </w:rPr>
        <w:tab/>
        <w:t>non-payment related defaults;</w:t>
      </w:r>
    </w:p>
    <w:p w:rsidRPr="00B34407" w:rsidR="001537CE" w:rsidP="001537CE" w:rsidRDefault="001537CE" w14:paraId="4D45DBA0" w14:textId="77777777">
      <w:pPr>
        <w:widowControl/>
        <w:numPr>
          <w:ilvl w:val="1"/>
          <w:numId w:val="0"/>
        </w:numPr>
        <w:autoSpaceDE/>
        <w:autoSpaceDN/>
        <w:adjustRightInd/>
        <w:spacing w:after="240"/>
        <w:ind w:firstLine="720"/>
        <w:outlineLvl w:val="1"/>
        <w:rPr>
          <w:bCs/>
          <w:kern w:val="32"/>
        </w:rPr>
      </w:pPr>
      <w:r w:rsidRPr="00B34407">
        <w:rPr>
          <w:bCs/>
          <w:kern w:val="32"/>
        </w:rPr>
        <w:tab/>
        <w:t>(2)</w:t>
      </w:r>
      <w:r w:rsidRPr="00B34407">
        <w:rPr>
          <w:bCs/>
          <w:kern w:val="32"/>
        </w:rPr>
        <w:tab/>
        <w:t>modifications to rights of Bondholders;</w:t>
      </w:r>
    </w:p>
    <w:p w:rsidRPr="00B34407" w:rsidR="001537CE" w:rsidP="001537CE" w:rsidRDefault="001537CE" w14:paraId="0C075CF9" w14:textId="77777777">
      <w:pPr>
        <w:widowControl/>
        <w:numPr>
          <w:ilvl w:val="1"/>
          <w:numId w:val="0"/>
        </w:numPr>
        <w:autoSpaceDE/>
        <w:autoSpaceDN/>
        <w:adjustRightInd/>
        <w:spacing w:after="240"/>
        <w:ind w:firstLine="720"/>
        <w:outlineLvl w:val="1"/>
        <w:rPr>
          <w:bCs/>
          <w:kern w:val="32"/>
        </w:rPr>
      </w:pPr>
      <w:r w:rsidRPr="00B34407">
        <w:rPr>
          <w:bCs/>
          <w:kern w:val="32"/>
        </w:rPr>
        <w:tab/>
        <w:t>(3)</w:t>
      </w:r>
      <w:r w:rsidRPr="00B34407">
        <w:rPr>
          <w:bCs/>
          <w:kern w:val="32"/>
        </w:rPr>
        <w:tab/>
        <w:t xml:space="preserve">bond calls; </w:t>
      </w:r>
    </w:p>
    <w:p w:rsidRPr="00B34407" w:rsidR="001537CE" w:rsidP="001537CE" w:rsidRDefault="001537CE" w14:paraId="118679C0" w14:textId="77777777">
      <w:pPr>
        <w:widowControl/>
        <w:numPr>
          <w:ilvl w:val="1"/>
          <w:numId w:val="0"/>
        </w:numPr>
        <w:autoSpaceDE/>
        <w:autoSpaceDN/>
        <w:adjustRightInd/>
        <w:spacing w:after="240"/>
        <w:ind w:firstLine="720"/>
        <w:outlineLvl w:val="1"/>
        <w:rPr>
          <w:bCs/>
          <w:kern w:val="32"/>
        </w:rPr>
      </w:pPr>
      <w:r w:rsidRPr="00B34407">
        <w:rPr>
          <w:bCs/>
          <w:kern w:val="32"/>
        </w:rPr>
        <w:tab/>
        <w:t>(4)</w:t>
      </w:r>
      <w:r w:rsidRPr="00B34407">
        <w:rPr>
          <w:bCs/>
          <w:kern w:val="32"/>
        </w:rPr>
        <w:tab/>
        <w:t>release, substitution or sale of property securing repayment of the Bonds;</w:t>
      </w:r>
    </w:p>
    <w:p w:rsidRPr="00B34407" w:rsidR="001537CE" w:rsidP="001537CE" w:rsidRDefault="001537CE" w14:paraId="6EF9848D" w14:textId="77777777">
      <w:pPr>
        <w:widowControl/>
        <w:numPr>
          <w:ilvl w:val="1"/>
          <w:numId w:val="0"/>
        </w:numPr>
        <w:autoSpaceDE/>
        <w:autoSpaceDN/>
        <w:adjustRightInd/>
        <w:spacing w:after="240"/>
        <w:ind w:left="741"/>
        <w:outlineLvl w:val="1"/>
        <w:rPr>
          <w:bCs/>
          <w:kern w:val="32"/>
        </w:rPr>
      </w:pPr>
      <w:r w:rsidRPr="00B34407">
        <w:rPr>
          <w:bCs/>
          <w:kern w:val="32"/>
        </w:rPr>
        <w:tab/>
        <w:t>(5)</w:t>
      </w:r>
      <w:r w:rsidRPr="00B34407">
        <w:rPr>
          <w:bCs/>
          <w:kern w:val="32"/>
        </w:rPr>
        <w:tab/>
        <w:t>the consummation of a merger, consolidation, or acquisition, or certain asset sales, involving the obligated person, or entry into or termination of a definitive agreement relating to the foregoing; and</w:t>
      </w:r>
    </w:p>
    <w:p w:rsidR="001537CE" w:rsidP="001537CE" w:rsidRDefault="001537CE" w14:paraId="755F1233" w14:textId="77777777">
      <w:pPr>
        <w:widowControl/>
        <w:numPr>
          <w:ilvl w:val="1"/>
          <w:numId w:val="0"/>
        </w:numPr>
        <w:autoSpaceDE/>
        <w:autoSpaceDN/>
        <w:adjustRightInd/>
        <w:spacing w:after="240"/>
        <w:ind w:left="741"/>
        <w:outlineLvl w:val="1"/>
        <w:rPr>
          <w:bCs/>
          <w:kern w:val="32"/>
        </w:rPr>
      </w:pPr>
      <w:r w:rsidRPr="00B34407">
        <w:rPr>
          <w:bCs/>
          <w:kern w:val="32"/>
        </w:rPr>
        <w:tab/>
        <w:t>(6)</w:t>
      </w:r>
      <w:r w:rsidRPr="00B34407">
        <w:rPr>
          <w:bCs/>
          <w:kern w:val="32"/>
        </w:rPr>
        <w:tab/>
        <w:t xml:space="preserve">appointment of a successor or additional trustee or </w:t>
      </w:r>
      <w:r>
        <w:rPr>
          <w:bCs/>
          <w:kern w:val="32"/>
        </w:rPr>
        <w:t>the change of name of a trustee; and</w:t>
      </w:r>
    </w:p>
    <w:p w:rsidRPr="00B34407" w:rsidR="001537CE" w:rsidP="001537CE" w:rsidRDefault="001537CE" w14:paraId="5B4A2DD4" w14:textId="77777777">
      <w:pPr>
        <w:widowControl/>
        <w:numPr>
          <w:ilvl w:val="1"/>
          <w:numId w:val="0"/>
        </w:numPr>
        <w:autoSpaceDE/>
        <w:autoSpaceDN/>
        <w:adjustRightInd/>
        <w:spacing w:after="240"/>
        <w:ind w:left="741" w:firstLine="699"/>
        <w:outlineLvl w:val="1"/>
        <w:rPr>
          <w:bCs/>
          <w:kern w:val="32"/>
        </w:rPr>
      </w:pPr>
      <w:r>
        <w:rPr>
          <w:bCs/>
          <w:kern w:val="32"/>
        </w:rPr>
        <w:t>(7)</w:t>
      </w:r>
      <w:r>
        <w:rPr>
          <w:bCs/>
          <w:kern w:val="32"/>
        </w:rPr>
        <w:tab/>
        <w:t>i</w:t>
      </w:r>
      <w:r w:rsidRPr="00B2515C">
        <w:rPr>
          <w:bCs/>
          <w:kern w:val="32"/>
        </w:rPr>
        <w:t>ncurrence of a Financial Obligation of the obligated person or agreement to covenants, events of default, remedies, priority rights or other similar terms of a Financial Obligation of the obligated person, any of which affect Bondholders</w:t>
      </w:r>
      <w:r>
        <w:rPr>
          <w:bCs/>
          <w:kern w:val="32"/>
        </w:rPr>
        <w:t>.</w:t>
      </w:r>
    </w:p>
    <w:p w:rsidRPr="00B34407" w:rsidR="001537CE" w:rsidP="001537CE" w:rsidRDefault="001537CE" w14:paraId="47CD0F3B" w14:textId="77777777">
      <w:pPr>
        <w:widowControl/>
        <w:autoSpaceDE/>
        <w:autoSpaceDN/>
        <w:adjustRightInd/>
        <w:spacing w:after="240"/>
        <w:ind w:firstLine="720"/>
        <w:rPr>
          <w:kern w:val="32"/>
        </w:rPr>
      </w:pPr>
      <w:r w:rsidRPr="00B34407">
        <w:rPr>
          <w:kern w:val="32"/>
        </w:rPr>
        <w:t>(b)</w:t>
      </w:r>
      <w:r w:rsidRPr="00B34407">
        <w:rPr>
          <w:kern w:val="32"/>
        </w:rPr>
        <w:tab/>
        <w:t xml:space="preserve">The Obligor shall disclose the following events to the MSRB through EMMA, within 10 business days of the occurrence of any of </w:t>
      </w:r>
      <w:r w:rsidRPr="00B34407">
        <w:rPr>
          <w:iCs/>
          <w:kern w:val="32"/>
        </w:rPr>
        <w:t>the</w:t>
      </w:r>
      <w:r w:rsidRPr="00B34407">
        <w:rPr>
          <w:kern w:val="32"/>
        </w:rPr>
        <w:t xml:space="preserve"> </w:t>
      </w:r>
      <w:r w:rsidRPr="00B34407">
        <w:t>following</w:t>
      </w:r>
      <w:r w:rsidRPr="00B34407">
        <w:rPr>
          <w:kern w:val="32"/>
        </w:rPr>
        <w:t xml:space="preserve"> events, regardless of materiality:</w:t>
      </w:r>
    </w:p>
    <w:p w:rsidRPr="00B34407" w:rsidR="001537CE" w:rsidP="001537CE" w:rsidRDefault="001537CE" w14:paraId="20CE35E2" w14:textId="77777777">
      <w:pPr>
        <w:widowControl/>
        <w:numPr>
          <w:ilvl w:val="1"/>
          <w:numId w:val="0"/>
        </w:numPr>
        <w:tabs>
          <w:tab w:val="num" w:pos="0"/>
        </w:tabs>
        <w:autoSpaceDE/>
        <w:autoSpaceDN/>
        <w:adjustRightInd/>
        <w:spacing w:after="240"/>
        <w:ind w:firstLine="720"/>
        <w:outlineLvl w:val="1"/>
        <w:rPr>
          <w:bCs/>
          <w:iCs/>
          <w:kern w:val="32"/>
        </w:rPr>
      </w:pPr>
      <w:r w:rsidRPr="00B34407">
        <w:rPr>
          <w:bCs/>
          <w:i/>
          <w:iCs/>
          <w:kern w:val="32"/>
        </w:rPr>
        <w:tab/>
      </w:r>
      <w:r w:rsidRPr="00B34407">
        <w:rPr>
          <w:bCs/>
          <w:iCs/>
          <w:kern w:val="32"/>
        </w:rPr>
        <w:t>(1)</w:t>
      </w:r>
      <w:r w:rsidRPr="00B34407">
        <w:rPr>
          <w:bCs/>
          <w:iCs/>
          <w:kern w:val="32"/>
        </w:rPr>
        <w:tab/>
        <w:t>principal and interest payment delinquencies;</w:t>
      </w:r>
    </w:p>
    <w:p w:rsidRPr="00B34407" w:rsidR="001537CE" w:rsidP="001537CE" w:rsidRDefault="001537CE" w14:paraId="21F5E4B6" w14:textId="77777777">
      <w:pPr>
        <w:widowControl/>
        <w:numPr>
          <w:ilvl w:val="1"/>
          <w:numId w:val="0"/>
        </w:numPr>
        <w:autoSpaceDE/>
        <w:autoSpaceDN/>
        <w:adjustRightInd/>
        <w:spacing w:after="240"/>
        <w:ind w:left="741"/>
        <w:outlineLvl w:val="1"/>
        <w:rPr>
          <w:bCs/>
          <w:kern w:val="32"/>
        </w:rPr>
      </w:pPr>
      <w:r w:rsidRPr="00B34407">
        <w:rPr>
          <w:bCs/>
          <w:kern w:val="32"/>
        </w:rPr>
        <w:tab/>
        <w:t>(2)</w:t>
      </w:r>
      <w:r w:rsidRPr="00B34407">
        <w:rPr>
          <w:bCs/>
          <w:kern w:val="32"/>
        </w:rPr>
        <w:tab/>
        <w:t>unscheduled draws on debt service reserves reflecting financial difficulties;</w:t>
      </w:r>
    </w:p>
    <w:p w:rsidRPr="00B34407" w:rsidR="001537CE" w:rsidP="001537CE" w:rsidRDefault="001537CE" w14:paraId="7153EA23" w14:textId="77777777">
      <w:pPr>
        <w:widowControl/>
        <w:numPr>
          <w:ilvl w:val="1"/>
          <w:numId w:val="0"/>
        </w:numPr>
        <w:autoSpaceDE/>
        <w:autoSpaceDN/>
        <w:adjustRightInd/>
        <w:spacing w:after="240"/>
        <w:ind w:left="741"/>
        <w:outlineLvl w:val="1"/>
        <w:rPr>
          <w:bCs/>
          <w:kern w:val="32"/>
        </w:rPr>
      </w:pPr>
      <w:r w:rsidRPr="00B34407">
        <w:rPr>
          <w:bCs/>
          <w:kern w:val="32"/>
        </w:rPr>
        <w:tab/>
        <w:t>(3)</w:t>
      </w:r>
      <w:r w:rsidRPr="00B34407">
        <w:rPr>
          <w:bCs/>
          <w:kern w:val="32"/>
        </w:rPr>
        <w:tab/>
        <w:t>unscheduled draws on credit enhancements reflecting financial difficulties;</w:t>
      </w:r>
    </w:p>
    <w:p w:rsidRPr="00B34407" w:rsidR="001537CE" w:rsidP="001537CE" w:rsidRDefault="001537CE" w14:paraId="3B4A409E" w14:textId="77777777">
      <w:pPr>
        <w:widowControl/>
        <w:numPr>
          <w:ilvl w:val="1"/>
          <w:numId w:val="0"/>
        </w:numPr>
        <w:autoSpaceDE/>
        <w:autoSpaceDN/>
        <w:adjustRightInd/>
        <w:spacing w:after="240"/>
        <w:ind w:firstLine="720"/>
        <w:outlineLvl w:val="1"/>
        <w:rPr>
          <w:bCs/>
          <w:kern w:val="32"/>
        </w:rPr>
      </w:pPr>
      <w:r w:rsidRPr="00B34407">
        <w:rPr>
          <w:bCs/>
          <w:kern w:val="32"/>
        </w:rPr>
        <w:tab/>
        <w:t>(4)</w:t>
      </w:r>
      <w:r w:rsidRPr="00B34407">
        <w:rPr>
          <w:bCs/>
          <w:kern w:val="32"/>
        </w:rPr>
        <w:tab/>
        <w:t>substitution of credit or liquidity providers, or their failure to perform;</w:t>
      </w:r>
    </w:p>
    <w:p w:rsidRPr="00B34407" w:rsidR="001537CE" w:rsidP="001537CE" w:rsidRDefault="001537CE" w14:paraId="2A9DC9A3" w14:textId="77777777">
      <w:pPr>
        <w:widowControl/>
        <w:numPr>
          <w:ilvl w:val="1"/>
          <w:numId w:val="0"/>
        </w:numPr>
        <w:autoSpaceDE/>
        <w:autoSpaceDN/>
        <w:adjustRightInd/>
        <w:spacing w:after="240"/>
        <w:ind w:firstLine="720"/>
        <w:outlineLvl w:val="1"/>
        <w:rPr>
          <w:bCs/>
          <w:kern w:val="32"/>
        </w:rPr>
      </w:pPr>
      <w:r w:rsidRPr="00B34407">
        <w:rPr>
          <w:bCs/>
          <w:kern w:val="32"/>
        </w:rPr>
        <w:tab/>
        <w:t>(5)</w:t>
      </w:r>
      <w:r w:rsidRPr="00B34407">
        <w:rPr>
          <w:bCs/>
          <w:kern w:val="32"/>
        </w:rPr>
        <w:tab/>
        <w:t xml:space="preserve">defeasances; </w:t>
      </w:r>
    </w:p>
    <w:p w:rsidRPr="00B34407" w:rsidR="001537CE" w:rsidP="001537CE" w:rsidRDefault="001537CE" w14:paraId="024D3CB3" w14:textId="77777777">
      <w:pPr>
        <w:widowControl/>
        <w:numPr>
          <w:ilvl w:val="1"/>
          <w:numId w:val="0"/>
        </w:numPr>
        <w:autoSpaceDE/>
        <w:autoSpaceDN/>
        <w:adjustRightInd/>
        <w:spacing w:after="240"/>
        <w:ind w:firstLine="720"/>
        <w:outlineLvl w:val="1"/>
        <w:rPr>
          <w:bCs/>
          <w:kern w:val="32"/>
        </w:rPr>
      </w:pPr>
      <w:r w:rsidRPr="00B34407">
        <w:rPr>
          <w:bCs/>
          <w:kern w:val="32"/>
        </w:rPr>
        <w:tab/>
        <w:t>(6)</w:t>
      </w:r>
      <w:r w:rsidRPr="00B34407">
        <w:rPr>
          <w:bCs/>
          <w:kern w:val="32"/>
        </w:rPr>
        <w:tab/>
        <w:t>rating changes;</w:t>
      </w:r>
    </w:p>
    <w:p w:rsidRPr="00B34407" w:rsidR="001537CE" w:rsidP="001537CE" w:rsidRDefault="001537CE" w14:paraId="681E4144" w14:textId="77777777">
      <w:pPr>
        <w:widowControl/>
        <w:numPr>
          <w:ilvl w:val="1"/>
          <w:numId w:val="0"/>
        </w:numPr>
        <w:autoSpaceDE/>
        <w:autoSpaceDN/>
        <w:adjustRightInd/>
        <w:spacing w:after="240"/>
        <w:ind w:left="741"/>
        <w:outlineLvl w:val="1"/>
        <w:rPr>
          <w:bCs/>
          <w:kern w:val="32"/>
        </w:rPr>
      </w:pPr>
      <w:r w:rsidRPr="00B34407">
        <w:rPr>
          <w:bCs/>
          <w:kern w:val="32"/>
        </w:rPr>
        <w:tab/>
        <w:t>(7)</w:t>
      </w:r>
      <w:r w:rsidRPr="00B34407">
        <w:rPr>
          <w:bCs/>
          <w:kern w:val="32"/>
        </w:rPr>
        <w:tab/>
        <w:t>adverse tax opinions or events affecting the status of the Bonds, the issuance by the IRS of proposed or final determinations of taxability, Notices of Proposed Issue (IRS Form 5701-TEB) or other material events, notices or determinations with respect to the tax status of the Bonds;</w:t>
      </w:r>
    </w:p>
    <w:p w:rsidRPr="00B34407" w:rsidR="001537CE" w:rsidP="001537CE" w:rsidRDefault="001537CE" w14:paraId="6BBACE48" w14:textId="77777777">
      <w:pPr>
        <w:widowControl/>
        <w:numPr>
          <w:ilvl w:val="1"/>
          <w:numId w:val="0"/>
        </w:numPr>
        <w:autoSpaceDE/>
        <w:autoSpaceDN/>
        <w:adjustRightInd/>
        <w:spacing w:after="240"/>
        <w:ind w:firstLine="720"/>
        <w:outlineLvl w:val="1"/>
        <w:rPr>
          <w:bCs/>
          <w:kern w:val="32"/>
        </w:rPr>
      </w:pPr>
      <w:bookmarkStart w:name="ElPgBr87" w:id="949"/>
      <w:bookmarkEnd w:id="949"/>
      <w:r w:rsidRPr="00B34407">
        <w:rPr>
          <w:bCs/>
          <w:kern w:val="32"/>
        </w:rPr>
        <w:lastRenderedPageBreak/>
        <w:tab/>
        <w:t>(8)</w:t>
      </w:r>
      <w:r w:rsidRPr="00B34407">
        <w:rPr>
          <w:bCs/>
          <w:kern w:val="32"/>
        </w:rPr>
        <w:tab/>
        <w:t xml:space="preserve">tender offers; </w:t>
      </w:r>
    </w:p>
    <w:p w:rsidR="001537CE" w:rsidP="001537CE" w:rsidRDefault="001537CE" w14:paraId="7888854E" w14:textId="77777777">
      <w:pPr>
        <w:widowControl/>
        <w:numPr>
          <w:ilvl w:val="1"/>
          <w:numId w:val="0"/>
        </w:numPr>
        <w:autoSpaceDE/>
        <w:autoSpaceDN/>
        <w:adjustRightInd/>
        <w:spacing w:after="240"/>
        <w:ind w:left="741"/>
        <w:outlineLvl w:val="1"/>
        <w:rPr>
          <w:bCs/>
          <w:kern w:val="32"/>
        </w:rPr>
      </w:pPr>
      <w:r w:rsidRPr="00B34407">
        <w:rPr>
          <w:bCs/>
          <w:kern w:val="32"/>
        </w:rPr>
        <w:tab/>
        <w:t>(9)</w:t>
      </w:r>
      <w:r w:rsidRPr="00B34407">
        <w:rPr>
          <w:bCs/>
          <w:kern w:val="32"/>
        </w:rPr>
        <w:tab/>
        <w:t>bankruptcy, insolvency, receivership or similar event of the obligated pers</w:t>
      </w:r>
      <w:r>
        <w:rPr>
          <w:bCs/>
          <w:kern w:val="32"/>
        </w:rPr>
        <w:t>on; and</w:t>
      </w:r>
    </w:p>
    <w:p w:rsidRPr="00B34407" w:rsidR="001537CE" w:rsidP="001537CE" w:rsidRDefault="001537CE" w14:paraId="286F09EF" w14:textId="77777777">
      <w:pPr>
        <w:widowControl/>
        <w:numPr>
          <w:ilvl w:val="1"/>
          <w:numId w:val="0"/>
        </w:numPr>
        <w:autoSpaceDE/>
        <w:autoSpaceDN/>
        <w:adjustRightInd/>
        <w:spacing w:after="240"/>
        <w:ind w:left="741" w:firstLine="699"/>
        <w:outlineLvl w:val="1"/>
        <w:rPr>
          <w:bCs/>
          <w:kern w:val="32"/>
        </w:rPr>
      </w:pPr>
      <w:r>
        <w:rPr>
          <w:bCs/>
          <w:kern w:val="32"/>
        </w:rPr>
        <w:t>(10)</w:t>
      </w:r>
      <w:r>
        <w:rPr>
          <w:bCs/>
          <w:kern w:val="32"/>
        </w:rPr>
        <w:tab/>
      </w:r>
      <w:r w:rsidRPr="009058F3">
        <w:rPr>
          <w:bCs/>
          <w:kern w:val="32"/>
        </w:rPr>
        <w:t>default, event of acceleration, termination event, modification of terms or other similar events under the terms of</w:t>
      </w:r>
      <w:r>
        <w:rPr>
          <w:bCs/>
          <w:kern w:val="32"/>
        </w:rPr>
        <w:t xml:space="preserve"> a Financial Obligation of the obligated p</w:t>
      </w:r>
      <w:r w:rsidRPr="009058F3">
        <w:rPr>
          <w:bCs/>
          <w:kern w:val="32"/>
        </w:rPr>
        <w:t>erson, any of which reflect financial difficulties</w:t>
      </w:r>
      <w:r>
        <w:rPr>
          <w:bCs/>
          <w:kern w:val="32"/>
        </w:rPr>
        <w:t>.</w:t>
      </w:r>
    </w:p>
    <w:p w:rsidRPr="00B34407" w:rsidR="001537CE" w:rsidP="001537CE" w:rsidRDefault="001537CE" w14:paraId="46DCCE65" w14:textId="77777777">
      <w:pPr>
        <w:widowControl/>
        <w:autoSpaceDE/>
        <w:autoSpaceDN/>
        <w:adjustRightInd/>
        <w:spacing w:after="240"/>
        <w:ind w:firstLine="720"/>
      </w:pPr>
      <w:r w:rsidRPr="00B34407">
        <w:t>The Obligor may from time to time choose to provide notice of the occurrence of any other event, in addition to those listed above, if, in the judgment of the Obligor, such other event is material with respect to the Bonds and should be disclosed, but the Obligor does not commit to provide any such notice of the occurrence of any material event except those events set forth above.  This disclosure may be made to the MSRB through the EMMA system.</w:t>
      </w:r>
    </w:p>
    <w:p w:rsidRPr="00B34407" w:rsidR="001537CE" w:rsidP="001537CE" w:rsidRDefault="001537CE" w14:paraId="1FE6D7DA" w14:textId="1E4C37CC">
      <w:pPr>
        <w:widowControl/>
        <w:autoSpaceDE/>
        <w:autoSpaceDN/>
        <w:adjustRightInd/>
        <w:spacing w:after="240"/>
        <w:ind w:firstLine="720"/>
      </w:pPr>
      <w:r w:rsidRPr="00B34407">
        <w:t>Section 8.</w:t>
      </w:r>
      <w:r w:rsidRPr="00B34407">
        <w:tab/>
      </w:r>
      <w:r w:rsidRPr="00B34407">
        <w:rPr>
          <w:u w:val="single"/>
        </w:rPr>
        <w:t>Use of Agent</w:t>
      </w:r>
      <w:r w:rsidRPr="00B34407">
        <w:t xml:space="preserve">.  The Obligor may, at its sole discretion, utilize an agent (the </w:t>
      </w:r>
      <w:r w:rsidR="00C34AEA">
        <w:t>“</w:t>
      </w:r>
      <w:r w:rsidRPr="00B34407">
        <w:t>Dissemination Agent</w:t>
      </w:r>
      <w:r w:rsidR="00C34AEA">
        <w:t>”</w:t>
      </w:r>
      <w:r w:rsidRPr="00B34407">
        <w:t>) in connection with the dissemination of any information required to be provided by the Obligor pursuant to the SEC Rule and this Agreement.  If a Dissemination Agent is selected for these purposes, the Obligor shall provide prior written notice thereof (as well as notice of replacement or dismissal of such agent) to the MSRB through EMMA.</w:t>
      </w:r>
    </w:p>
    <w:p w:rsidRPr="00B34407" w:rsidR="001537CE" w:rsidP="001537CE" w:rsidRDefault="001537CE" w14:paraId="75F393E5" w14:textId="77777777">
      <w:pPr>
        <w:widowControl/>
        <w:autoSpaceDE/>
        <w:autoSpaceDN/>
        <w:adjustRightInd/>
        <w:spacing w:after="240"/>
        <w:ind w:firstLine="720"/>
      </w:pPr>
      <w:r w:rsidRPr="00B34407">
        <w:t>Further, the Obligor may, at its sole discretion, retain counsel or others with expertise in securities matters for the purpose of assisting the Obligor in making judgments with respect to the scope of its obligations hereunder and compliance therewith, all to further the purposes of this Agreement as set forth in the preamble and Section 10 hereof.</w:t>
      </w:r>
    </w:p>
    <w:p w:rsidRPr="00B34407" w:rsidR="001537CE" w:rsidP="001537CE" w:rsidRDefault="001537CE" w14:paraId="1C7D9FE5" w14:textId="77777777">
      <w:pPr>
        <w:widowControl/>
        <w:autoSpaceDE/>
        <w:autoSpaceDN/>
        <w:adjustRightInd/>
        <w:spacing w:after="240"/>
        <w:ind w:firstLine="720"/>
      </w:pPr>
      <w:r w:rsidRPr="00B34407">
        <w:t>Section 9.</w:t>
      </w:r>
      <w:r w:rsidRPr="00B34407">
        <w:tab/>
      </w:r>
      <w:r w:rsidRPr="00B34407">
        <w:rPr>
          <w:u w:val="single"/>
        </w:rPr>
        <w:t>Failure to Disclose</w:t>
      </w:r>
      <w:r w:rsidRPr="00B34407">
        <w:t xml:space="preserve">.  If, for any reason, the Obligor fails to provide the Annual Information as required by this Agreement, the Obligor shall provide notice of such failure in a timely manner to the MSRB through EMMA. </w:t>
      </w:r>
    </w:p>
    <w:p w:rsidRPr="00B34407" w:rsidR="001537CE" w:rsidP="001537CE" w:rsidRDefault="001537CE" w14:paraId="1A6BD6A8" w14:textId="77777777">
      <w:pPr>
        <w:widowControl/>
        <w:autoSpaceDE/>
        <w:autoSpaceDN/>
        <w:adjustRightInd/>
        <w:spacing w:after="240"/>
        <w:ind w:firstLine="720"/>
      </w:pPr>
      <w:r w:rsidRPr="00B34407">
        <w:t>Section 10.</w:t>
      </w:r>
      <w:r w:rsidRPr="00B34407">
        <w:tab/>
      </w:r>
      <w:r w:rsidRPr="00B34407">
        <w:rPr>
          <w:u w:val="single"/>
        </w:rPr>
        <w:t>Remedy</w:t>
      </w:r>
      <w:r w:rsidRPr="00B34407">
        <w:t xml:space="preserve">.  </w:t>
      </w:r>
    </w:p>
    <w:p w:rsidRPr="00B34407" w:rsidR="001537CE" w:rsidP="001537CE" w:rsidRDefault="001537CE" w14:paraId="3616A2EE" w14:textId="09ED9727">
      <w:pPr>
        <w:widowControl/>
        <w:autoSpaceDE/>
        <w:autoSpaceDN/>
        <w:adjustRightInd/>
        <w:spacing w:after="240"/>
        <w:ind w:firstLine="720"/>
      </w:pPr>
      <w:r w:rsidRPr="00B34407">
        <w:t>(a)</w:t>
      </w:r>
      <w:r w:rsidRPr="00B34407">
        <w:tab/>
        <w:t xml:space="preserve">The purpose of this Agreement is to induce </w:t>
      </w:r>
      <w:r w:rsidR="00016E57">
        <w:t>RBC Capital Markets, LLC</w:t>
      </w:r>
      <w:r w:rsidRPr="00B34407">
        <w:t xml:space="preserve"> and any future purchaser of the Bonds (the </w:t>
      </w:r>
      <w:r w:rsidR="00C34AEA">
        <w:t>“</w:t>
      </w:r>
      <w:r w:rsidRPr="00B34407">
        <w:t>Purchaser</w:t>
      </w:r>
      <w:r w:rsidR="00C34AEA">
        <w:t>”</w:t>
      </w:r>
      <w:r w:rsidRPr="00B34407">
        <w:t>) to purchase the Bonds by providing for an undertaking by the Obligor in satisfaction of the SEC Rule.  This Agreement is solely for the benefit of the owners of Bonds set forth herein, and creates no new contractual or other rights for the SEC, purchasers, brokers, dealers, municipal securities dealers, potential customers, other Obligated Persons or any other third party.  The sole remedy against the Obligor for any failure to carry out any provision of this Agreement shall be for specific performance of the Obligor</w:t>
      </w:r>
      <w:r w:rsidR="00C34AEA">
        <w:t>’</w:t>
      </w:r>
      <w:r w:rsidRPr="00B34407">
        <w:t>s disclosure obligations hereunder and not for money damages of any kind or in any amount or for any other remedy.  The Obligor</w:t>
      </w:r>
      <w:r w:rsidR="00C34AEA">
        <w:t>’</w:t>
      </w:r>
      <w:r w:rsidRPr="00B34407">
        <w:t>s failure to honor its covenants hereunder shall not constitute a breach or default of the Bonds, the Indenture or any other agreement to which the Obligor is a party.</w:t>
      </w:r>
    </w:p>
    <w:p w:rsidRPr="00B34407" w:rsidR="001537CE" w:rsidP="001537CE" w:rsidRDefault="001537CE" w14:paraId="1D754B45" w14:textId="77777777">
      <w:pPr>
        <w:widowControl/>
        <w:autoSpaceDE/>
        <w:autoSpaceDN/>
        <w:adjustRightInd/>
        <w:spacing w:after="240"/>
        <w:ind w:firstLine="720"/>
      </w:pPr>
      <w:r w:rsidRPr="00B34407">
        <w:t>(b)</w:t>
      </w:r>
      <w:r w:rsidRPr="00B34407">
        <w:tab/>
        <w:t xml:space="preserve">Subject to paragraph (c) of this Section 10, the remedy set forth in the preceding paragraph may be exercised by any holder of Bonds in any court of competent jurisdiction in the State of Indiana.  An affidavit to the effect that such person is a holder of Bonds supported by reasonable documentation of such claim shall be sufficient to evidence standing to pursue this remedy.  The Counterparty shall have no obligation to pursue any remedial action hereunder on behalf of any holder of Bonds. </w:t>
      </w:r>
    </w:p>
    <w:p w:rsidRPr="00B34407" w:rsidR="001537CE" w:rsidP="001537CE" w:rsidRDefault="001537CE" w14:paraId="37D5627E" w14:textId="3BAB1D91">
      <w:pPr>
        <w:widowControl/>
        <w:autoSpaceDE/>
        <w:autoSpaceDN/>
        <w:adjustRightInd/>
        <w:spacing w:after="240"/>
        <w:ind w:firstLine="720"/>
      </w:pPr>
      <w:r w:rsidRPr="00B34407">
        <w:t>(c)</w:t>
      </w:r>
      <w:r w:rsidRPr="00B34407">
        <w:tab/>
        <w:t xml:space="preserve">Prior to pursuing any remedy for any breach of any obligation under this Agreement, a holder of Bonds shall give notice to the Obligor, by registered or certified mail, of such breach and its intent to pursue such remedy. </w:t>
      </w:r>
      <w:r w:rsidR="00ED248F">
        <w:t xml:space="preserve"> </w:t>
      </w:r>
      <w:r w:rsidRPr="00B34407">
        <w:t>Fifteen (15) days after the mailing of such notice, and not before, such remedy may be pursued under this Agreement if and to the extent the Obligor has failed to cure such breach within such fifteen (15) days.</w:t>
      </w:r>
    </w:p>
    <w:p w:rsidRPr="00B34407" w:rsidR="001537CE" w:rsidP="001537CE" w:rsidRDefault="001537CE" w14:paraId="1030601B" w14:textId="77777777">
      <w:pPr>
        <w:widowControl/>
        <w:autoSpaceDE/>
        <w:autoSpaceDN/>
        <w:adjustRightInd/>
        <w:spacing w:after="240"/>
        <w:ind w:firstLine="720"/>
      </w:pPr>
      <w:r w:rsidRPr="00B34407">
        <w:t>Section 11.</w:t>
      </w:r>
      <w:r w:rsidRPr="00B34407">
        <w:tab/>
      </w:r>
      <w:r w:rsidRPr="00B34407">
        <w:rPr>
          <w:u w:val="single"/>
        </w:rPr>
        <w:t>Modification of Agreement</w:t>
      </w:r>
      <w:r w:rsidRPr="00B34407">
        <w:t xml:space="preserve">.  The Obligor may, from time to time, amend or modify this Agreement without the consent of or notice to the owners of the Bonds if:  (a)(i) such amendment or modification is made in connection with a change in circumstances that arises from a change in legal requirements, change in law or change in the identity, nature or status of the Obligor, or type of business conducted, (ii) this Agreement, as so amended or modified, would have complied with the requirements of the SEC Rule on the date hereof, after taking into account </w:t>
      </w:r>
      <w:bookmarkStart w:name="ElPgBr88" w:id="950"/>
      <w:bookmarkEnd w:id="950"/>
      <w:r w:rsidRPr="00B34407">
        <w:lastRenderedPageBreak/>
        <w:t>any amendments or interpretations of the SEC Rule, as well as any change in circumstances, and (iii) such amendment or modification does not materially impair the interests of the holders of the Bonds, as determined either by (A) any person selected by the Obligor that is unaffiliated with the Obligor (including the Counterparty or the trustee under the Indenture or nationally recognized bond counsel) or (B) an approving vote of the holders of the requisite percentage of Outstanding (as defined in the Indenture) Bonds as required under Section 9.2 of the Indenture at the time of such amendment or modification; or (b) such amendment or modification is permitted by law.</w:t>
      </w:r>
    </w:p>
    <w:p w:rsidRPr="00B34407" w:rsidR="001537CE" w:rsidP="001537CE" w:rsidRDefault="001537CE" w14:paraId="2AE3A79A" w14:textId="77777777">
      <w:pPr>
        <w:widowControl/>
        <w:autoSpaceDE/>
        <w:autoSpaceDN/>
        <w:adjustRightInd/>
        <w:spacing w:after="240"/>
        <w:ind w:firstLine="720"/>
      </w:pPr>
      <w:r w:rsidRPr="00B34407">
        <w:t>The Annual Information or audited financial statements for the fiscal year during which any such amendment or modification occurs that contains the amended or modified Annual Information or audited financial statements shall explain, in narrative form, the reasons for such amendment or modification and the impact of the change in the type of Annual Information or audited financial statements being provided.</w:t>
      </w:r>
    </w:p>
    <w:p w:rsidRPr="00B34407" w:rsidR="001537CE" w:rsidP="001537CE" w:rsidRDefault="001537CE" w14:paraId="7AA196D5" w14:textId="77777777">
      <w:pPr>
        <w:widowControl/>
        <w:autoSpaceDE/>
        <w:autoSpaceDN/>
        <w:adjustRightInd/>
        <w:spacing w:after="240"/>
        <w:ind w:firstLine="720"/>
      </w:pPr>
      <w:r w:rsidRPr="00B34407">
        <w:t>Section 12.</w:t>
      </w:r>
      <w:r w:rsidRPr="00B34407">
        <w:tab/>
      </w:r>
      <w:r w:rsidRPr="00B34407">
        <w:rPr>
          <w:u w:val="single"/>
        </w:rPr>
        <w:t>Interpretation Under Indiana Law</w:t>
      </w:r>
      <w:r w:rsidRPr="00B34407">
        <w:t>.  It is the intention of the parties hereto that this Agreement, as supplemented, and the rights and obligations of the parties hereunder shall be governed by and construed and enforced in accordance with, the law of the State of Indiana.</w:t>
      </w:r>
    </w:p>
    <w:p w:rsidRPr="00B34407" w:rsidR="001537CE" w:rsidP="001537CE" w:rsidRDefault="001537CE" w14:paraId="24246C0E" w14:textId="77777777">
      <w:pPr>
        <w:widowControl/>
        <w:autoSpaceDE/>
        <w:autoSpaceDN/>
        <w:adjustRightInd/>
        <w:spacing w:after="240"/>
        <w:ind w:firstLine="720"/>
      </w:pPr>
      <w:r w:rsidRPr="00B34407">
        <w:t>Section 13.</w:t>
      </w:r>
      <w:r w:rsidRPr="00B34407">
        <w:tab/>
      </w:r>
      <w:r w:rsidRPr="00B34407">
        <w:rPr>
          <w:u w:val="single"/>
        </w:rPr>
        <w:t>Severability Clause</w:t>
      </w:r>
      <w:r w:rsidRPr="00B34407">
        <w:t>.  In case any provision in this Agreement, as supplemented, shall be invalid, illegal or unenforceable, the validity, legality and enforceability of the remaining provisions shall not in any way be affected or impaired thereby.</w:t>
      </w:r>
    </w:p>
    <w:p w:rsidRPr="00B34407" w:rsidR="001537CE" w:rsidP="001537CE" w:rsidRDefault="001537CE" w14:paraId="24522689" w14:textId="77777777">
      <w:pPr>
        <w:widowControl/>
        <w:autoSpaceDE/>
        <w:autoSpaceDN/>
        <w:adjustRightInd/>
        <w:spacing w:after="240"/>
        <w:ind w:firstLine="720"/>
      </w:pPr>
      <w:r w:rsidRPr="00B34407">
        <w:t>Section 14.</w:t>
      </w:r>
      <w:r w:rsidRPr="00B34407">
        <w:tab/>
      </w:r>
      <w:r w:rsidRPr="00B34407">
        <w:rPr>
          <w:u w:val="single"/>
        </w:rPr>
        <w:t>Successors and Assigns</w:t>
      </w:r>
      <w:r w:rsidRPr="00B34407">
        <w:t>.  All covenants and agreements in this Agreement made by the Obligor shall bind its successors, whether so expressed or not.</w:t>
      </w:r>
    </w:p>
    <w:p w:rsidRPr="00B34407" w:rsidR="001537CE" w:rsidP="001537CE" w:rsidRDefault="001537CE" w14:paraId="7E9D1A40" w14:textId="77777777">
      <w:pPr>
        <w:widowControl/>
        <w:autoSpaceDE/>
        <w:autoSpaceDN/>
        <w:adjustRightInd/>
        <w:spacing w:after="240"/>
        <w:ind w:firstLine="720"/>
      </w:pPr>
      <w:r w:rsidRPr="00B34407">
        <w:t>Section 15.</w:t>
      </w:r>
      <w:r w:rsidRPr="00B34407">
        <w:tab/>
      </w:r>
      <w:r w:rsidRPr="00B34407">
        <w:rPr>
          <w:u w:val="single"/>
        </w:rPr>
        <w:t>Notices</w:t>
      </w:r>
      <w:r w:rsidRPr="00B34407">
        <w:t>.  All notices required to be given to the Obligor under this Agreement shall be made at the following address:</w:t>
      </w:r>
    </w:p>
    <w:p w:rsidRPr="00B34407" w:rsidR="001537CE" w:rsidP="001537CE" w:rsidRDefault="001537CE" w14:paraId="6C050A33" w14:textId="77777777">
      <w:pPr>
        <w:widowControl/>
        <w:autoSpaceDE/>
        <w:autoSpaceDN/>
        <w:adjustRightInd/>
        <w:ind w:left="2160" w:firstLine="720"/>
      </w:pPr>
      <w:r w:rsidRPr="00B34407">
        <w:t>Indiana Housing and Community Development Authority</w:t>
      </w:r>
    </w:p>
    <w:p w:rsidRPr="00B34407" w:rsidR="001537CE" w:rsidP="001537CE" w:rsidRDefault="001537CE" w14:paraId="18653799" w14:textId="53986A38">
      <w:pPr>
        <w:widowControl/>
        <w:autoSpaceDE/>
        <w:autoSpaceDN/>
        <w:adjustRightInd/>
        <w:ind w:left="2160" w:firstLine="720"/>
        <w:rPr>
          <w:color w:val="000000"/>
        </w:rPr>
      </w:pPr>
      <w:r w:rsidRPr="00B34407">
        <w:rPr>
          <w:color w:val="000000"/>
        </w:rPr>
        <w:t>3</w:t>
      </w:r>
      <w:r w:rsidR="0066315E">
        <w:rPr>
          <w:color w:val="000000"/>
        </w:rPr>
        <w:t>0 South Meridian Street, Suite 9</w:t>
      </w:r>
      <w:r w:rsidRPr="00B34407">
        <w:rPr>
          <w:color w:val="000000"/>
        </w:rPr>
        <w:t>00</w:t>
      </w:r>
    </w:p>
    <w:p w:rsidRPr="00B34407" w:rsidR="001537CE" w:rsidP="001537CE" w:rsidRDefault="001537CE" w14:paraId="7E129FCD" w14:textId="77777777">
      <w:pPr>
        <w:widowControl/>
        <w:ind w:firstLine="2880"/>
        <w:rPr>
          <w:color w:val="000000"/>
        </w:rPr>
      </w:pPr>
      <w:r w:rsidRPr="00B34407">
        <w:rPr>
          <w:color w:val="000000"/>
        </w:rPr>
        <w:t>Indianapolis, Indiana 46204</w:t>
      </w:r>
    </w:p>
    <w:p w:rsidRPr="00B34407" w:rsidR="001537CE" w:rsidP="001537CE" w:rsidRDefault="001537CE" w14:paraId="2B8976A8" w14:textId="77777777">
      <w:pPr>
        <w:widowControl/>
        <w:spacing w:after="240"/>
        <w:ind w:firstLine="2880"/>
        <w:rPr>
          <w:color w:val="000000"/>
        </w:rPr>
      </w:pPr>
      <w:r w:rsidRPr="00B34407">
        <w:rPr>
          <w:color w:val="000000"/>
        </w:rPr>
        <w:t>Attn: Executive Director</w:t>
      </w:r>
    </w:p>
    <w:p w:rsidRPr="00B34407" w:rsidR="001537CE" w:rsidP="001537CE" w:rsidRDefault="001537CE" w14:paraId="5399D62F" w14:textId="77777777">
      <w:pPr>
        <w:widowControl/>
        <w:spacing w:after="240"/>
        <w:jc w:val="center"/>
        <w:rPr>
          <w:i/>
          <w:color w:val="000000"/>
        </w:rPr>
      </w:pPr>
    </w:p>
    <w:p w:rsidRPr="00B34407" w:rsidR="001537CE" w:rsidP="001537CE" w:rsidRDefault="001537CE" w14:paraId="4FBAAA08" w14:textId="77777777">
      <w:pPr>
        <w:widowControl/>
        <w:rPr>
          <w:color w:val="000000"/>
        </w:rPr>
      </w:pP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t>INDIANA HOUSING AND COMMUNITY</w:t>
      </w:r>
    </w:p>
    <w:p w:rsidRPr="00B34407" w:rsidR="001537CE" w:rsidP="001537CE" w:rsidRDefault="001537CE" w14:paraId="4719D065" w14:textId="77777777">
      <w:pPr>
        <w:widowControl/>
        <w:rPr>
          <w:color w:val="000000"/>
        </w:rPr>
      </w:pP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t>DEVELOPMENT AUTHORITY</w:t>
      </w:r>
    </w:p>
    <w:p w:rsidRPr="00B34407" w:rsidR="001537CE" w:rsidP="001537CE" w:rsidRDefault="001537CE" w14:paraId="445C8437" w14:textId="77777777">
      <w:pPr>
        <w:widowControl/>
        <w:rPr>
          <w:color w:val="000000"/>
        </w:rPr>
      </w:pPr>
    </w:p>
    <w:p w:rsidRPr="00B34407" w:rsidR="001537CE" w:rsidP="001537CE" w:rsidRDefault="001537CE" w14:paraId="2C48FD6F" w14:textId="77777777">
      <w:pPr>
        <w:widowControl/>
        <w:rPr>
          <w:color w:val="000000"/>
        </w:rPr>
      </w:pPr>
    </w:p>
    <w:p w:rsidRPr="00B34407" w:rsidR="001537CE" w:rsidP="001537CE" w:rsidRDefault="001537CE" w14:paraId="072F61CC" w14:textId="77777777">
      <w:pPr>
        <w:widowControl/>
        <w:rPr>
          <w:color w:val="000000"/>
        </w:rPr>
      </w:pP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t>By:  ________________________________</w:t>
      </w:r>
    </w:p>
    <w:p w:rsidRPr="00B34407" w:rsidR="003114D4" w:rsidP="001537CE" w:rsidRDefault="001537CE" w14:paraId="79BFC5DB" w14:textId="3FC773C0">
      <w:pPr>
        <w:widowControl/>
        <w:rPr>
          <w:color w:val="000000"/>
        </w:rPr>
      </w:pP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r>
      <w:r w:rsidRPr="00B34407">
        <w:rPr>
          <w:color w:val="000000"/>
        </w:rPr>
        <w:tab/>
        <w:t xml:space="preserve">       ________________, Authorized Officer</w:t>
      </w:r>
    </w:p>
    <w:p w:rsidRPr="00B34407" w:rsidR="003114D4" w:rsidP="003114D4" w:rsidRDefault="003114D4" w14:paraId="4D164923" w14:textId="77777777">
      <w:pPr>
        <w:widowControl/>
        <w:rPr>
          <w:color w:val="000000"/>
        </w:rPr>
      </w:pPr>
    </w:p>
    <w:p w:rsidRPr="00B34407" w:rsidR="003114D4" w:rsidP="003114D4" w:rsidRDefault="003114D4" w14:paraId="65D1C5F4" w14:textId="77777777">
      <w:pPr>
        <w:widowControl/>
        <w:spacing w:after="240"/>
        <w:jc w:val="center"/>
        <w:rPr>
          <w:i/>
          <w:color w:val="000000"/>
        </w:rPr>
      </w:pPr>
    </w:p>
    <w:p w:rsidRPr="00B34407" w:rsidR="003114D4" w:rsidP="003114D4" w:rsidRDefault="003114D4" w14:paraId="76E2343B" w14:textId="77777777">
      <w:pPr>
        <w:widowControl/>
        <w:spacing w:after="240"/>
        <w:rPr>
          <w:i/>
          <w:color w:val="000000"/>
        </w:rPr>
      </w:pPr>
    </w:p>
    <w:p w:rsidRPr="00B34407" w:rsidR="003114D4" w:rsidP="003114D4" w:rsidRDefault="003114D4" w14:paraId="5EFAA8FA" w14:textId="77777777">
      <w:pPr>
        <w:widowControl/>
        <w:spacing w:after="240"/>
        <w:jc w:val="center"/>
        <w:rPr>
          <w:i/>
          <w:color w:val="000000"/>
        </w:rPr>
      </w:pPr>
      <w:r w:rsidRPr="00B34407">
        <w:rPr>
          <w:i/>
          <w:color w:val="000000"/>
        </w:rPr>
        <w:t>Signature Page to Continuing Disclosure Agreement</w:t>
      </w:r>
    </w:p>
    <w:bookmarkEnd w:id="945"/>
    <w:p w:rsidRPr="00B34407" w:rsidR="006E576D" w:rsidP="006E576D" w:rsidRDefault="006E576D" w14:paraId="51316E3D" w14:textId="77777777"/>
    <w:p w:rsidRPr="00B34407" w:rsidR="00B70C45" w:rsidP="006E576D" w:rsidRDefault="00B70C45" w14:paraId="705EF7D1" w14:textId="77777777">
      <w:pPr>
        <w:sectPr w:rsidRPr="00B34407" w:rsidR="00B70C45">
          <w:headerReference w:type="default" r:id="rId39"/>
          <w:footerReference w:type="default" r:id="rId40"/>
          <w:pgSz w:w="12240" w:h="15840"/>
          <w:pgMar w:top="1440" w:right="1440" w:bottom="1440" w:left="1440" w:header="720" w:footer="720" w:gutter="0"/>
          <w:pgNumType w:start="1"/>
          <w:cols w:space="720"/>
        </w:sectPr>
      </w:pPr>
    </w:p>
    <w:p w:rsidRPr="00B34407" w:rsidR="00AF72E5" w:rsidP="005571BC" w:rsidRDefault="00AF72E5" w14:paraId="06560F14" w14:textId="77777777">
      <w:pPr>
        <w:pStyle w:val="aBTRightJustified"/>
        <w:widowControl/>
        <w:ind w:left="7920" w:right="936" w:firstLine="630"/>
        <w:jc w:val="center"/>
      </w:pPr>
      <w:bookmarkStart w:name="_DV_M1009" w:id="951"/>
      <w:bookmarkStart w:name="ElPgBr89" w:id="952"/>
      <w:bookmarkEnd w:id="951"/>
      <w:bookmarkEnd w:id="952"/>
      <w:r w:rsidRPr="00B34407">
        <w:lastRenderedPageBreak/>
        <w:t>APPENDIX F</w:t>
      </w:r>
    </w:p>
    <w:p w:rsidRPr="00B34407" w:rsidR="000D3747" w:rsidP="000D3747" w:rsidRDefault="000D3747" w14:paraId="2E8D3960" w14:textId="77777777">
      <w:pPr>
        <w:rPr>
          <w:b/>
        </w:rPr>
      </w:pPr>
    </w:p>
    <w:p w:rsidRPr="00B34407" w:rsidR="00AF72E5" w:rsidP="00F828E4" w:rsidRDefault="00AF72E5" w14:paraId="7ADED9CF" w14:textId="77777777">
      <w:pPr>
        <w:pStyle w:val="atitle"/>
      </w:pPr>
      <w:bookmarkStart w:name="_DV_M1010" w:id="953"/>
      <w:bookmarkEnd w:id="953"/>
      <w:r w:rsidRPr="00B34407">
        <w:t xml:space="preserve">CERTAIN </w:t>
      </w:r>
      <w:r w:rsidRPr="00F828E4">
        <w:t>DEFINITIONS</w:t>
      </w:r>
    </w:p>
    <w:p w:rsidRPr="00B34407" w:rsidR="00AF72E5" w:rsidP="008C1551" w:rsidRDefault="00FC30A1" w14:paraId="5256D468" w14:textId="5210419F">
      <w:pPr>
        <w:pStyle w:val="BodyTextFirstIndent"/>
        <w:ind w:right="936"/>
      </w:pPr>
      <w:bookmarkStart w:name="_DV_M1011" w:id="954"/>
      <w:bookmarkEnd w:id="954"/>
      <w:r>
        <w:t>In addition to terms defined elsewhere in this Official Statement, t</w:t>
      </w:r>
      <w:r w:rsidRPr="00B34407" w:rsidR="00AF72E5">
        <w:t>he following are definitions in summary form of certain terms defined and contained in the Indenture and used in this Official Statement.</w:t>
      </w:r>
    </w:p>
    <w:p w:rsidRPr="00B34407" w:rsidR="00AF72E5" w:rsidP="008C1551" w:rsidRDefault="00C34AEA" w14:paraId="681F7D82" w14:textId="6AB08FCE">
      <w:pPr>
        <w:pStyle w:val="BodyTextFirstIndent"/>
        <w:ind w:right="936"/>
      </w:pPr>
      <w:bookmarkStart w:name="_DV_M1012" w:id="955"/>
      <w:bookmarkEnd w:id="955"/>
      <w:r>
        <w:rPr>
          <w:i/>
          <w:iCs/>
        </w:rPr>
        <w:t>“</w:t>
      </w:r>
      <w:r w:rsidRPr="00B34407" w:rsidR="00AF72E5">
        <w:rPr>
          <w:i/>
          <w:iCs/>
        </w:rPr>
        <w:t>Account</w:t>
      </w:r>
      <w:r>
        <w:rPr>
          <w:i/>
          <w:iCs/>
        </w:rPr>
        <w:t>”</w:t>
      </w:r>
      <w:r w:rsidRPr="00B34407" w:rsidR="00AF72E5">
        <w:t xml:space="preserve"> means one or more, as the case may be, of the special accounts created and established pursuant to the Indenture.</w:t>
      </w:r>
    </w:p>
    <w:p w:rsidRPr="00B34407" w:rsidR="00AF72E5" w:rsidP="008C1551" w:rsidRDefault="00C34AEA" w14:paraId="1B1EDB5D" w14:textId="758A971E">
      <w:pPr>
        <w:pStyle w:val="BodyTextFirstIndent"/>
        <w:ind w:right="936"/>
      </w:pPr>
      <w:bookmarkStart w:name="_DV_M1013" w:id="956"/>
      <w:bookmarkEnd w:id="956"/>
      <w:r>
        <w:rPr>
          <w:i/>
          <w:iCs/>
        </w:rPr>
        <w:t>“</w:t>
      </w:r>
      <w:r w:rsidRPr="00B34407" w:rsidR="00AF72E5">
        <w:rPr>
          <w:i/>
          <w:iCs/>
        </w:rPr>
        <w:t>Accountant</w:t>
      </w:r>
      <w:r>
        <w:rPr>
          <w:i/>
          <w:iCs/>
        </w:rPr>
        <w:t>”</w:t>
      </w:r>
      <w:r w:rsidRPr="00B34407" w:rsidR="00AF72E5">
        <w:t xml:space="preserve"> means such reputable and experienced independent certified public accountant or firm of independent certified public accountants as may be selected by the Authority and satisfactory to the Trustee and may be the accountant or firm of accountants who regularly audit the books and accounts of the Authority.</w:t>
      </w:r>
    </w:p>
    <w:p w:rsidR="00AF72E5" w:rsidP="008C1551" w:rsidRDefault="00C34AEA" w14:paraId="09D25149" w14:textId="3093D1F4">
      <w:pPr>
        <w:pStyle w:val="BodyTextFirstIndent"/>
        <w:ind w:right="936"/>
      </w:pPr>
      <w:bookmarkStart w:name="_DV_M1014" w:id="957"/>
      <w:bookmarkEnd w:id="957"/>
      <w:r>
        <w:rPr>
          <w:i/>
          <w:iCs/>
        </w:rPr>
        <w:t>“</w:t>
      </w:r>
      <w:r w:rsidRPr="00B34407" w:rsidR="00AF72E5">
        <w:rPr>
          <w:i/>
          <w:iCs/>
        </w:rPr>
        <w:t>Act</w:t>
      </w:r>
      <w:r>
        <w:rPr>
          <w:i/>
          <w:iCs/>
        </w:rPr>
        <w:t>”</w:t>
      </w:r>
      <w:r w:rsidRPr="00B34407" w:rsidR="00AF72E5">
        <w:t xml:space="preserve"> means Chapter 1 of Article 20 of Title 5 of the Indiana Code, as amended.</w:t>
      </w:r>
    </w:p>
    <w:p w:rsidRPr="00B34407" w:rsidR="00AF72E5" w:rsidP="008C1551" w:rsidRDefault="00C34AEA" w14:paraId="64851078" w14:textId="4B85CA49">
      <w:pPr>
        <w:pStyle w:val="BodyTextFirstIndent"/>
        <w:ind w:right="936"/>
      </w:pPr>
      <w:bookmarkStart w:name="_DV_M1015" w:id="958"/>
      <w:bookmarkEnd w:id="958"/>
      <w:r>
        <w:rPr>
          <w:i/>
          <w:iCs/>
        </w:rPr>
        <w:t>“</w:t>
      </w:r>
      <w:r w:rsidRPr="00B34407" w:rsidR="00AF72E5">
        <w:rPr>
          <w:i/>
          <w:iCs/>
        </w:rPr>
        <w:t>Administrative Fee</w:t>
      </w:r>
      <w:r>
        <w:rPr>
          <w:i/>
          <w:iCs/>
        </w:rPr>
        <w:t>”</w:t>
      </w:r>
      <w:r w:rsidRPr="00B34407" w:rsidR="00AF72E5">
        <w:t xml:space="preserve"> means the fee paid to the Authority for administering the Program from amounts on deposit in the Revenue Account, which Administrative Fee will be as provided in the Supplemental Indenture for </w:t>
      </w:r>
      <w:r w:rsidRPr="00B34407" w:rsidR="00083BF0">
        <w:t>each</w:t>
      </w:r>
      <w:r w:rsidRPr="00B34407" w:rsidR="00AF72E5">
        <w:t xml:space="preserve"> series of Bonds.</w:t>
      </w:r>
    </w:p>
    <w:p w:rsidRPr="00B34407" w:rsidR="00AF72E5" w:rsidP="008C1551" w:rsidRDefault="00C34AEA" w14:paraId="5FD5B936" w14:textId="2D2C9825">
      <w:pPr>
        <w:pStyle w:val="BodyTextFirstIndent"/>
        <w:ind w:right="936"/>
      </w:pPr>
      <w:bookmarkStart w:name="_DV_M1016" w:id="959"/>
      <w:bookmarkEnd w:id="959"/>
      <w:r>
        <w:rPr>
          <w:i/>
          <w:iCs/>
        </w:rPr>
        <w:t>“</w:t>
      </w:r>
      <w:r w:rsidRPr="00B34407" w:rsidR="00AF72E5">
        <w:rPr>
          <w:i/>
          <w:iCs/>
        </w:rPr>
        <w:t>Aggregate Debt Service</w:t>
      </w:r>
      <w:r>
        <w:rPr>
          <w:i/>
          <w:iCs/>
        </w:rPr>
        <w:t>”</w:t>
      </w:r>
      <w:r w:rsidRPr="00B34407" w:rsidR="00AF72E5">
        <w:t xml:space="preserve"> means, with respect to any particular Fiscal Year and as of any particular date of computation, the sum of the individual amounts of Debt Service for such Fiscal Year with respect to all series of Bonds.</w:t>
      </w:r>
    </w:p>
    <w:p w:rsidRPr="00B34407" w:rsidR="00AF72E5" w:rsidP="008C1551" w:rsidRDefault="00C34AEA" w14:paraId="252F42DB" w14:textId="59DF6DA3">
      <w:pPr>
        <w:pStyle w:val="BodyTextFirstIndent"/>
        <w:ind w:right="936"/>
      </w:pPr>
      <w:bookmarkStart w:name="_DV_M1017" w:id="960"/>
      <w:bookmarkStart w:name="_DV_M1020" w:id="961"/>
      <w:bookmarkEnd w:id="960"/>
      <w:bookmarkEnd w:id="961"/>
      <w:r>
        <w:rPr>
          <w:i/>
          <w:iCs/>
        </w:rPr>
        <w:t>“</w:t>
      </w:r>
      <w:r w:rsidRPr="00B34407" w:rsidR="00AF72E5">
        <w:rPr>
          <w:i/>
          <w:iCs/>
        </w:rPr>
        <w:t>Authority</w:t>
      </w:r>
      <w:r>
        <w:rPr>
          <w:i/>
          <w:iCs/>
        </w:rPr>
        <w:t>”</w:t>
      </w:r>
      <w:r w:rsidRPr="00B34407" w:rsidR="00AF72E5">
        <w:t xml:space="preserve"> means the Indiana Housing and Community Development Authority, a body corporate and politic of the State of Indiana, or any body, agency or instrumentality of the State which hereafter succeeds to the powers, duties and functions of the Authority.</w:t>
      </w:r>
    </w:p>
    <w:p w:rsidRPr="00B34407" w:rsidR="00AF72E5" w:rsidP="008C1551" w:rsidRDefault="00C34AEA" w14:paraId="13C7E44D" w14:textId="34C632D1">
      <w:pPr>
        <w:pStyle w:val="BodyTextFirstIndent"/>
        <w:ind w:right="936"/>
      </w:pPr>
      <w:bookmarkStart w:name="_DV_M1021" w:id="962"/>
      <w:bookmarkEnd w:id="962"/>
      <w:r>
        <w:rPr>
          <w:i/>
          <w:iCs/>
        </w:rPr>
        <w:t>“</w:t>
      </w:r>
      <w:r w:rsidRPr="00B34407" w:rsidR="00AF72E5">
        <w:rPr>
          <w:i/>
          <w:iCs/>
        </w:rPr>
        <w:t>Authorized Denominations</w:t>
      </w:r>
      <w:r>
        <w:rPr>
          <w:i/>
          <w:iCs/>
        </w:rPr>
        <w:t>”</w:t>
      </w:r>
      <w:r w:rsidRPr="00B34407" w:rsidR="00AF72E5">
        <w:t xml:space="preserve"> means $5,000 o</w:t>
      </w:r>
      <w:r w:rsidRPr="00B34407" w:rsidR="00E52AD1">
        <w:t>r any integral multiple thereof</w:t>
      </w:r>
      <w:r w:rsidRPr="00B34407" w:rsidR="00AF72E5">
        <w:t>.</w:t>
      </w:r>
      <w:bookmarkStart w:name="_DV_M1022" w:id="963"/>
      <w:bookmarkEnd w:id="963"/>
    </w:p>
    <w:p w:rsidRPr="00B34407" w:rsidR="00AF72E5" w:rsidP="008C1551" w:rsidRDefault="00C34AEA" w14:paraId="768E20BB" w14:textId="2C997848">
      <w:pPr>
        <w:pStyle w:val="BodyTextFirstIndent"/>
        <w:ind w:right="936"/>
      </w:pPr>
      <w:bookmarkStart w:name="_DV_M1023" w:id="964"/>
      <w:bookmarkEnd w:id="964"/>
      <w:r>
        <w:rPr>
          <w:i/>
          <w:iCs/>
        </w:rPr>
        <w:t>“</w:t>
      </w:r>
      <w:r w:rsidRPr="00B34407" w:rsidR="00AF72E5">
        <w:rPr>
          <w:i/>
          <w:iCs/>
        </w:rPr>
        <w:t>Authorized Officer</w:t>
      </w:r>
      <w:r>
        <w:rPr>
          <w:i/>
          <w:iCs/>
        </w:rPr>
        <w:t>”</w:t>
      </w:r>
      <w:r w:rsidRPr="00B34407" w:rsidR="00AF72E5">
        <w:t xml:space="preserve"> means the Chair or Executive Director of the Authority and, in the case of any act to be performed or duty to be discharged, any other member, officer or employee of the Authority then authorized to perform such act or discharge such duty.</w:t>
      </w:r>
    </w:p>
    <w:p w:rsidRPr="00B34407" w:rsidR="00AF72E5" w:rsidP="008C1551" w:rsidRDefault="00C34AEA" w14:paraId="458AA011" w14:textId="7C71FAE0">
      <w:pPr>
        <w:pStyle w:val="BodyTextFirstIndent"/>
        <w:ind w:right="936"/>
      </w:pPr>
      <w:bookmarkStart w:name="_DV_M1024" w:id="965"/>
      <w:bookmarkStart w:name="_DV_M1025" w:id="966"/>
      <w:bookmarkEnd w:id="965"/>
      <w:bookmarkEnd w:id="966"/>
      <w:r>
        <w:rPr>
          <w:i/>
          <w:iCs/>
        </w:rPr>
        <w:t>“</w:t>
      </w:r>
      <w:r w:rsidRPr="00B34407" w:rsidR="00AF72E5">
        <w:rPr>
          <w:i/>
          <w:iCs/>
        </w:rPr>
        <w:t>Beneficial Owners</w:t>
      </w:r>
      <w:r>
        <w:rPr>
          <w:i/>
          <w:iCs/>
        </w:rPr>
        <w:t>”</w:t>
      </w:r>
      <w:r w:rsidRPr="00B34407" w:rsidR="00AF72E5">
        <w:t xml:space="preserve"> means the owners of beneficial interests in the </w:t>
      </w:r>
      <w:r w:rsidR="00C7294C">
        <w:t>2024 Series C</w:t>
      </w:r>
      <w:r w:rsidR="005B3036">
        <w:t xml:space="preserve"> Bond</w:t>
      </w:r>
      <w:r w:rsidR="006C550F">
        <w:t>s</w:t>
      </w:r>
      <w:r w:rsidRPr="00B34407" w:rsidR="00AF72E5">
        <w:t xml:space="preserve"> registered in the name of DTC or its nominee as evidenced by the accounts and records of DTC, its participants and indirect participants.</w:t>
      </w:r>
    </w:p>
    <w:p w:rsidRPr="00B34407" w:rsidR="00AF72E5" w:rsidP="008C1551" w:rsidRDefault="00C34AEA" w14:paraId="722B8902" w14:textId="0203E565">
      <w:pPr>
        <w:pStyle w:val="BodyTextFirstIndent"/>
        <w:ind w:right="936"/>
      </w:pPr>
      <w:bookmarkStart w:name="_DV_M1026" w:id="967"/>
      <w:bookmarkEnd w:id="967"/>
      <w:r>
        <w:rPr>
          <w:i/>
          <w:iCs/>
        </w:rPr>
        <w:t>“</w:t>
      </w:r>
      <w:r w:rsidRPr="00B34407" w:rsidR="00AF72E5">
        <w:rPr>
          <w:i/>
          <w:iCs/>
        </w:rPr>
        <w:t>Bond</w:t>
      </w:r>
      <w:r>
        <w:rPr>
          <w:i/>
          <w:iCs/>
        </w:rPr>
        <w:t>”</w:t>
      </w:r>
      <w:r w:rsidRPr="00B34407" w:rsidR="00AF72E5">
        <w:rPr>
          <w:i/>
          <w:iCs/>
        </w:rPr>
        <w:t xml:space="preserve"> </w:t>
      </w:r>
      <w:r w:rsidRPr="00B34407" w:rsidR="00AF72E5">
        <w:t>means one of the bonds or notes authenticated and delivered pursuant to the Indenture, including any additional or Refunding Bonds.</w:t>
      </w:r>
    </w:p>
    <w:p w:rsidRPr="00B34407" w:rsidR="00AF72E5" w:rsidP="008C1551" w:rsidRDefault="00C34AEA" w14:paraId="0B3413F5" w14:textId="699E9868">
      <w:pPr>
        <w:pStyle w:val="BodyTextFirstIndent"/>
        <w:ind w:right="936"/>
      </w:pPr>
      <w:bookmarkStart w:name="_DV_M1027" w:id="968"/>
      <w:bookmarkEnd w:id="968"/>
      <w:r>
        <w:rPr>
          <w:i/>
          <w:iCs/>
        </w:rPr>
        <w:t>“</w:t>
      </w:r>
      <w:r w:rsidRPr="00B34407" w:rsidR="00AF72E5">
        <w:rPr>
          <w:i/>
          <w:iCs/>
        </w:rPr>
        <w:t>Bond Counsel</w:t>
      </w:r>
      <w:r>
        <w:rPr>
          <w:i/>
          <w:iCs/>
        </w:rPr>
        <w:t>’</w:t>
      </w:r>
      <w:r w:rsidRPr="00B34407" w:rsidR="00AF72E5">
        <w:rPr>
          <w:i/>
          <w:iCs/>
        </w:rPr>
        <w:t>s Opinion</w:t>
      </w:r>
      <w:r>
        <w:rPr>
          <w:i/>
          <w:iCs/>
        </w:rPr>
        <w:t>”</w:t>
      </w:r>
      <w:r w:rsidRPr="00B34407" w:rsidR="00AF72E5">
        <w:t xml:space="preserve"> means an opinion signed by an attorney or firm of attorneys of nationally recognized standing in the field of law relating to municipal, state and public agency financing, selected by the Authority and satisfactory to the Trustee.</w:t>
      </w:r>
    </w:p>
    <w:p w:rsidRPr="00B34407" w:rsidR="00AF72E5" w:rsidP="008C1551" w:rsidRDefault="00C34AEA" w14:paraId="67EE45CA" w14:textId="45C0B250">
      <w:pPr>
        <w:pStyle w:val="BodyTextFirstIndent"/>
        <w:ind w:right="936"/>
      </w:pPr>
      <w:bookmarkStart w:name="_DV_M1028" w:id="969"/>
      <w:bookmarkEnd w:id="969"/>
      <w:r>
        <w:rPr>
          <w:i/>
          <w:iCs/>
        </w:rPr>
        <w:t>“</w:t>
      </w:r>
      <w:r w:rsidRPr="00B34407" w:rsidR="00AF72E5">
        <w:rPr>
          <w:i/>
          <w:iCs/>
        </w:rPr>
        <w:t>Bondholder</w:t>
      </w:r>
      <w:r>
        <w:rPr>
          <w:i/>
          <w:iCs/>
        </w:rPr>
        <w:t>”</w:t>
      </w:r>
      <w:r w:rsidRPr="00B34407" w:rsidR="00AF72E5">
        <w:rPr>
          <w:i/>
          <w:iCs/>
        </w:rPr>
        <w:t xml:space="preserve"> or </w:t>
      </w:r>
      <w:r>
        <w:rPr>
          <w:i/>
          <w:iCs/>
        </w:rPr>
        <w:t>“</w:t>
      </w:r>
      <w:r w:rsidRPr="00B34407" w:rsidR="00AF72E5">
        <w:rPr>
          <w:i/>
          <w:iCs/>
        </w:rPr>
        <w:t>holder</w:t>
      </w:r>
      <w:r>
        <w:rPr>
          <w:i/>
          <w:iCs/>
        </w:rPr>
        <w:t>”</w:t>
      </w:r>
      <w:r w:rsidRPr="00B34407" w:rsidR="00AF72E5">
        <w:t xml:space="preserve"> or words of similar import, when used with reference to a Bond means any person who is the registered owner of any outstanding Bond.</w:t>
      </w:r>
    </w:p>
    <w:p w:rsidRPr="00B34407" w:rsidR="00AF72E5" w:rsidP="008C1551" w:rsidRDefault="00C34AEA" w14:paraId="3AF84188" w14:textId="34C34517">
      <w:pPr>
        <w:pStyle w:val="BodyTextFirstIndent"/>
        <w:ind w:right="936"/>
      </w:pPr>
      <w:bookmarkStart w:name="_DV_M1029" w:id="970"/>
      <w:bookmarkEnd w:id="970"/>
      <w:r>
        <w:rPr>
          <w:i/>
          <w:iCs/>
        </w:rPr>
        <w:t>“</w:t>
      </w:r>
      <w:r w:rsidRPr="00B34407" w:rsidR="00AF72E5">
        <w:rPr>
          <w:i/>
          <w:iCs/>
        </w:rPr>
        <w:t>Business Day</w:t>
      </w:r>
      <w:r>
        <w:rPr>
          <w:i/>
          <w:iCs/>
        </w:rPr>
        <w:t>”</w:t>
      </w:r>
      <w:r w:rsidRPr="00B34407" w:rsidR="00AF72E5">
        <w:t xml:space="preserve"> means any day other than (i) a Saturday or Sunday or (ii) a day on which banking institutions in New York, New York or any other city where the principal United States office of any of the Bank, the Trustee, or the Remarketing Agent is located are required or authorized by law (including executive order) to close, or on which the principal United States office of the Bank, the Trustee, the Paying Agent, the Tender Agent, or the Remarketing Agent is closed for a reason not related to financial condition, or (iii) a day on which The New York Stock Exchange is closed.</w:t>
      </w:r>
    </w:p>
    <w:p w:rsidR="00AF72E5" w:rsidP="008C1551" w:rsidRDefault="00C34AEA" w14:paraId="60F6CE81" w14:textId="295DA841">
      <w:pPr>
        <w:pStyle w:val="BodyTextFirstIndent"/>
        <w:ind w:right="936"/>
      </w:pPr>
      <w:bookmarkStart w:name="_DV_M1030" w:id="971"/>
      <w:bookmarkStart w:name="ElPgBr90" w:id="972"/>
      <w:bookmarkEnd w:id="971"/>
      <w:bookmarkEnd w:id="972"/>
      <w:r>
        <w:rPr>
          <w:i/>
          <w:iCs/>
        </w:rPr>
        <w:t>“</w:t>
      </w:r>
      <w:r w:rsidRPr="00B34407" w:rsidR="00AF72E5">
        <w:rPr>
          <w:i/>
          <w:iCs/>
        </w:rPr>
        <w:t>Code</w:t>
      </w:r>
      <w:r>
        <w:rPr>
          <w:i/>
          <w:iCs/>
        </w:rPr>
        <w:t>”</w:t>
      </w:r>
      <w:r w:rsidRPr="00B34407" w:rsidR="00AF72E5">
        <w:t xml:space="preserve"> means the Internal Revenue Code of 1986, as amended from time to time or any successor thereto, together with the corresponding and applicable final, temporary or proposed regulations and revenue rulings issued or amended with respect thereto, or with respect to the Internal Revenue Code of 1954, by the United States Treasury Department of the Internal Revenue Service.</w:t>
      </w:r>
    </w:p>
    <w:p w:rsidRPr="00B34407" w:rsidR="00AF72E5" w:rsidP="008C1551" w:rsidRDefault="00C34AEA" w14:paraId="775D0B5E" w14:textId="456AB252">
      <w:pPr>
        <w:pStyle w:val="BodyTextFirstIndent"/>
        <w:ind w:right="936"/>
      </w:pPr>
      <w:bookmarkStart w:name="_DV_M1031" w:id="973"/>
      <w:bookmarkEnd w:id="973"/>
      <w:r>
        <w:rPr>
          <w:i/>
          <w:iCs/>
        </w:rPr>
        <w:lastRenderedPageBreak/>
        <w:t>“</w:t>
      </w:r>
      <w:r w:rsidRPr="00B34407" w:rsidR="00AF72E5">
        <w:rPr>
          <w:i/>
          <w:iCs/>
        </w:rPr>
        <w:t>Costs of Issuance</w:t>
      </w:r>
      <w:r>
        <w:rPr>
          <w:i/>
          <w:iCs/>
        </w:rPr>
        <w:t>”</w:t>
      </w:r>
      <w:r w:rsidRPr="00B34407" w:rsidR="00AF72E5">
        <w:t xml:space="preserve"> means all items of expense directly or indirectly payable or reimbursable by or to the Authority and related to the authorization, sale and issuance of Bonds, including but not limited to printing costs, costs of preparation and reproduction of documents, filing and recording fees, initial fees and charges of any Fiduciary, legal fees and charges, fees and disbursements of consultants and professionals, costs of credit ratings, fees and charges for preparation, execution, transportation and safekeeping of Bonds, costs and expenses of refunding, premiums for the insurance of the payment of Bonds and any other cost, charge or fee in connection with the original issuance of the Bonds.</w:t>
      </w:r>
    </w:p>
    <w:p w:rsidRPr="00B34407" w:rsidR="00AF72E5" w:rsidP="008C1551" w:rsidRDefault="00C34AEA" w14:paraId="478A138D" w14:textId="6BB5599B">
      <w:pPr>
        <w:pStyle w:val="BodyTextFirstIndent"/>
        <w:ind w:right="936"/>
      </w:pPr>
      <w:bookmarkStart w:name="_DV_M1032" w:id="974"/>
      <w:bookmarkStart w:name="_DV_M1036" w:id="975"/>
      <w:bookmarkEnd w:id="974"/>
      <w:bookmarkEnd w:id="975"/>
      <w:r>
        <w:rPr>
          <w:i/>
          <w:iCs/>
        </w:rPr>
        <w:t>“</w:t>
      </w:r>
      <w:r w:rsidRPr="00B34407" w:rsidR="00AF72E5">
        <w:rPr>
          <w:i/>
          <w:iCs/>
        </w:rPr>
        <w:t>Debt Service</w:t>
      </w:r>
      <w:r>
        <w:rPr>
          <w:i/>
          <w:iCs/>
        </w:rPr>
        <w:t>”</w:t>
      </w:r>
      <w:r w:rsidRPr="00B34407" w:rsidR="00AF72E5">
        <w:t xml:space="preserve"> means, with respect to any particular Fiscal Year and any particular series of Bonds, an amount equal to the sum of (i) all interest payable on such Bonds during such Fiscal Year, plus (ii) any Principal Installment of such Bonds due during such Fiscal Year.</w:t>
      </w:r>
    </w:p>
    <w:p w:rsidRPr="00B34407" w:rsidR="00AF72E5" w:rsidP="008C1551" w:rsidRDefault="00C34AEA" w14:paraId="171CF28C" w14:textId="528F5C8D">
      <w:pPr>
        <w:pStyle w:val="BodyTextFirstIndent"/>
        <w:ind w:right="936"/>
      </w:pPr>
      <w:bookmarkStart w:name="_DV_M1037" w:id="976"/>
      <w:bookmarkStart w:name="_DV_M1039" w:id="977"/>
      <w:bookmarkEnd w:id="976"/>
      <w:bookmarkEnd w:id="977"/>
      <w:r>
        <w:rPr>
          <w:i/>
          <w:iCs/>
        </w:rPr>
        <w:t>“</w:t>
      </w:r>
      <w:r w:rsidRPr="00B34407" w:rsidR="00AF72E5">
        <w:rPr>
          <w:i/>
          <w:iCs/>
        </w:rPr>
        <w:t>Depository</w:t>
      </w:r>
      <w:r>
        <w:rPr>
          <w:i/>
          <w:iCs/>
        </w:rPr>
        <w:t>”</w:t>
      </w:r>
      <w:r w:rsidRPr="00B34407" w:rsidR="00AF72E5">
        <w:t xml:space="preserve"> means any bank or trust company, savings and loan association or national banking association selected by the Authority or the Trustee as a depository of moneys or securities held under the provisions of the Indenture and may include the Trustee</w:t>
      </w:r>
      <w:r w:rsidRPr="00B34407" w:rsidR="007D33A7">
        <w:t>, a Servicer</w:t>
      </w:r>
      <w:r w:rsidRPr="00B34407" w:rsidR="00AF72E5">
        <w:t xml:space="preserve"> or any Paying Agent.</w:t>
      </w:r>
    </w:p>
    <w:p w:rsidRPr="00B34407" w:rsidR="00AF72E5" w:rsidP="008C1551" w:rsidRDefault="00C34AEA" w14:paraId="4C91B508" w14:textId="7C360B1D">
      <w:pPr>
        <w:pStyle w:val="BodyTextFirstIndent"/>
        <w:ind w:right="936"/>
      </w:pPr>
      <w:bookmarkStart w:name="_DV_M1040" w:id="978"/>
      <w:bookmarkEnd w:id="978"/>
      <w:r>
        <w:rPr>
          <w:i/>
          <w:iCs/>
        </w:rPr>
        <w:t>“</w:t>
      </w:r>
      <w:r w:rsidRPr="00B34407" w:rsidR="00AF72E5">
        <w:rPr>
          <w:i/>
          <w:iCs/>
        </w:rPr>
        <w:t>Depository Company</w:t>
      </w:r>
      <w:r>
        <w:rPr>
          <w:i/>
          <w:iCs/>
        </w:rPr>
        <w:t>”</w:t>
      </w:r>
      <w:r w:rsidRPr="00B34407" w:rsidR="00AF72E5">
        <w:t xml:space="preserve"> means The Depository Trust Company, New York, New York, and its successors and assigns, including without limitation any surviving, resulting or transferee corporation, or any successor corporation that may be appointed in a manner consistent with the Indenture.</w:t>
      </w:r>
    </w:p>
    <w:p w:rsidRPr="00B34407" w:rsidR="00AF72E5" w:rsidP="008C1551" w:rsidRDefault="00C34AEA" w14:paraId="0CDADB63" w14:textId="5F9C3CD8">
      <w:pPr>
        <w:pStyle w:val="BodyTextFirstIndent"/>
        <w:ind w:right="936"/>
      </w:pPr>
      <w:bookmarkStart w:name="_DV_M1041" w:id="979"/>
      <w:bookmarkEnd w:id="979"/>
      <w:r>
        <w:rPr>
          <w:i/>
          <w:iCs/>
        </w:rPr>
        <w:t>“</w:t>
      </w:r>
      <w:r w:rsidRPr="00B34407" w:rsidR="00AF72E5">
        <w:rPr>
          <w:i/>
          <w:iCs/>
        </w:rPr>
        <w:t>Electronic Means</w:t>
      </w:r>
      <w:r>
        <w:rPr>
          <w:i/>
          <w:iCs/>
        </w:rPr>
        <w:t>”</w:t>
      </w:r>
      <w:r w:rsidRPr="00B34407" w:rsidR="00AF72E5">
        <w:t xml:space="preserve"> means telecopy, facsimile transmission, e-mail transmission or other similar electronic means of communication providing evidence of transmission, including a telephonic communication confirmed by any other method set forth in this definition.</w:t>
      </w:r>
    </w:p>
    <w:p w:rsidRPr="00B34407" w:rsidR="00AF72E5" w:rsidP="008C1551" w:rsidRDefault="00C34AEA" w14:paraId="431F1285" w14:textId="2D9C9F0C">
      <w:pPr>
        <w:pStyle w:val="BodyTextFirstIndent"/>
        <w:ind w:right="936"/>
      </w:pPr>
      <w:bookmarkStart w:name="_DV_M1042" w:id="980"/>
      <w:bookmarkEnd w:id="980"/>
      <w:r>
        <w:rPr>
          <w:i/>
          <w:iCs/>
        </w:rPr>
        <w:t>“</w:t>
      </w:r>
      <w:r w:rsidRPr="00B34407" w:rsidR="00AF72E5">
        <w:rPr>
          <w:i/>
          <w:iCs/>
        </w:rPr>
        <w:t>Event of Default</w:t>
      </w:r>
      <w:r>
        <w:rPr>
          <w:i/>
          <w:iCs/>
        </w:rPr>
        <w:t>”</w:t>
      </w:r>
      <w:r w:rsidRPr="00B34407" w:rsidR="00AF72E5">
        <w:t xml:space="preserve"> means any of the events specified in the Indenture.  See </w:t>
      </w:r>
      <w:r>
        <w:t>“</w:t>
      </w:r>
      <w:r w:rsidRPr="00B34407" w:rsidR="00AF72E5">
        <w:t xml:space="preserve">APPENDIX </w:t>
      </w:r>
      <w:r w:rsidRPr="00B34407" w:rsidR="00C81706">
        <w:t>D</w:t>
      </w:r>
      <w:r w:rsidR="00C95F82">
        <w:t>:</w:t>
      </w:r>
      <w:r w:rsidRPr="00B34407" w:rsidR="00C81706">
        <w:t xml:space="preserve"> SUMMARY</w:t>
      </w:r>
      <w:r w:rsidRPr="00B34407" w:rsidR="00AF72E5">
        <w:t xml:space="preserve"> OF CERTAIN PROVISIONS OF INDENTURE—Events of Default.</w:t>
      </w:r>
      <w:r>
        <w:t>”</w:t>
      </w:r>
    </w:p>
    <w:p w:rsidRPr="00B34407" w:rsidR="00AF72E5" w:rsidP="008C1551" w:rsidRDefault="00C34AEA" w14:paraId="1A1662F1" w14:textId="42D176E6">
      <w:pPr>
        <w:pStyle w:val="BodyTextFirstIndent"/>
        <w:ind w:right="936"/>
      </w:pPr>
      <w:bookmarkStart w:name="_DV_M1043" w:id="981"/>
      <w:bookmarkEnd w:id="981"/>
      <w:r>
        <w:rPr>
          <w:i/>
          <w:iCs/>
        </w:rPr>
        <w:t>“</w:t>
      </w:r>
      <w:r w:rsidRPr="00B34407" w:rsidR="00AF72E5">
        <w:rPr>
          <w:i/>
          <w:iCs/>
        </w:rPr>
        <w:t>Excess Revenues</w:t>
      </w:r>
      <w:r>
        <w:rPr>
          <w:i/>
          <w:iCs/>
        </w:rPr>
        <w:t>”</w:t>
      </w:r>
      <w:r w:rsidRPr="00B34407" w:rsidR="00AF72E5">
        <w:t xml:space="preserve"> means, as of any date of calculation, the amount, whether attributable to the </w:t>
      </w:r>
      <w:r w:rsidR="00C7294C">
        <w:t>2024 Series C</w:t>
      </w:r>
      <w:r w:rsidR="005B3036">
        <w:t xml:space="preserve"> Bond</w:t>
      </w:r>
      <w:r w:rsidR="006C550F">
        <w:t>s</w:t>
      </w:r>
      <w:r w:rsidRPr="007320C4" w:rsidR="00AF72E5">
        <w:t xml:space="preserve"> or any other Bonds, held in the Revenue Account, less (i) Prepayments, (ii) accrued Debt Service and (</w:t>
      </w:r>
      <w:r w:rsidRPr="00B34407" w:rsidR="00AF72E5">
        <w:t>iii) accrued and unpaid Program Expenses a</w:t>
      </w:r>
      <w:r w:rsidRPr="00B34407" w:rsidR="009D4702">
        <w:t>s calculated by the Authority</w:t>
      </w:r>
      <w:r w:rsidRPr="00B34407" w:rsidR="00AF72E5">
        <w:t>.</w:t>
      </w:r>
    </w:p>
    <w:p w:rsidRPr="00B34407" w:rsidR="00AF72E5" w:rsidP="008C1551" w:rsidRDefault="00C34AEA" w14:paraId="67DE7D3B" w14:textId="147C078F">
      <w:pPr>
        <w:pStyle w:val="BodyTextFirstIndent"/>
        <w:ind w:right="936"/>
      </w:pPr>
      <w:bookmarkStart w:name="_DV_M1044" w:id="982"/>
      <w:bookmarkStart w:name="_DV_M1045" w:id="983"/>
      <w:bookmarkEnd w:id="982"/>
      <w:bookmarkEnd w:id="983"/>
      <w:r>
        <w:rPr>
          <w:i/>
          <w:iCs/>
        </w:rPr>
        <w:t>“</w:t>
      </w:r>
      <w:r w:rsidRPr="00B34407" w:rsidR="00AF72E5">
        <w:rPr>
          <w:i/>
          <w:iCs/>
        </w:rPr>
        <w:t>Fannie Mae</w:t>
      </w:r>
      <w:r>
        <w:rPr>
          <w:i/>
          <w:iCs/>
        </w:rPr>
        <w:t>”</w:t>
      </w:r>
      <w:r w:rsidRPr="00B34407" w:rsidR="00AF72E5">
        <w:t xml:space="preserve"> means the Federal National Mortgage Association, a body corporate created and existing under the laws of the United States of America.</w:t>
      </w:r>
    </w:p>
    <w:p w:rsidRPr="00B34407" w:rsidR="00AF72E5" w:rsidP="008C1551" w:rsidRDefault="00C34AEA" w14:paraId="5D773DCA" w14:textId="153BD04B">
      <w:pPr>
        <w:pStyle w:val="BodyTextFirstIndent"/>
        <w:ind w:right="936"/>
      </w:pPr>
      <w:bookmarkStart w:name="_DV_M1046" w:id="984"/>
      <w:bookmarkEnd w:id="984"/>
      <w:r>
        <w:rPr>
          <w:i/>
          <w:iCs/>
        </w:rPr>
        <w:t>“</w:t>
      </w:r>
      <w:r w:rsidRPr="00B34407" w:rsidR="00AF72E5">
        <w:rPr>
          <w:i/>
          <w:iCs/>
        </w:rPr>
        <w:t>Fannie Mae Certificate</w:t>
      </w:r>
      <w:r>
        <w:rPr>
          <w:i/>
          <w:iCs/>
        </w:rPr>
        <w:t>”</w:t>
      </w:r>
      <w:r w:rsidRPr="00B34407" w:rsidR="00AF72E5">
        <w:t xml:space="preserve"> means a single pool, guaranteed mortgage pass-through certificate issued by Fannie Mae in book-entry form, recorded in the name of the Trustee or its nominee, the full and timely payment of principal of and interest on which is guaranteed by Fannie Mae and backed by Mortgage Loans in the related Fannie Mae pool.</w:t>
      </w:r>
    </w:p>
    <w:p w:rsidRPr="00B34407" w:rsidR="00AF72E5" w:rsidP="008C1551" w:rsidRDefault="00C34AEA" w14:paraId="428A43CD" w14:textId="0DCA7E5F">
      <w:pPr>
        <w:pStyle w:val="BodyTextFirstIndent"/>
        <w:ind w:right="936"/>
      </w:pPr>
      <w:bookmarkStart w:name="_DV_M1047" w:id="985"/>
      <w:bookmarkEnd w:id="985"/>
      <w:r>
        <w:rPr>
          <w:i/>
          <w:iCs/>
        </w:rPr>
        <w:t>“</w:t>
      </w:r>
      <w:r w:rsidRPr="00B34407" w:rsidR="00AF72E5">
        <w:rPr>
          <w:i/>
          <w:iCs/>
        </w:rPr>
        <w:t>Fiduciary</w:t>
      </w:r>
      <w:r>
        <w:rPr>
          <w:i/>
          <w:iCs/>
        </w:rPr>
        <w:t>”</w:t>
      </w:r>
      <w:r w:rsidRPr="00B34407" w:rsidR="00AF72E5">
        <w:t xml:space="preserve"> means the Trustee and any Paying Agent, or any or all of them as may be appropriate.</w:t>
      </w:r>
    </w:p>
    <w:p w:rsidRPr="00B34407" w:rsidR="00AF72E5" w:rsidP="008C1551" w:rsidRDefault="00C34AEA" w14:paraId="4D57EC02" w14:textId="56758EAA">
      <w:pPr>
        <w:pStyle w:val="BodyTextFirstIndent"/>
        <w:ind w:right="936"/>
      </w:pPr>
      <w:bookmarkStart w:name="_DV_M1048" w:id="986"/>
      <w:bookmarkEnd w:id="986"/>
      <w:r>
        <w:rPr>
          <w:i/>
          <w:iCs/>
        </w:rPr>
        <w:t>“</w:t>
      </w:r>
      <w:r w:rsidRPr="00B34407" w:rsidR="00AF72E5">
        <w:rPr>
          <w:i/>
          <w:iCs/>
        </w:rPr>
        <w:t>Fiscal Year</w:t>
      </w:r>
      <w:r>
        <w:rPr>
          <w:i/>
          <w:iCs/>
        </w:rPr>
        <w:t>”</w:t>
      </w:r>
      <w:r w:rsidRPr="00B34407" w:rsidR="00AF72E5">
        <w:t xml:space="preserve"> means a twelve-month period commencing on the first day of January of any year, or such other twelve-month period as the Authority establishes from time to time.</w:t>
      </w:r>
    </w:p>
    <w:p w:rsidRPr="00B34407" w:rsidR="00AF72E5" w:rsidP="008C1551" w:rsidRDefault="00C34AEA" w14:paraId="4105EF14" w14:textId="4CDBBF20">
      <w:pPr>
        <w:pStyle w:val="BodyTextFirstIndent"/>
        <w:ind w:right="936"/>
      </w:pPr>
      <w:bookmarkStart w:name="_DV_M1049" w:id="987"/>
      <w:bookmarkEnd w:id="987"/>
      <w:r>
        <w:rPr>
          <w:i/>
          <w:iCs/>
        </w:rPr>
        <w:t>“</w:t>
      </w:r>
      <w:r w:rsidRPr="00B34407" w:rsidR="00AF72E5">
        <w:rPr>
          <w:i/>
          <w:iCs/>
        </w:rPr>
        <w:t>Freddie Mac</w:t>
      </w:r>
      <w:r>
        <w:rPr>
          <w:i/>
          <w:iCs/>
        </w:rPr>
        <w:t>”</w:t>
      </w:r>
      <w:r w:rsidRPr="00B34407" w:rsidR="00AF72E5">
        <w:t xml:space="preserve"> means the Federal Home Loan Mortgage Corporation, a body corporate created and existing under the laws of the United States of America (12 U.S.C. Section 1452(a)).</w:t>
      </w:r>
    </w:p>
    <w:p w:rsidRPr="00B34407" w:rsidR="00AF72E5" w:rsidP="008C1551" w:rsidRDefault="00C34AEA" w14:paraId="0AD69177" w14:textId="0FBE9B92">
      <w:pPr>
        <w:pStyle w:val="BodyTextFirstIndent"/>
        <w:ind w:right="936"/>
      </w:pPr>
      <w:bookmarkStart w:name="_DV_M1050" w:id="988"/>
      <w:bookmarkStart w:name="_DV_M1051" w:id="989"/>
      <w:bookmarkEnd w:id="988"/>
      <w:bookmarkEnd w:id="989"/>
      <w:r>
        <w:rPr>
          <w:i/>
          <w:iCs/>
        </w:rPr>
        <w:t>“</w:t>
      </w:r>
      <w:r w:rsidRPr="00B34407" w:rsidR="00AF72E5">
        <w:rPr>
          <w:i/>
          <w:iCs/>
        </w:rPr>
        <w:t>GNMA</w:t>
      </w:r>
      <w:r>
        <w:rPr>
          <w:i/>
          <w:iCs/>
        </w:rPr>
        <w:t>”</w:t>
      </w:r>
      <w:r w:rsidRPr="00B34407" w:rsidR="00AF72E5">
        <w:t xml:space="preserve"> means the Government National Mortgage Association, a wholly-owned corporate instrumentality of the United States of America within the Department of Housing and Urban Development and any successor to its functions, whose powers are prescribed generally by Title III of the National Housing Act as amended (12 U.S.C. 1716, </w:t>
      </w:r>
      <w:r w:rsidRPr="00B34407" w:rsidR="00AF72E5">
        <w:rPr>
          <w:i/>
          <w:iCs/>
        </w:rPr>
        <w:t>et seq</w:t>
      </w:r>
      <w:r w:rsidRPr="00B34407" w:rsidR="00AF72E5">
        <w:t>.).</w:t>
      </w:r>
    </w:p>
    <w:p w:rsidRPr="00B34407" w:rsidR="00AF72E5" w:rsidP="008C1551" w:rsidRDefault="00C34AEA" w14:paraId="6497424B" w14:textId="3ED3677A">
      <w:pPr>
        <w:pStyle w:val="BodyTextFirstIndent"/>
        <w:ind w:right="936"/>
      </w:pPr>
      <w:bookmarkStart w:name="_DV_M1052" w:id="990"/>
      <w:bookmarkEnd w:id="990"/>
      <w:r>
        <w:rPr>
          <w:i/>
          <w:iCs/>
        </w:rPr>
        <w:t>“</w:t>
      </w:r>
      <w:r w:rsidRPr="00B34407" w:rsidR="00AF72E5">
        <w:rPr>
          <w:i/>
          <w:iCs/>
        </w:rPr>
        <w:t>GNMA Certificate</w:t>
      </w:r>
      <w:r>
        <w:rPr>
          <w:i/>
          <w:iCs/>
        </w:rPr>
        <w:t>”</w:t>
      </w:r>
      <w:r w:rsidRPr="00B34407" w:rsidR="00AF72E5">
        <w:t xml:space="preserve"> means a certificate purchased by the Trustee</w:t>
      </w:r>
      <w:r w:rsidRPr="00B34407" w:rsidR="007D33A7">
        <w:t xml:space="preserve"> at the direction of the Authority</w:t>
      </w:r>
      <w:r w:rsidRPr="00B34407" w:rsidR="00AF72E5">
        <w:t>, issued by a servicer and guaranteed by GNMA pursuant to one of GNMA</w:t>
      </w:r>
      <w:r>
        <w:t>’</w:t>
      </w:r>
      <w:r w:rsidRPr="00B34407" w:rsidR="00AF72E5">
        <w:t xml:space="preserve">s mortgage-backed securities programs under Section 306(g) and other related provisions of the National Housing Act of 1934, as amended, and based on and backed by Mortgage Loans referred to in the applicable guaranty agreement, which certificate unconditionally obligates a servicer to remit monthly to the holder thereof its pro rata share of (a) principal payments due and prepayments made in respect of the pool represented by the GNMA Certificate and (b) interest at a rate equal to the applicable pass-through rate.  GNMA guarantees </w:t>
      </w:r>
      <w:bookmarkStart w:name="ElPgBr91" w:id="991"/>
      <w:bookmarkEnd w:id="991"/>
      <w:r w:rsidRPr="00B34407" w:rsidR="00AF72E5">
        <w:t>to the holder of each GNMA Certificate such holder</w:t>
      </w:r>
      <w:r>
        <w:t>’</w:t>
      </w:r>
      <w:r w:rsidRPr="00B34407" w:rsidR="00AF72E5">
        <w:t>s pro rata share of (1) the timely payment of interest at the applicable pass-through rate on the unpaid principal balance of the Mortgage Loans represented by the GNMA Certificate and (2) the timely payment of principal in accordance with the terms of the principal amortization schedule applicable to the Mortgage Loans represented by such GNMA Certificate, together with any apportioned Prepayments or other early recoveries of principal with respect to such Mortgage Loan.  In the event GNMA so requires pursuant to GNMA</w:t>
      </w:r>
      <w:r>
        <w:t>’</w:t>
      </w:r>
      <w:r w:rsidRPr="00B34407" w:rsidR="00AF72E5">
        <w:t xml:space="preserve">s book-entry system </w:t>
      </w:r>
      <w:r w:rsidRPr="00B34407" w:rsidR="00AF72E5">
        <w:lastRenderedPageBreak/>
        <w:t>in lieu of the aforesaid certificate, the confirmation of GNMA</w:t>
      </w:r>
      <w:r>
        <w:t>’</w:t>
      </w:r>
      <w:r w:rsidRPr="00B34407" w:rsidR="00AF72E5">
        <w:t>s guaranty obligation will be transmitted to the Trustee or its designee electronically.</w:t>
      </w:r>
    </w:p>
    <w:p w:rsidRPr="00B34407" w:rsidR="00AF72E5" w:rsidP="008C1551" w:rsidRDefault="00C34AEA" w14:paraId="19D71CB4" w14:textId="35B00200">
      <w:pPr>
        <w:pStyle w:val="BodyTextFirstIndent"/>
        <w:ind w:right="936"/>
      </w:pPr>
      <w:bookmarkStart w:name="_DV_M1053" w:id="992"/>
      <w:bookmarkEnd w:id="992"/>
      <w:r>
        <w:rPr>
          <w:i/>
          <w:iCs/>
        </w:rPr>
        <w:t>“</w:t>
      </w:r>
      <w:r w:rsidRPr="00B34407" w:rsidR="00AF72E5">
        <w:rPr>
          <w:i/>
          <w:iCs/>
        </w:rPr>
        <w:t>Indenture</w:t>
      </w:r>
      <w:r>
        <w:rPr>
          <w:i/>
          <w:iCs/>
        </w:rPr>
        <w:t>”</w:t>
      </w:r>
      <w:r w:rsidRPr="00B34407" w:rsidR="00AF72E5">
        <w:t xml:space="preserve"> means the Master Indenture and any amendments or supplements made in accordance with its terms.</w:t>
      </w:r>
    </w:p>
    <w:p w:rsidRPr="00B34407" w:rsidR="00AF72E5" w:rsidP="008C1551" w:rsidRDefault="00C34AEA" w14:paraId="6C74D69E" w14:textId="259E2A99">
      <w:pPr>
        <w:pStyle w:val="BodyTextFirstIndent"/>
        <w:ind w:right="936"/>
      </w:pPr>
      <w:bookmarkStart w:name="_DV_M1054" w:id="993"/>
      <w:bookmarkEnd w:id="993"/>
      <w:r>
        <w:rPr>
          <w:i/>
          <w:iCs/>
        </w:rPr>
        <w:t>“</w:t>
      </w:r>
      <w:r w:rsidRPr="00B34407" w:rsidR="00AF72E5">
        <w:rPr>
          <w:i/>
          <w:iCs/>
        </w:rPr>
        <w:t>Interest Payment Date</w:t>
      </w:r>
      <w:r>
        <w:rPr>
          <w:i/>
          <w:iCs/>
        </w:rPr>
        <w:t>”</w:t>
      </w:r>
      <w:r w:rsidRPr="00B34407" w:rsidR="00AF72E5">
        <w:t xml:space="preserve"> means each date on which interest is to be paid and </w:t>
      </w:r>
      <w:r w:rsidRPr="00B34407" w:rsidR="00E52AD1">
        <w:t xml:space="preserve">means </w:t>
      </w:r>
      <w:r w:rsidRPr="00B34407" w:rsidR="00AF72E5">
        <w:t xml:space="preserve">each </w:t>
      </w:r>
      <w:r w:rsidRPr="00B34407" w:rsidR="003463F9">
        <w:t>January 1</w:t>
      </w:r>
      <w:r w:rsidRPr="00B34407" w:rsidR="00371DA5">
        <w:t xml:space="preserve"> </w:t>
      </w:r>
      <w:r w:rsidRPr="00B34407" w:rsidR="00AF72E5">
        <w:t xml:space="preserve">and </w:t>
      </w:r>
      <w:r w:rsidRPr="00B34407" w:rsidR="003463F9">
        <w:t>July</w:t>
      </w:r>
      <w:r w:rsidR="00F828E4">
        <w:t> </w:t>
      </w:r>
      <w:r w:rsidRPr="00B34407" w:rsidR="003463F9">
        <w:t>1</w:t>
      </w:r>
      <w:r w:rsidRPr="00B34407" w:rsidR="00AF72E5">
        <w:t xml:space="preserve">, </w:t>
      </w:r>
      <w:r w:rsidRPr="00BF0A3B" w:rsidR="00AF72E5">
        <w:t>commencing</w:t>
      </w:r>
      <w:r w:rsidRPr="00BF0A3B" w:rsidR="00226FFF">
        <w:t xml:space="preserve"> </w:t>
      </w:r>
      <w:r w:rsidR="00EA5916">
        <w:t>January</w:t>
      </w:r>
      <w:r w:rsidR="004A212E">
        <w:t xml:space="preserve"> 1, 202</w:t>
      </w:r>
      <w:r w:rsidR="00EA5916">
        <w:t>5</w:t>
      </w:r>
      <w:r w:rsidR="00C90736">
        <w:rPr>
          <w:rStyle w:val="FootnoteReference"/>
        </w:rPr>
        <w:footnoteReference w:id="6"/>
      </w:r>
      <w:r w:rsidRPr="00BF0A3B" w:rsidR="00AF72E5">
        <w:t>, until</w:t>
      </w:r>
      <w:r w:rsidRPr="00B34407" w:rsidR="00AF72E5">
        <w:t xml:space="preserve"> all of the </w:t>
      </w:r>
      <w:r w:rsidR="00C7294C">
        <w:t>2024 Series C</w:t>
      </w:r>
      <w:r w:rsidR="005B3036">
        <w:t xml:space="preserve"> Bond</w:t>
      </w:r>
      <w:r w:rsidR="006C550F">
        <w:t>s</w:t>
      </w:r>
      <w:r w:rsidRPr="00B34407" w:rsidR="00AF72E5">
        <w:t xml:space="preserve"> have been paid.</w:t>
      </w:r>
    </w:p>
    <w:p w:rsidRPr="00B34407" w:rsidR="00AF72E5" w:rsidP="008C1551" w:rsidRDefault="00C34AEA" w14:paraId="595A5233" w14:textId="718F8FCA">
      <w:pPr>
        <w:pStyle w:val="BodyTextFirstIndent"/>
        <w:ind w:right="936"/>
      </w:pPr>
      <w:bookmarkStart w:name="_DV_M1055" w:id="994"/>
      <w:bookmarkStart w:name="_DV_M1056" w:id="995"/>
      <w:bookmarkEnd w:id="994"/>
      <w:bookmarkEnd w:id="995"/>
      <w:r>
        <w:rPr>
          <w:i/>
          <w:iCs/>
        </w:rPr>
        <w:t>“</w:t>
      </w:r>
      <w:r w:rsidRPr="00B34407" w:rsidR="00AF72E5">
        <w:rPr>
          <w:i/>
          <w:iCs/>
        </w:rPr>
        <w:t>Investment Securities</w:t>
      </w:r>
      <w:r>
        <w:rPr>
          <w:i/>
          <w:iCs/>
        </w:rPr>
        <w:t>”</w:t>
      </w:r>
      <w:r w:rsidRPr="00B34407" w:rsidR="00AF72E5">
        <w:t xml:space="preserve"> means and includes any of the following obligations, to the extent the same are at the time legal for investment of funds of the Authority under the Act, including the amendments thereto hereafter made, or under other applicable law:</w:t>
      </w:r>
    </w:p>
    <w:p w:rsidRPr="00B34407" w:rsidR="00AF72E5" w:rsidP="008C1551" w:rsidRDefault="00AF72E5" w14:paraId="79105075" w14:textId="77777777">
      <w:pPr>
        <w:pStyle w:val="BodyTextFirstIndent"/>
        <w:ind w:left="700" w:right="936"/>
      </w:pPr>
      <w:bookmarkStart w:name="_DV_M1057" w:id="996"/>
      <w:bookmarkEnd w:id="996"/>
      <w:r w:rsidRPr="00B34407">
        <w:t>(1)</w:t>
      </w:r>
      <w:r w:rsidRPr="00B34407">
        <w:tab/>
        <w:t>Direct obligations of or obligations guaranteed as to full and timely payment by the United States of America;</w:t>
      </w:r>
    </w:p>
    <w:p w:rsidRPr="00B34407" w:rsidR="00AF72E5" w:rsidP="008C1551" w:rsidRDefault="00AF72E5" w14:paraId="01EB81DB" w14:textId="77777777">
      <w:pPr>
        <w:pStyle w:val="BodyTextFirstIndent"/>
        <w:ind w:left="700" w:right="936"/>
      </w:pPr>
      <w:bookmarkStart w:name="_DV_M1058" w:id="997"/>
      <w:bookmarkEnd w:id="997"/>
      <w:r w:rsidRPr="00B34407">
        <w:t>(2)</w:t>
      </w:r>
      <w:r w:rsidRPr="00B34407">
        <w:tab/>
        <w:t>Senior debt obligations of the Federal Home Loan Banks; guaranteed mortgage-backed bonds and guaranteed pass-through obligations of the Government National Mortgage Association; mortgage-backed securities and senior debt obligations of the Federal National Mortgage Association; and participation certificates and senior debt obligations of the Federal Home Loan Mortgage Corporation, those which guarantee timely payment of principal and interest;</w:t>
      </w:r>
    </w:p>
    <w:p w:rsidRPr="00B34407" w:rsidR="00AF72E5" w:rsidP="008C1551" w:rsidRDefault="00AF72E5" w14:paraId="42E17105" w14:textId="77777777">
      <w:pPr>
        <w:pStyle w:val="BodyTextFirstIndent"/>
        <w:ind w:left="700" w:right="936"/>
      </w:pPr>
      <w:bookmarkStart w:name="_DV_M1059" w:id="998"/>
      <w:bookmarkEnd w:id="998"/>
      <w:r w:rsidRPr="00B34407">
        <w:t>(3)</w:t>
      </w:r>
      <w:r w:rsidRPr="00B34407">
        <w:tab/>
        <w:t xml:space="preserve">Direct obligations of any state of the United States of America or any subdivision or agency thereof whose unsecured long term general obligation debt is rated in the highest long-term rating category by a Rating Agency then rating the Bonds, or any obligation fully and unconditionally guaranteed by any state, subdivision or agency whose unsecured long term general obligation debt is rated in the highest long-term rating category by a Rating Agency then rating the Bonds; </w:t>
      </w:r>
    </w:p>
    <w:p w:rsidRPr="00B34407" w:rsidR="00AF72E5" w:rsidP="008C1551" w:rsidRDefault="00AF72E5" w14:paraId="5DB9AB14" w14:textId="77777777">
      <w:pPr>
        <w:pStyle w:val="BodyTextFirstIndent"/>
        <w:ind w:left="700" w:right="936"/>
      </w:pPr>
      <w:bookmarkStart w:name="_DV_M1060" w:id="999"/>
      <w:bookmarkEnd w:id="999"/>
      <w:r w:rsidRPr="00B34407">
        <w:t>(4)</w:t>
      </w:r>
      <w:r w:rsidRPr="00B34407">
        <w:tab/>
        <w:t xml:space="preserve">Commercial paper rated in the highest short-term rating category by a Rating Agency then rating the Bonds; </w:t>
      </w:r>
    </w:p>
    <w:p w:rsidRPr="00B34407" w:rsidR="00AF72E5" w:rsidP="008C1551" w:rsidRDefault="00AF72E5" w14:paraId="36E4FC14" w14:textId="552D274A">
      <w:pPr>
        <w:pStyle w:val="BodyTextFirstIndent"/>
        <w:ind w:left="700" w:right="936"/>
      </w:pPr>
      <w:bookmarkStart w:name="_DV_M1061" w:id="1000"/>
      <w:bookmarkEnd w:id="1000"/>
      <w:r w:rsidRPr="00B34407">
        <w:t>(5)</w:t>
      </w:r>
      <w:r w:rsidRPr="00B34407">
        <w:tab/>
        <w:t>Deposits, federal funds or bankers</w:t>
      </w:r>
      <w:r w:rsidR="00C34AEA">
        <w:t>’</w:t>
      </w:r>
      <w:r w:rsidRPr="00B34407">
        <w:t xml:space="preserve"> acceptances (in each case having maturities of not less than 365 days) of any bank which:</w:t>
      </w:r>
    </w:p>
    <w:p w:rsidRPr="00B34407" w:rsidR="00AF72E5" w:rsidP="008C1551" w:rsidRDefault="00AF72E5" w14:paraId="09A74EA1" w14:textId="77777777">
      <w:pPr>
        <w:pStyle w:val="BodyTextFirstIndent"/>
        <w:ind w:left="1500" w:right="936"/>
      </w:pPr>
      <w:bookmarkStart w:name="_DV_M1062" w:id="1001"/>
      <w:bookmarkEnd w:id="1001"/>
      <w:r w:rsidRPr="00B34407">
        <w:t>(A)</w:t>
      </w:r>
      <w:r w:rsidRPr="00B34407">
        <w:tab/>
        <w:t xml:space="preserve">has an unsecured, uninsured and unguaranteed obligation rated in the highest short-term rating category by a Rating Agency then rating the Bonds; or </w:t>
      </w:r>
    </w:p>
    <w:p w:rsidRPr="00B34407" w:rsidR="00AF72E5" w:rsidP="008C1551" w:rsidRDefault="00AF72E5" w14:paraId="72803547" w14:textId="77777777">
      <w:pPr>
        <w:pStyle w:val="BodyTextFirstIndent"/>
        <w:ind w:left="1500" w:right="936"/>
      </w:pPr>
      <w:bookmarkStart w:name="_DV_M1063" w:id="1002"/>
      <w:bookmarkEnd w:id="1002"/>
      <w:r w:rsidRPr="00B34407">
        <w:t>(B)</w:t>
      </w:r>
      <w:r w:rsidRPr="00B34407">
        <w:tab/>
        <w:t>is guaranteed by a parent bank holding company with an uninsured, unsecured and unguaranteed obligation meeting the rating requirements in (A) above;</w:t>
      </w:r>
    </w:p>
    <w:p w:rsidRPr="00B34407" w:rsidR="00AF72E5" w:rsidP="008C1551" w:rsidRDefault="00AF72E5" w14:paraId="3B88C6E0" w14:textId="77777777">
      <w:pPr>
        <w:pStyle w:val="BodyTextFirstIndent"/>
        <w:ind w:left="700" w:right="936"/>
      </w:pPr>
      <w:bookmarkStart w:name="_DV_M1064" w:id="1003"/>
      <w:bookmarkEnd w:id="1003"/>
      <w:r w:rsidRPr="00B34407">
        <w:t>(6)</w:t>
      </w:r>
      <w:r w:rsidRPr="00B34407">
        <w:tab/>
        <w:t>Investments in a money market mutual fund or a mutual fund rated in the highest rating category for such a fund by a Rating Agency then rating the Bonds;</w:t>
      </w:r>
    </w:p>
    <w:p w:rsidRPr="00B34407" w:rsidR="00AF72E5" w:rsidP="008C1551" w:rsidRDefault="00AF72E5" w14:paraId="09425060" w14:textId="77777777">
      <w:pPr>
        <w:pStyle w:val="BodyTextFirstIndent"/>
        <w:ind w:left="700" w:right="936"/>
      </w:pPr>
      <w:bookmarkStart w:name="_DV_M1065" w:id="1004"/>
      <w:bookmarkEnd w:id="1004"/>
      <w:r w:rsidRPr="00B34407">
        <w:t>(7)</w:t>
      </w:r>
      <w:r w:rsidRPr="00B34407">
        <w:tab/>
        <w:t xml:space="preserve">Repurchase agreements with any institution which has an unsecured, uninsured and unguaranteed obligation rated in the highest long-term rating category by a Rating Agency then rating the Bonds (if such repurchase agreement has a maturity of more than 365 days) or in the highest short-term rating category by a Rating Agency then rating the Bonds (if such repurchase agreement has a maturity of less than 365 days); </w:t>
      </w:r>
    </w:p>
    <w:p w:rsidRPr="00B34407" w:rsidR="00AF72E5" w:rsidP="008C1551" w:rsidRDefault="00AF72E5" w14:paraId="501233E9" w14:textId="77777777">
      <w:pPr>
        <w:pStyle w:val="BodyTextFirstIndent"/>
        <w:ind w:left="700" w:right="936"/>
      </w:pPr>
      <w:bookmarkStart w:name="_DV_M1066" w:id="1005"/>
      <w:bookmarkEnd w:id="1005"/>
      <w:r w:rsidRPr="00B34407">
        <w:t>(8)</w:t>
      </w:r>
      <w:r w:rsidRPr="00B34407">
        <w:tab/>
        <w:t xml:space="preserve">Investment agreements with a bank, insurance company or other financial institution, or the subsidiary of a bank, insurance company or other financial institution if the parent guarantees the investment agreement, which bank, insurance company, financial institution or parent has an unsecured, uninsured and unguaranteed obligation (or claims-paying ability) rated in the highest short-term rating category by a Rating Agency then rating the Bonds (if the term of such agreement does not exceed 365 days), or has an unsecured, </w:t>
      </w:r>
      <w:bookmarkStart w:name="ElPgBr92" w:id="1006"/>
      <w:bookmarkEnd w:id="1006"/>
      <w:r w:rsidRPr="00B34407">
        <w:t xml:space="preserve">uninsured and unguaranteed obligation (or claims-paying ability) rated in one of the three highest rating categories by a Rating Agency then rating the Bonds (provided that the term of such agreement is not less than 366 days nor more than 24 months) or has an unsecured, uninsured and unguaranteed obligation (or claims-paying ability) rated in one of the two highest rating categories by a Rating Agency then rating the Bonds (if the term of such agreement </w:t>
      </w:r>
      <w:r w:rsidRPr="00B34407">
        <w:lastRenderedPageBreak/>
        <w:t>is more than 24 months) or is the lead bank of a parent bank holding company with an uninsured, unsecured and unguaranteed obligation of the aforesaid ratings, provided:</w:t>
      </w:r>
    </w:p>
    <w:p w:rsidRPr="00B34407" w:rsidR="00AF72E5" w:rsidP="008C1551" w:rsidRDefault="00AF72E5" w14:paraId="655E64F5" w14:textId="77777777">
      <w:pPr>
        <w:pStyle w:val="BodyTextFirstIndent"/>
        <w:ind w:left="1500" w:right="936"/>
      </w:pPr>
      <w:bookmarkStart w:name="_DV_M1067" w:id="1007"/>
      <w:bookmarkEnd w:id="1007"/>
      <w:r w:rsidRPr="00B34407">
        <w:t>(A)</w:t>
      </w:r>
      <w:r w:rsidRPr="00B34407">
        <w:tab/>
        <w:t>interest is paid at least semiannually at a fixed rate (subject to adjustments for yield restrictions required by the Code) during the entire term of the agreement, consistent with the Interest Payment Dates;</w:t>
      </w:r>
    </w:p>
    <w:p w:rsidRPr="00B34407" w:rsidR="00AF72E5" w:rsidP="008C1551" w:rsidRDefault="00AF72E5" w14:paraId="7153F9BF" w14:textId="50601261">
      <w:pPr>
        <w:pStyle w:val="BodyTextFirstIndent"/>
        <w:ind w:left="1500" w:right="936"/>
      </w:pPr>
      <w:bookmarkStart w:name="_DV_M1068" w:id="1008"/>
      <w:bookmarkEnd w:id="1008"/>
      <w:r w:rsidRPr="00B34407">
        <w:t>(B)</w:t>
      </w:r>
      <w:r w:rsidRPr="00B34407">
        <w:tab/>
        <w:t>moneys invested thereunder may be withdrawn without any penalty, premium or charge upon not more than two</w:t>
      </w:r>
      <w:r w:rsidRPr="00B34407" w:rsidR="00371DA5">
        <w:t xml:space="preserve"> (2)</w:t>
      </w:r>
      <w:r w:rsidRPr="00B34407">
        <w:t xml:space="preserve"> days</w:t>
      </w:r>
      <w:r w:rsidR="00C34AEA">
        <w:t>’</w:t>
      </w:r>
      <w:r w:rsidRPr="00B34407">
        <w:t xml:space="preserve"> notice unless otherwise specified in a Supplemental Indenture;</w:t>
      </w:r>
    </w:p>
    <w:p w:rsidRPr="00B34407" w:rsidR="00AF72E5" w:rsidP="008C1551" w:rsidRDefault="00AF72E5" w14:paraId="3DA1000F" w14:textId="77777777">
      <w:pPr>
        <w:pStyle w:val="BodyTextFirstIndent"/>
        <w:ind w:left="1500" w:right="936"/>
      </w:pPr>
      <w:bookmarkStart w:name="_DV_M1069" w:id="1009"/>
      <w:bookmarkEnd w:id="1009"/>
      <w:r w:rsidRPr="00B34407">
        <w:t>(C)</w:t>
      </w:r>
      <w:r w:rsidRPr="00B34407">
        <w:tab/>
        <w:t>the same guaranteed interest rate will be paid on any future deposits made to restore the account to its required amount;</w:t>
      </w:r>
    </w:p>
    <w:p w:rsidRPr="00B34407" w:rsidR="00AF72E5" w:rsidP="008C1551" w:rsidRDefault="00AF72E5" w14:paraId="648C1A09" w14:textId="77777777">
      <w:pPr>
        <w:pStyle w:val="BodyTextFirstIndent"/>
        <w:ind w:left="1500" w:right="936"/>
      </w:pPr>
      <w:bookmarkStart w:name="_DV_M1070" w:id="1010"/>
      <w:bookmarkEnd w:id="1010"/>
      <w:r w:rsidRPr="00B34407">
        <w:t>(D)</w:t>
      </w:r>
      <w:r w:rsidRPr="00B34407">
        <w:tab/>
        <w:t>the Trustee receives an opinion of counsel that such agreement is an enforceable obligation of such insurance company, bank, financial institution or parent; and</w:t>
      </w:r>
    </w:p>
    <w:p w:rsidRPr="00B34407" w:rsidR="00AF72E5" w:rsidP="008C1551" w:rsidRDefault="00AF72E5" w14:paraId="6DCFBC42" w14:textId="77777777">
      <w:pPr>
        <w:pStyle w:val="BodyTextFirstIndent"/>
        <w:ind w:left="1500" w:right="936"/>
      </w:pPr>
      <w:bookmarkStart w:name="_DV_M1071" w:id="1011"/>
      <w:bookmarkEnd w:id="1011"/>
      <w:r w:rsidRPr="00B34407">
        <w:t>(E)</w:t>
      </w:r>
      <w:r w:rsidRPr="00B34407">
        <w:tab/>
        <w:t>the agreement contains such terms or conditions which do not affect the existing rating on the Bonds as evidenced by a letter from each Rating Agency then rating the Bonds; or</w:t>
      </w:r>
    </w:p>
    <w:p w:rsidRPr="00B34407" w:rsidR="00AF72E5" w:rsidP="008C1551" w:rsidRDefault="00AF72E5" w14:paraId="55762CE2" w14:textId="77777777">
      <w:pPr>
        <w:pStyle w:val="BodyTextFirstIndent"/>
        <w:ind w:left="700" w:right="936"/>
      </w:pPr>
      <w:bookmarkStart w:name="_DV_M1072" w:id="1012"/>
      <w:bookmarkEnd w:id="1012"/>
      <w:r w:rsidRPr="00B34407">
        <w:t>(9)</w:t>
      </w:r>
      <w:r w:rsidRPr="00B34407">
        <w:tab/>
        <w:t>Any other investment as provided in a Supplemental Indenture which does not adversely affect the existing rating on the Bonds.</w:t>
      </w:r>
    </w:p>
    <w:p w:rsidRPr="00B34407" w:rsidR="00AF72E5" w:rsidP="008C1551" w:rsidRDefault="00AF72E5" w14:paraId="31A4AC26" w14:textId="1CD12204">
      <w:pPr>
        <w:pStyle w:val="BodyText"/>
        <w:ind w:right="936"/>
      </w:pPr>
      <w:bookmarkStart w:name="_DV_M1073" w:id="1013"/>
      <w:bookmarkEnd w:id="1013"/>
      <w:r w:rsidRPr="00B34407">
        <w:t xml:space="preserve">For purposes of this definition of </w:t>
      </w:r>
      <w:r w:rsidR="00C34AEA">
        <w:t>“</w:t>
      </w:r>
      <w:r w:rsidRPr="00B34407">
        <w:t>Investment Securities,</w:t>
      </w:r>
      <w:r w:rsidR="00C34AEA">
        <w:t>”</w:t>
      </w:r>
      <w:r w:rsidRPr="00B34407">
        <w:t xml:space="preserve"> for so long as Moody</w:t>
      </w:r>
      <w:r w:rsidR="00C34AEA">
        <w:t>’</w:t>
      </w:r>
      <w:r w:rsidRPr="00B34407">
        <w:t>s Investors Service (</w:t>
      </w:r>
      <w:r w:rsidR="00C34AEA">
        <w:t>“</w:t>
      </w:r>
      <w:r w:rsidRPr="00B34407">
        <w:t>Moody</w:t>
      </w:r>
      <w:r w:rsidR="00C34AEA">
        <w:t>’</w:t>
      </w:r>
      <w:r w:rsidRPr="00B34407">
        <w:t>s</w:t>
      </w:r>
      <w:r w:rsidR="00C34AEA">
        <w:t>”</w:t>
      </w:r>
      <w:r w:rsidRPr="00B34407">
        <w:t>) is one of the Rating Agencies then rating the Bonds, any Investment Security acquired by the Authority for which a rating criteria has been established within this definition, must satisfy that criteria with respect to Moody</w:t>
      </w:r>
      <w:r w:rsidR="00C34AEA">
        <w:t>’</w:t>
      </w:r>
      <w:r w:rsidRPr="00B34407">
        <w:t>s at the time such Investment Security is acquired.</w:t>
      </w:r>
    </w:p>
    <w:p w:rsidRPr="00B34407" w:rsidR="00AF72E5" w:rsidP="008C1551" w:rsidRDefault="00C34AEA" w14:paraId="156D03AD" w14:textId="26F8E3DB">
      <w:pPr>
        <w:pStyle w:val="BodyTextFirstIndent"/>
        <w:ind w:right="936"/>
      </w:pPr>
      <w:bookmarkStart w:name="_DV_M1074" w:id="1014"/>
      <w:bookmarkEnd w:id="1014"/>
      <w:r>
        <w:rPr>
          <w:i/>
          <w:iCs/>
        </w:rPr>
        <w:t>“</w:t>
      </w:r>
      <w:r w:rsidRPr="00B34407" w:rsidR="00AF72E5">
        <w:rPr>
          <w:i/>
          <w:iCs/>
        </w:rPr>
        <w:t>Lenders</w:t>
      </w:r>
      <w:r>
        <w:rPr>
          <w:i/>
          <w:iCs/>
        </w:rPr>
        <w:t>”</w:t>
      </w:r>
      <w:r w:rsidRPr="00B34407" w:rsidR="00AF72E5">
        <w:t xml:space="preserve"> include banks, trust companies, savings banks, savings and loan associations, credit unions, national banking associations, federal savings and loan associations and federal credit unions maintaining an office in the State, certain public utilities, certain gas utility systems, insurance companies authorized to do business in the State, or a mortgage banking firm or mortgagee authorized to do business in the State and approved by either the Authority or the Department of Housing and Urban Development, if otherwise qualified under the Program.</w:t>
      </w:r>
    </w:p>
    <w:p w:rsidR="00AF72E5" w:rsidP="008C1551" w:rsidRDefault="00C34AEA" w14:paraId="1232BD78" w14:textId="74CEA5A1">
      <w:pPr>
        <w:pStyle w:val="BodyTextFirstIndent"/>
        <w:ind w:right="936"/>
      </w:pPr>
      <w:bookmarkStart w:name="_DV_M1075" w:id="1015"/>
      <w:bookmarkStart w:name="_DV_M1077" w:id="1016"/>
      <w:bookmarkEnd w:id="1015"/>
      <w:bookmarkEnd w:id="1016"/>
      <w:r>
        <w:rPr>
          <w:i/>
          <w:iCs/>
        </w:rPr>
        <w:t>“</w:t>
      </w:r>
      <w:r w:rsidRPr="00B34407" w:rsidR="00AF72E5">
        <w:rPr>
          <w:i/>
          <w:iCs/>
        </w:rPr>
        <w:t>Loan Account</w:t>
      </w:r>
      <w:r>
        <w:rPr>
          <w:i/>
          <w:iCs/>
        </w:rPr>
        <w:t>”</w:t>
      </w:r>
      <w:r w:rsidRPr="00B34407" w:rsidR="00AF72E5">
        <w:t xml:space="preserve"> means the Loan Account established pursuant to the Indenture.</w:t>
      </w:r>
    </w:p>
    <w:p w:rsidRPr="00B34407" w:rsidR="00AF72E5" w:rsidP="008C1551" w:rsidRDefault="00C34AEA" w14:paraId="3F9B7238" w14:textId="51A21182">
      <w:pPr>
        <w:pStyle w:val="BodyTextFirstIndent"/>
        <w:ind w:right="936"/>
      </w:pPr>
      <w:bookmarkStart w:name="_DV_M1078" w:id="1017"/>
      <w:bookmarkEnd w:id="1017"/>
      <w:r>
        <w:rPr>
          <w:i/>
          <w:iCs/>
        </w:rPr>
        <w:t>“</w:t>
      </w:r>
      <w:r w:rsidRPr="00B34407" w:rsidR="00AF72E5">
        <w:rPr>
          <w:i/>
          <w:iCs/>
        </w:rPr>
        <w:t>Major Owner</w:t>
      </w:r>
      <w:r>
        <w:rPr>
          <w:i/>
          <w:iCs/>
        </w:rPr>
        <w:t>”</w:t>
      </w:r>
      <w:r w:rsidRPr="00B34407" w:rsidR="00AF72E5">
        <w:t xml:space="preserve"> means any person or entity that has provided a certificate to the Trustee which has not been otherwise rescinded, withdrawn or canceled, to the effect that such person or entity is the registered owner of at least $1,000,000 in principal amount of </w:t>
      </w:r>
      <w:r w:rsidR="00C7294C">
        <w:t>2024 Series C</w:t>
      </w:r>
      <w:r w:rsidR="005B3036">
        <w:t xml:space="preserve"> Bond</w:t>
      </w:r>
      <w:r w:rsidR="006C550F">
        <w:t>s</w:t>
      </w:r>
      <w:r w:rsidRPr="00B34407" w:rsidR="00AF72E5">
        <w:t>.</w:t>
      </w:r>
    </w:p>
    <w:p w:rsidRPr="00B34407" w:rsidR="00AF72E5" w:rsidP="008C1551" w:rsidRDefault="00C34AEA" w14:paraId="4979AF13" w14:textId="43B994C2">
      <w:pPr>
        <w:pStyle w:val="BodyTextFirstIndent"/>
        <w:ind w:right="936"/>
      </w:pPr>
      <w:bookmarkStart w:name="_DV_M1079" w:id="1018"/>
      <w:bookmarkStart w:name="_DV_M1080" w:id="1019"/>
      <w:bookmarkEnd w:id="1018"/>
      <w:bookmarkEnd w:id="1019"/>
      <w:r>
        <w:rPr>
          <w:i/>
          <w:iCs/>
        </w:rPr>
        <w:t>“</w:t>
      </w:r>
      <w:r w:rsidRPr="00B34407" w:rsidR="00AF72E5">
        <w:rPr>
          <w:i/>
          <w:iCs/>
        </w:rPr>
        <w:t>Master Indenture</w:t>
      </w:r>
      <w:r>
        <w:rPr>
          <w:i/>
          <w:iCs/>
        </w:rPr>
        <w:t>”</w:t>
      </w:r>
      <w:r w:rsidRPr="00B34407" w:rsidR="00AF72E5">
        <w:t xml:space="preserve"> means the </w:t>
      </w:r>
      <w:r w:rsidRPr="00B34407" w:rsidR="00326480">
        <w:t xml:space="preserve">2016 </w:t>
      </w:r>
      <w:r w:rsidRPr="00B34407" w:rsidR="00AF72E5">
        <w:t>Amended and Restated Indenture dated as of</w:t>
      </w:r>
      <w:r w:rsidRPr="00B34407" w:rsidR="00326480">
        <w:t xml:space="preserve"> June 1, 2016</w:t>
      </w:r>
      <w:r w:rsidRPr="00B34407" w:rsidR="003463F9">
        <w:t xml:space="preserve">, </w:t>
      </w:r>
      <w:r w:rsidR="003E3884">
        <w:t xml:space="preserve">between the Authority and the Trustee, </w:t>
      </w:r>
      <w:r w:rsidRPr="00B34407" w:rsidR="003463F9">
        <w:t>as supplemented and amended from time to time</w:t>
      </w:r>
      <w:r w:rsidRPr="00B34407" w:rsidR="00AF72E5">
        <w:t>.</w:t>
      </w:r>
    </w:p>
    <w:p w:rsidRPr="00B34407" w:rsidR="00AF72E5" w:rsidP="008C1551" w:rsidRDefault="00C34AEA" w14:paraId="5C3E58D9" w14:textId="7B64AA54">
      <w:pPr>
        <w:pStyle w:val="BodyTextFirstIndent"/>
        <w:ind w:right="936"/>
      </w:pPr>
      <w:bookmarkStart w:name="_DV_M1081" w:id="1020"/>
      <w:bookmarkStart w:name="_DV_M1082" w:id="1021"/>
      <w:bookmarkStart w:name="_DV_M1084" w:id="1022"/>
      <w:bookmarkEnd w:id="1020"/>
      <w:bookmarkEnd w:id="1021"/>
      <w:bookmarkEnd w:id="1022"/>
      <w:r>
        <w:rPr>
          <w:i/>
          <w:iCs/>
        </w:rPr>
        <w:t>“</w:t>
      </w:r>
      <w:r w:rsidRPr="00B34407" w:rsidR="00AF72E5">
        <w:rPr>
          <w:i/>
          <w:iCs/>
        </w:rPr>
        <w:t>Mortgage Certificate</w:t>
      </w:r>
      <w:r>
        <w:rPr>
          <w:i/>
          <w:iCs/>
        </w:rPr>
        <w:t>”</w:t>
      </w:r>
      <w:r w:rsidRPr="00B34407" w:rsidR="00AF72E5">
        <w:t xml:space="preserve"> means a Freddie Mac Certificate, Fannie Mae Certificate or GNMA Certificate or any other mortgage-backed security the purchase of which will not adversely affect the existing rating on the Bonds, that evidences beneficial ownership of a pool of Mortgage Loans, that satisfies the requirements of the applicable Supplemental Indenture and that is purchased from amounts in the Loan Account and pledged by the Authority to the Trustee pursuant to the Indenture.</w:t>
      </w:r>
    </w:p>
    <w:p w:rsidRPr="00B34407" w:rsidR="003D7327" w:rsidP="003D7327" w:rsidRDefault="00C34AEA" w14:paraId="655B7F2D" w14:textId="6EA792C0">
      <w:pPr>
        <w:pStyle w:val="BodyTextFirstIndent"/>
        <w:ind w:right="936"/>
      </w:pPr>
      <w:bookmarkStart w:name="_DV_M1085" w:id="1023"/>
      <w:bookmarkEnd w:id="1023"/>
      <w:r>
        <w:rPr>
          <w:i/>
          <w:iCs/>
        </w:rPr>
        <w:t>“</w:t>
      </w:r>
      <w:r w:rsidRPr="00B34407" w:rsidR="003D7327">
        <w:rPr>
          <w:i/>
          <w:iCs/>
        </w:rPr>
        <w:t>Mortgage Loan</w:t>
      </w:r>
      <w:r>
        <w:rPr>
          <w:i/>
          <w:iCs/>
        </w:rPr>
        <w:t>”</w:t>
      </w:r>
      <w:r w:rsidRPr="00B34407" w:rsidR="003D7327">
        <w:t xml:space="preserve"> means any obligation secured by real property located in the State and originated on behalf of the Authority to facilitate the use of amounts in the Loan Account for the acquisition </w:t>
      </w:r>
      <w:r w:rsidRPr="00B34407" w:rsidR="00154B65">
        <w:t>of Mortgage</w:t>
      </w:r>
      <w:r w:rsidRPr="00B34407" w:rsidR="003D7327">
        <w:t xml:space="preserve"> Certificates with respect thereto.</w:t>
      </w:r>
    </w:p>
    <w:p w:rsidRPr="00B34407" w:rsidR="00023174" w:rsidP="00023174" w:rsidRDefault="00C34AEA" w14:paraId="531C0F2C" w14:textId="26C8BD1E">
      <w:pPr>
        <w:pStyle w:val="BodyTextFirstIndent"/>
      </w:pPr>
      <w:r>
        <w:t>“</w:t>
      </w:r>
      <w:r w:rsidRPr="00B34407" w:rsidR="00023174">
        <w:rPr>
          <w:i/>
        </w:rPr>
        <w:t>NRMSIRs</w:t>
      </w:r>
      <w:r>
        <w:t>”</w:t>
      </w:r>
      <w:r w:rsidRPr="00B34407" w:rsidR="00023174">
        <w:t xml:space="preserve"> means the nationally recognized municipal securities information repositories. </w:t>
      </w:r>
    </w:p>
    <w:p w:rsidRPr="00B34407" w:rsidR="00AF72E5" w:rsidP="008C1551" w:rsidRDefault="00C34AEA" w14:paraId="767EEC03" w14:textId="3F3D08E6">
      <w:pPr>
        <w:pStyle w:val="BodyTextFirstIndent"/>
        <w:ind w:right="936"/>
      </w:pPr>
      <w:bookmarkStart w:name="_DV_M1086" w:id="1024"/>
      <w:bookmarkStart w:name="_DV_M1088" w:id="1025"/>
      <w:bookmarkStart w:name="ElPgBr93" w:id="1026"/>
      <w:bookmarkEnd w:id="1024"/>
      <w:bookmarkEnd w:id="1025"/>
      <w:bookmarkEnd w:id="1026"/>
      <w:r>
        <w:rPr>
          <w:i/>
          <w:iCs/>
        </w:rPr>
        <w:t>“</w:t>
      </w:r>
      <w:r w:rsidRPr="00B34407" w:rsidR="00AF72E5">
        <w:rPr>
          <w:i/>
          <w:iCs/>
        </w:rPr>
        <w:t>Paying Agent</w:t>
      </w:r>
      <w:r>
        <w:rPr>
          <w:i/>
          <w:iCs/>
        </w:rPr>
        <w:t>”</w:t>
      </w:r>
      <w:r w:rsidRPr="00B34407" w:rsidR="00AF72E5">
        <w:t xml:space="preserve"> means The Bank of New York Mellon Trust Company, N.A., and its successor or successors appointed in the manner provided in the Indenture.</w:t>
      </w:r>
    </w:p>
    <w:p w:rsidRPr="00B34407" w:rsidR="003463F9" w:rsidP="008C1551" w:rsidRDefault="00C34AEA" w14:paraId="7E3137E8" w14:textId="768ABC1E">
      <w:pPr>
        <w:pStyle w:val="BodyTextFirstIndent"/>
        <w:ind w:right="936"/>
      </w:pPr>
      <w:bookmarkStart w:name="_DV_M1089" w:id="1027"/>
      <w:bookmarkEnd w:id="1027"/>
      <w:r>
        <w:rPr>
          <w:i/>
          <w:iCs/>
        </w:rPr>
        <w:lastRenderedPageBreak/>
        <w:t>“</w:t>
      </w:r>
      <w:r w:rsidRPr="00B34407" w:rsidR="00AF72E5">
        <w:rPr>
          <w:i/>
          <w:iCs/>
        </w:rPr>
        <w:t>Positive Statement of Projected Cash Flow</w:t>
      </w:r>
      <w:r>
        <w:rPr>
          <w:i/>
          <w:iCs/>
        </w:rPr>
        <w:t>”</w:t>
      </w:r>
      <w:r w:rsidRPr="00B34407" w:rsidR="00AF72E5">
        <w:t xml:space="preserve"> </w:t>
      </w:r>
      <w:bookmarkStart w:name="_DV_M1090" w:id="1028"/>
      <w:bookmarkEnd w:id="1028"/>
      <w:r w:rsidRPr="00B34407" w:rsidR="00A07A4A">
        <w:t>means a Statement of Projected Cash Flow which projects Revenues will be sufficient for the payment of the estimated Debt Service and Program Expenses described in the Indenture for such Fiscal Year.</w:t>
      </w:r>
    </w:p>
    <w:p w:rsidRPr="00B34407" w:rsidR="00AF72E5" w:rsidP="008C1551" w:rsidRDefault="00C34AEA" w14:paraId="413AB332" w14:textId="213BBB64">
      <w:pPr>
        <w:pStyle w:val="BodyTextFirstIndent"/>
        <w:ind w:right="936"/>
      </w:pPr>
      <w:r>
        <w:rPr>
          <w:i/>
          <w:iCs/>
        </w:rPr>
        <w:t>“</w:t>
      </w:r>
      <w:r w:rsidRPr="00B34407" w:rsidR="00AF72E5">
        <w:rPr>
          <w:i/>
          <w:iCs/>
        </w:rPr>
        <w:t>Prepayments</w:t>
      </w:r>
      <w:r>
        <w:rPr>
          <w:i/>
          <w:iCs/>
        </w:rPr>
        <w:t>”</w:t>
      </w:r>
      <w:r w:rsidRPr="00B34407" w:rsidR="00AF72E5">
        <w:t xml:space="preserve"> </w:t>
      </w:r>
      <w:r w:rsidR="00D744E0">
        <w:t>means any payment</w:t>
      </w:r>
      <w:r w:rsidRPr="00B34407" w:rsidR="00D744E0">
        <w:t xml:space="preserve"> in excess of the regularly-scheduled payments on the </w:t>
      </w:r>
      <w:r w:rsidR="00D744E0">
        <w:t>Mortgage Certificates</w:t>
      </w:r>
      <w:r w:rsidRPr="00B34407" w:rsidR="00D744E0">
        <w:t>, including, but not limited to, payments representing (i) optional prepayment</w:t>
      </w:r>
      <w:r w:rsidR="00D744E0">
        <w:t>s</w:t>
      </w:r>
      <w:r w:rsidRPr="00B34407" w:rsidR="00D744E0">
        <w:t xml:space="preserve"> of </w:t>
      </w:r>
      <w:r w:rsidR="00D744E0">
        <w:t>the</w:t>
      </w:r>
      <w:r w:rsidRPr="00B34407" w:rsidR="00D744E0">
        <w:t xml:space="preserve"> Mortgage Loan</w:t>
      </w:r>
      <w:r w:rsidR="00D744E0">
        <w:t>s</w:t>
      </w:r>
      <w:r w:rsidRPr="00B34407" w:rsidR="00D744E0">
        <w:t xml:space="preserve">, (ii) casualty insurance proceeds or condemnation awards applied to the prepayment of </w:t>
      </w:r>
      <w:r w:rsidR="00D744E0">
        <w:t>the</w:t>
      </w:r>
      <w:r w:rsidRPr="00B34407" w:rsidR="00D744E0">
        <w:t xml:space="preserve"> Mortgage Loan</w:t>
      </w:r>
      <w:r w:rsidR="00D744E0">
        <w:t>s</w:t>
      </w:r>
      <w:r w:rsidRPr="00B34407" w:rsidR="00D744E0">
        <w:t xml:space="preserve"> following a partial or total destruction or condemnation of a single family residence, (iii) mortgage insurance or guaranty proceeds, prepayments of Mortgage Certificates, or other amounts received with respect to </w:t>
      </w:r>
      <w:r w:rsidR="00D744E0">
        <w:t>the</w:t>
      </w:r>
      <w:r w:rsidRPr="00B34407" w:rsidR="00D744E0">
        <w:t xml:space="preserve"> Mortgage Loan</w:t>
      </w:r>
      <w:r w:rsidR="00D744E0">
        <w:t>s</w:t>
      </w:r>
      <w:r w:rsidRPr="00B34407" w:rsidR="00D744E0">
        <w:t xml:space="preserve"> following acceleration thereof upon the occurrence of an event of default thereunder, </w:t>
      </w:r>
      <w:r w:rsidR="00D744E0">
        <w:t xml:space="preserve">(iv) prepayments of the Mortgage Loans required pursuant to applicable rules, regulations, policies and procedures of FHA, USDA/RD, VA, GNMA or Fannie Mae, (v) </w:t>
      </w:r>
      <w:r w:rsidRPr="00B34407" w:rsidR="00D744E0">
        <w:t>prepayment</w:t>
      </w:r>
      <w:r w:rsidR="00D744E0">
        <w:t>s</w:t>
      </w:r>
      <w:r w:rsidRPr="00B34407" w:rsidR="00D744E0">
        <w:t xml:space="preserve"> of </w:t>
      </w:r>
      <w:r w:rsidR="00D744E0">
        <w:t xml:space="preserve">the </w:t>
      </w:r>
      <w:r w:rsidRPr="00B34407" w:rsidR="00D744E0">
        <w:t>Mortgage Loan</w:t>
      </w:r>
      <w:r w:rsidR="00D744E0">
        <w:t>s</w:t>
      </w:r>
      <w:r w:rsidRPr="00B34407" w:rsidR="00D744E0">
        <w:t xml:space="preserve"> without notice or prepayment penalty while under supervision of a trustee in bankruptcy</w:t>
      </w:r>
      <w:r w:rsidR="00D744E0">
        <w:t>, and (vi) prepayment of the Mortgage Loans in connection with the modification of such loans that results in the removal of such Mortgage Loans from the pool of loans backing the related Mortgage Certificates</w:t>
      </w:r>
      <w:r w:rsidRPr="00B34407" w:rsidR="00D744E0">
        <w:t>.</w:t>
      </w:r>
    </w:p>
    <w:p w:rsidRPr="00B34407" w:rsidR="005B0B55" w:rsidP="008C1551" w:rsidRDefault="00C34AEA" w14:paraId="03F95F02" w14:textId="773247BA">
      <w:pPr>
        <w:pStyle w:val="BodyTextFirstIndent"/>
        <w:ind w:right="936"/>
      </w:pPr>
      <w:bookmarkStart w:name="_DV_M1091" w:id="1029"/>
      <w:bookmarkEnd w:id="1029"/>
      <w:r>
        <w:rPr>
          <w:i/>
          <w:iCs/>
        </w:rPr>
        <w:t>“</w:t>
      </w:r>
      <w:r w:rsidRPr="00B34407" w:rsidR="00AF72E5">
        <w:rPr>
          <w:i/>
          <w:iCs/>
        </w:rPr>
        <w:t>Principal Asset Bonds</w:t>
      </w:r>
      <w:r>
        <w:rPr>
          <w:i/>
          <w:iCs/>
        </w:rPr>
        <w:t>”</w:t>
      </w:r>
      <w:r w:rsidRPr="00B34407" w:rsidR="00AF72E5">
        <w:t xml:space="preserve"> means the amount determined by subtracting from (i) the principal amount of all outstanding Bonds (ii) the amount of cash or Investment Securities in the Debt Service Reserve Account.</w:t>
      </w:r>
      <w:r w:rsidRPr="00B34407" w:rsidR="00283234">
        <w:t xml:space="preserve">  </w:t>
      </w:r>
      <w:bookmarkStart w:name="_DV_M1092" w:id="1030"/>
      <w:bookmarkEnd w:id="1030"/>
    </w:p>
    <w:p w:rsidRPr="00B34407" w:rsidR="00AF72E5" w:rsidP="008C1551" w:rsidRDefault="00C34AEA" w14:paraId="10BE7B0A" w14:textId="1FD7EF6A">
      <w:pPr>
        <w:pStyle w:val="BodyTextFirstIndent"/>
        <w:ind w:right="936"/>
      </w:pPr>
      <w:r>
        <w:rPr>
          <w:i/>
          <w:iCs/>
        </w:rPr>
        <w:t>“</w:t>
      </w:r>
      <w:r w:rsidRPr="00B34407" w:rsidR="00AF72E5">
        <w:rPr>
          <w:i/>
          <w:iCs/>
        </w:rPr>
        <w:t>Principal Installment</w:t>
      </w:r>
      <w:r>
        <w:rPr>
          <w:i/>
          <w:iCs/>
        </w:rPr>
        <w:t>”</w:t>
      </w:r>
      <w:r w:rsidRPr="00B34407" w:rsidR="00AF72E5">
        <w:t xml:space="preserve"> means, as of any date of calculation, (i) the aggregate principal amount of outstanding Bonds due on a certain future date, reduced by the aggregate principal amount of such Bonds which would be</w:t>
      </w:r>
      <w:r w:rsidR="00E53D8E">
        <w:t xml:space="preserve"> retired</w:t>
      </w:r>
      <w:r w:rsidRPr="00B34407" w:rsidR="008D088C">
        <w:rPr>
          <w:b/>
        </w:rPr>
        <w:t xml:space="preserve"> </w:t>
      </w:r>
      <w:r w:rsidRPr="00B34407" w:rsidR="00AF72E5">
        <w:t xml:space="preserve"> by reason of the payment when due and application in accordance with the Indenture of sinking fund payments payable before such future date plus (ii) the unsatisfied balance as determined in the Master Indenture of any sinking fund payments due on such certain future date, together with the aggregate amount of the premiums, if any, applicable on such future date upon the redemption of such Bonds by application of such sinking fund payments in a principal amount equal to said unsatisfied balance.</w:t>
      </w:r>
    </w:p>
    <w:p w:rsidRPr="00B34407" w:rsidR="00AF72E5" w:rsidP="008C1551" w:rsidRDefault="00C34AEA" w14:paraId="7682E1A8" w14:textId="4D66E0F3">
      <w:pPr>
        <w:pStyle w:val="BodyTextFirstIndent"/>
        <w:ind w:right="936"/>
      </w:pPr>
      <w:bookmarkStart w:name="_DV_M1093" w:id="1031"/>
      <w:bookmarkEnd w:id="1031"/>
      <w:r>
        <w:rPr>
          <w:i/>
          <w:iCs/>
        </w:rPr>
        <w:t>“</w:t>
      </w:r>
      <w:r w:rsidRPr="00B34407" w:rsidR="00AF72E5">
        <w:rPr>
          <w:i/>
          <w:iCs/>
        </w:rPr>
        <w:t>Program</w:t>
      </w:r>
      <w:r>
        <w:rPr>
          <w:i/>
          <w:iCs/>
        </w:rPr>
        <w:t>”</w:t>
      </w:r>
      <w:r w:rsidRPr="00B34407" w:rsidR="00AF72E5">
        <w:t xml:space="preserve"> means the Authority</w:t>
      </w:r>
      <w:r>
        <w:t>’</w:t>
      </w:r>
      <w:r w:rsidRPr="00B34407" w:rsidR="00AF72E5">
        <w:t>s Single Family Mortgage Program which is the program for the financing of loans for residential housing established by the Authority pursuant to the Act and the Program Guide, as the same may be amended from time to time consistent with the Indenture, but only to the extent that such program is financed through the issuance of Bonds or from amounts otherwise available out of the moneys and assets held or pledged pursuant to the Indenture.</w:t>
      </w:r>
    </w:p>
    <w:p w:rsidRPr="00B34407" w:rsidR="00AF72E5" w:rsidP="008C1551" w:rsidRDefault="00C34AEA" w14:paraId="1617DE9F" w14:textId="2748ACA6">
      <w:pPr>
        <w:pStyle w:val="BodyTextFirstIndent"/>
        <w:ind w:right="936"/>
      </w:pPr>
      <w:bookmarkStart w:name="_DV_M1094" w:id="1032"/>
      <w:bookmarkEnd w:id="1032"/>
      <w:r>
        <w:rPr>
          <w:i/>
          <w:iCs/>
        </w:rPr>
        <w:t>“</w:t>
      </w:r>
      <w:r w:rsidRPr="00B34407" w:rsidR="00AF72E5">
        <w:rPr>
          <w:i/>
          <w:iCs/>
        </w:rPr>
        <w:t>Program Expenses</w:t>
      </w:r>
      <w:r>
        <w:rPr>
          <w:i/>
          <w:iCs/>
        </w:rPr>
        <w:t>”</w:t>
      </w:r>
      <w:r w:rsidRPr="00B34407" w:rsidR="00AF72E5">
        <w:t xml:space="preserve"> means all of the Authority</w:t>
      </w:r>
      <w:r>
        <w:t>’</w:t>
      </w:r>
      <w:r w:rsidRPr="00B34407" w:rsidR="00AF72E5">
        <w:t>s expenses in carrying out and administering its Single Family Mortgage Program under Master Indenture and includes, without limiting the generality of the foregoing, salaries, supplies, utilities, mailing, labor, materials, office rent, maintenance, furnishings, equipment, legal, accounting, management, consulting and banking services and expenses, fees and expenses of the Fiduciaries, payments made or required to be made or held aside for payment to preserve the excludability from gross income of the interest on the Bonds for federal income tax purposes, Costs of Issuance not paid from the proceeds of Bonds, mortgage, pool and special hazard insurance premiums, travel, payments for pension, retirement, health and hospitalization and life and disability insurance benefits, all to the extent properly allocable to the Single Family Mortgage Program, but excludes any Program Expenses paid for out of the Administrative Fee.  Program Expenses may also include amounts for establishing and maintaining a two-month reserve to pay operating costs and a reasonable reserve for losses and expenses estimated to be incurred by the Authority and amounts appropriate to reimburse the Authority for Program expenses paid from other sources.</w:t>
      </w:r>
    </w:p>
    <w:p w:rsidRPr="00B34407" w:rsidR="00AF72E5" w:rsidP="008C1551" w:rsidRDefault="00C34AEA" w14:paraId="2CC44584" w14:textId="65522F66">
      <w:pPr>
        <w:pStyle w:val="BodyTextFirstIndent"/>
        <w:ind w:right="936"/>
      </w:pPr>
      <w:bookmarkStart w:name="_DV_M1095" w:id="1033"/>
      <w:bookmarkEnd w:id="1033"/>
      <w:r>
        <w:rPr>
          <w:i/>
          <w:iCs/>
        </w:rPr>
        <w:t>“</w:t>
      </w:r>
      <w:r w:rsidRPr="00B34407" w:rsidR="00AF72E5">
        <w:rPr>
          <w:i/>
          <w:iCs/>
        </w:rPr>
        <w:t>Program Guide</w:t>
      </w:r>
      <w:r>
        <w:rPr>
          <w:i/>
          <w:iCs/>
        </w:rPr>
        <w:t>”</w:t>
      </w:r>
      <w:r w:rsidRPr="00B34407" w:rsidR="00AF72E5">
        <w:t xml:space="preserve"> means the Single Family Mortgage Program Guide for Lenders and Servicers adopted by the Authority for the Program as in effect on the date of the Indenture and as revised, amended, altered or supplemented from time to time in accordance with the Act and the Indenture.</w:t>
      </w:r>
    </w:p>
    <w:p w:rsidRPr="00B34407" w:rsidR="00AF72E5" w:rsidP="008C1551" w:rsidRDefault="00C34AEA" w14:paraId="00ABA4EF" w14:textId="3BEF9C23">
      <w:pPr>
        <w:pStyle w:val="BodyTextFirstIndent"/>
        <w:ind w:right="936"/>
      </w:pPr>
      <w:bookmarkStart w:name="_DV_M1096" w:id="1034"/>
      <w:bookmarkEnd w:id="1034"/>
      <w:r>
        <w:rPr>
          <w:i/>
          <w:iCs/>
        </w:rPr>
        <w:t>“</w:t>
      </w:r>
      <w:r w:rsidRPr="00B34407" w:rsidR="00AF72E5">
        <w:rPr>
          <w:i/>
          <w:iCs/>
        </w:rPr>
        <w:t>PSA</w:t>
      </w:r>
      <w:r>
        <w:rPr>
          <w:i/>
          <w:iCs/>
        </w:rPr>
        <w:t>”</w:t>
      </w:r>
      <w:r w:rsidRPr="00B34407" w:rsidR="00AF72E5">
        <w:t xml:space="preserve"> means the Prepayment Speed Assumption, an assumed prepayment speed or rate which is used in estimating prepayments of mortgage loans under the Standard SIFMA Model.</w:t>
      </w:r>
    </w:p>
    <w:p w:rsidRPr="00B34407" w:rsidR="00AF72E5" w:rsidP="008C1551" w:rsidRDefault="00C34AEA" w14:paraId="53E31F58" w14:textId="787A2F33">
      <w:pPr>
        <w:pStyle w:val="BodyTextFirstIndent"/>
        <w:ind w:right="936"/>
      </w:pPr>
      <w:bookmarkStart w:name="_DV_M1097" w:id="1035"/>
      <w:bookmarkStart w:name="_DV_M1098" w:id="1036"/>
      <w:bookmarkEnd w:id="1035"/>
      <w:bookmarkEnd w:id="1036"/>
      <w:r>
        <w:rPr>
          <w:i/>
          <w:iCs/>
        </w:rPr>
        <w:t>“</w:t>
      </w:r>
      <w:r w:rsidRPr="00B34407" w:rsidR="00AF72E5">
        <w:rPr>
          <w:i/>
          <w:iCs/>
        </w:rPr>
        <w:t>Purchase Fund</w:t>
      </w:r>
      <w:r>
        <w:rPr>
          <w:i/>
          <w:iCs/>
        </w:rPr>
        <w:t>”</w:t>
      </w:r>
      <w:r w:rsidRPr="00B34407" w:rsidR="00AF72E5">
        <w:t xml:space="preserve"> shall mean the account by that name created by the Master Indenture.</w:t>
      </w:r>
    </w:p>
    <w:p w:rsidRPr="00B34407" w:rsidR="00AF72E5" w:rsidP="008C1551" w:rsidRDefault="00C34AEA" w14:paraId="4B36477D" w14:textId="5F5AB591">
      <w:pPr>
        <w:pStyle w:val="BodyTextFirstIndent"/>
        <w:ind w:right="936"/>
      </w:pPr>
      <w:bookmarkStart w:name="_DV_M1099" w:id="1037"/>
      <w:bookmarkStart w:name="_DV_M1101" w:id="1038"/>
      <w:bookmarkEnd w:id="1037"/>
      <w:bookmarkEnd w:id="1038"/>
      <w:r>
        <w:rPr>
          <w:i/>
          <w:iCs/>
        </w:rPr>
        <w:t>“</w:t>
      </w:r>
      <w:r w:rsidRPr="00B34407" w:rsidR="00AF72E5">
        <w:rPr>
          <w:i/>
          <w:iCs/>
        </w:rPr>
        <w:t>Rating Agency</w:t>
      </w:r>
      <w:r>
        <w:rPr>
          <w:i/>
          <w:iCs/>
        </w:rPr>
        <w:t>”</w:t>
      </w:r>
      <w:r w:rsidRPr="00B34407" w:rsidR="00AF72E5">
        <w:t xml:space="preserve"> means any nationally recognized bond rating agency, includ</w:t>
      </w:r>
      <w:r w:rsidRPr="00B34407" w:rsidR="000940B2">
        <w:t>ing Moody</w:t>
      </w:r>
      <w:r>
        <w:t>’</w:t>
      </w:r>
      <w:r w:rsidRPr="00B34407" w:rsidR="000940B2">
        <w:t xml:space="preserve">s Investors Service </w:t>
      </w:r>
      <w:r w:rsidRPr="00B34407" w:rsidR="00AF72E5">
        <w:t>and Fitch Ratings.</w:t>
      </w:r>
    </w:p>
    <w:p w:rsidRPr="00B34407" w:rsidR="00AF72E5" w:rsidP="008C1551" w:rsidRDefault="00C34AEA" w14:paraId="7C616784" w14:textId="26693A77">
      <w:pPr>
        <w:pStyle w:val="BodyTextFirstIndent"/>
        <w:ind w:right="936"/>
      </w:pPr>
      <w:bookmarkStart w:name="_DV_M1102" w:id="1039"/>
      <w:bookmarkEnd w:id="1039"/>
      <w:r>
        <w:rPr>
          <w:i/>
          <w:iCs/>
        </w:rPr>
        <w:t>“</w:t>
      </w:r>
      <w:r w:rsidRPr="00B34407" w:rsidR="00AF72E5">
        <w:rPr>
          <w:i/>
          <w:iCs/>
        </w:rPr>
        <w:t>Redemption Account</w:t>
      </w:r>
      <w:r>
        <w:rPr>
          <w:i/>
          <w:iCs/>
        </w:rPr>
        <w:t>”</w:t>
      </w:r>
      <w:r w:rsidRPr="00B34407" w:rsidR="00AF72E5">
        <w:t xml:space="preserve"> means the Redemption Account established pursuant to the Indenture.</w:t>
      </w:r>
    </w:p>
    <w:p w:rsidRPr="00B34407" w:rsidR="00AF72E5" w:rsidP="008C1551" w:rsidRDefault="00C34AEA" w14:paraId="3FCD1C61" w14:textId="14600C0D">
      <w:pPr>
        <w:pStyle w:val="BodyTextFirstIndent"/>
        <w:ind w:right="936"/>
      </w:pPr>
      <w:bookmarkStart w:name="_DV_M1103" w:id="1040"/>
      <w:bookmarkStart w:name="ElPgBr94" w:id="1041"/>
      <w:bookmarkEnd w:id="1040"/>
      <w:bookmarkEnd w:id="1041"/>
      <w:r>
        <w:rPr>
          <w:i/>
          <w:iCs/>
        </w:rPr>
        <w:lastRenderedPageBreak/>
        <w:t>“</w:t>
      </w:r>
      <w:r w:rsidRPr="00B34407" w:rsidR="00AF72E5">
        <w:rPr>
          <w:i/>
          <w:iCs/>
        </w:rPr>
        <w:t>Refunding Bond</w:t>
      </w:r>
      <w:r>
        <w:rPr>
          <w:i/>
          <w:iCs/>
        </w:rPr>
        <w:t>”</w:t>
      </w:r>
      <w:r w:rsidRPr="00B34407" w:rsidR="00AF72E5">
        <w:t xml:space="preserve"> means any Bond authenticated and delivered on original issuance pursuant to and in accordance with the requirements of the Indenture for the refunding of any Bonds or thereafter authenticated and delivered in lieu of or in substitution for any such Bond pursuant to the Indenture.</w:t>
      </w:r>
    </w:p>
    <w:p w:rsidRPr="00B34407" w:rsidR="00AF72E5" w:rsidP="008C1551" w:rsidRDefault="00C34AEA" w14:paraId="3AC67E98" w14:textId="3473A1F4">
      <w:pPr>
        <w:pStyle w:val="BodyTextFirstIndent"/>
        <w:ind w:right="936"/>
      </w:pPr>
      <w:bookmarkStart w:name="_DV_M1104" w:id="1042"/>
      <w:bookmarkEnd w:id="1042"/>
      <w:r>
        <w:rPr>
          <w:i/>
          <w:iCs/>
        </w:rPr>
        <w:t>“</w:t>
      </w:r>
      <w:r w:rsidRPr="00B34407" w:rsidR="00AF72E5">
        <w:rPr>
          <w:i/>
          <w:iCs/>
        </w:rPr>
        <w:t>Revenue Account</w:t>
      </w:r>
      <w:r>
        <w:rPr>
          <w:i/>
          <w:iCs/>
        </w:rPr>
        <w:t>”</w:t>
      </w:r>
      <w:r w:rsidRPr="00B34407" w:rsidR="00AF72E5">
        <w:t xml:space="preserve"> means the Revenue Account established pursuant to the Indenture.</w:t>
      </w:r>
    </w:p>
    <w:p w:rsidRPr="00B34407" w:rsidR="00AF72E5" w:rsidP="008C1551" w:rsidRDefault="00C34AEA" w14:paraId="6BF36063" w14:textId="6DBD7893">
      <w:pPr>
        <w:pStyle w:val="BodyTextFirstIndent"/>
        <w:ind w:right="936"/>
      </w:pPr>
      <w:bookmarkStart w:name="_DV_M1105" w:id="1043"/>
      <w:bookmarkEnd w:id="1043"/>
      <w:r>
        <w:rPr>
          <w:i/>
          <w:iCs/>
        </w:rPr>
        <w:t>“</w:t>
      </w:r>
      <w:r w:rsidRPr="00B34407" w:rsidR="00AF72E5">
        <w:rPr>
          <w:i/>
          <w:iCs/>
        </w:rPr>
        <w:t>Revenues</w:t>
      </w:r>
      <w:r>
        <w:rPr>
          <w:i/>
          <w:iCs/>
        </w:rPr>
        <w:t>”</w:t>
      </w:r>
      <w:r w:rsidRPr="00B34407" w:rsidR="00AF72E5">
        <w:rPr>
          <w:i/>
          <w:iCs/>
        </w:rPr>
        <w:t xml:space="preserve"> </w:t>
      </w:r>
      <w:bookmarkStart w:name="_DV_M1106" w:id="1044"/>
      <w:bookmarkStart w:name="_DV_M1108" w:id="1045"/>
      <w:bookmarkEnd w:id="1044"/>
      <w:bookmarkEnd w:id="1045"/>
      <w:r w:rsidRPr="00B34407" w:rsidR="00A07A4A">
        <w:t xml:space="preserve">means, upon receipt thereof by the Authority, all payments, repayments, prepayments, proceeds, rents, charges and other cash income received by the Authority from or on account of any Mortgage Loan (including scheduled, delinquent and advance payments of, and any insurance and guaranty proceeds with respect to, principal and interest on any Mortgage Loan) and all income earned or gain realized from the investment of amounts in any Account, including Swap Payments but </w:t>
      </w:r>
      <w:r w:rsidRPr="00B34407" w:rsidR="00A07A4A">
        <w:rPr>
          <w:b/>
          <w:bCs/>
          <w:i/>
          <w:iCs/>
        </w:rPr>
        <w:t>excludes</w:t>
      </w:r>
      <w:r w:rsidRPr="00B34407" w:rsidR="00A07A4A">
        <w:rPr>
          <w:b/>
          <w:bCs/>
        </w:rPr>
        <w:t xml:space="preserve"> </w:t>
      </w:r>
      <w:r w:rsidRPr="00B34407" w:rsidR="00A07A4A">
        <w:t xml:space="preserve">(i) commitment fees, or (ii) any amount retained by a Servicer (other than the Authority) of any Mortgage Loan as compensation for services rendered in connection with such Mortgage Loan. </w:t>
      </w:r>
    </w:p>
    <w:p w:rsidRPr="00B34407" w:rsidR="00023174" w:rsidP="0000515F" w:rsidRDefault="00C34AEA" w14:paraId="72C5A7A1" w14:textId="67813C81">
      <w:pPr>
        <w:pStyle w:val="BodyTextFirstIndent"/>
        <w:ind w:right="846"/>
      </w:pPr>
      <w:r>
        <w:t>“</w:t>
      </w:r>
      <w:r w:rsidRPr="00B34407" w:rsidR="00023174">
        <w:rPr>
          <w:i/>
        </w:rPr>
        <w:t>Servicer</w:t>
      </w:r>
      <w:r>
        <w:t>”</w:t>
      </w:r>
      <w:r w:rsidRPr="00B34407" w:rsidR="00023174">
        <w:t xml:space="preserve"> means the bank or other servicing entities appointed by the Authority with respect to the Single Family Mortgage Program. </w:t>
      </w:r>
    </w:p>
    <w:p w:rsidRPr="00B34407" w:rsidR="00023174" w:rsidP="00023174" w:rsidRDefault="00C34AEA" w14:paraId="23BCBA76" w14:textId="565F3EBD">
      <w:pPr>
        <w:pStyle w:val="BodyTextFirstIndent"/>
      </w:pPr>
      <w:r>
        <w:rPr>
          <w:i/>
          <w:iCs/>
        </w:rPr>
        <w:t>“</w:t>
      </w:r>
      <w:r w:rsidRPr="00B34407" w:rsidR="00023174">
        <w:rPr>
          <w:i/>
          <w:iCs/>
        </w:rPr>
        <w:t>State</w:t>
      </w:r>
      <w:r>
        <w:rPr>
          <w:i/>
          <w:iCs/>
        </w:rPr>
        <w:t>”</w:t>
      </w:r>
      <w:r w:rsidRPr="00B34407" w:rsidR="00023174">
        <w:t xml:space="preserve"> means the State of Indiana.</w:t>
      </w:r>
    </w:p>
    <w:p w:rsidRPr="00B34407" w:rsidR="00BA7CA7" w:rsidP="00BA7CA7" w:rsidRDefault="00C34AEA" w14:paraId="1A49F4CC" w14:textId="27AB4605">
      <w:pPr>
        <w:pStyle w:val="BodyTextFirstIndent"/>
        <w:ind w:right="936"/>
      </w:pPr>
      <w:bookmarkStart w:name="_DV_M1109" w:id="1046"/>
      <w:bookmarkStart w:name="_DV_M1115" w:id="1047"/>
      <w:bookmarkEnd w:id="1046"/>
      <w:bookmarkEnd w:id="1047"/>
      <w:r>
        <w:rPr>
          <w:i/>
          <w:iCs/>
        </w:rPr>
        <w:t>“</w:t>
      </w:r>
      <w:r w:rsidRPr="00B34407" w:rsidR="00BA7CA7">
        <w:rPr>
          <w:i/>
          <w:iCs/>
        </w:rPr>
        <w:t>Statement of Projected Cash Flow</w:t>
      </w:r>
      <w:r>
        <w:rPr>
          <w:i/>
          <w:iCs/>
        </w:rPr>
        <w:t>”</w:t>
      </w:r>
      <w:r w:rsidRPr="00B34407" w:rsidR="00BA7CA7">
        <w:t xml:space="preserve"> means a written statement prepared or verified by a firm having experience in preparation of mortgage revenue bond cash flows that is acceptable to the Rating Agency then rating the Bonds, setting forth for the then-current and each succeeding Fiscal Year in which Bonds are scheduled to be Outstanding a projection of:</w:t>
      </w:r>
    </w:p>
    <w:p w:rsidRPr="00B34407" w:rsidR="00BA7CA7" w:rsidP="00BA7CA7" w:rsidRDefault="00BA7CA7" w14:paraId="2240E4DE" w14:textId="77777777">
      <w:pPr>
        <w:pStyle w:val="BodyTextFirstIndent"/>
        <w:ind w:left="1500" w:right="936" w:hanging="700"/>
      </w:pPr>
      <w:bookmarkStart w:name="_DV_M1110" w:id="1048"/>
      <w:bookmarkEnd w:id="1048"/>
      <w:r w:rsidRPr="00B34407">
        <w:t>(1)</w:t>
      </w:r>
      <w:r w:rsidRPr="00B34407">
        <w:tab/>
        <w:t>The Revenues projected to be received with respect to the Bonds;</w:t>
      </w:r>
    </w:p>
    <w:p w:rsidRPr="00B34407" w:rsidR="00BA7CA7" w:rsidP="00BA7CA7" w:rsidRDefault="00BA7CA7" w14:paraId="2E98D950" w14:textId="77777777">
      <w:pPr>
        <w:pStyle w:val="BodyTextFirstIndent"/>
        <w:ind w:left="1500" w:right="936" w:hanging="700"/>
      </w:pPr>
      <w:bookmarkStart w:name="_DV_M1111" w:id="1049"/>
      <w:bookmarkEnd w:id="1049"/>
      <w:r w:rsidRPr="00B34407">
        <w:t>(2)</w:t>
      </w:r>
      <w:r w:rsidRPr="00B34407">
        <w:tab/>
        <w:t>The interest to be earned and other income which the Authority projects to be derived from the investment of the Accounts and the rates or yields used in projecting such amounts with respect to the Bonds;</w:t>
      </w:r>
    </w:p>
    <w:p w:rsidRPr="00B34407" w:rsidR="00BA7CA7" w:rsidP="00BA7CA7" w:rsidRDefault="00BA7CA7" w14:paraId="38D5A289" w14:textId="77777777">
      <w:pPr>
        <w:pStyle w:val="BodyTextFirstIndent"/>
        <w:ind w:left="1500" w:right="936" w:hanging="700"/>
      </w:pPr>
      <w:bookmarkStart w:name="_DV_M1112" w:id="1050"/>
      <w:bookmarkEnd w:id="1050"/>
      <w:r w:rsidRPr="00B34407">
        <w:t>(3)</w:t>
      </w:r>
      <w:r w:rsidRPr="00B34407">
        <w:tab/>
        <w:t>Money held or projected to be held in any other Account available for payment of Debt Service on the Bonds or Program Expenses;</w:t>
      </w:r>
    </w:p>
    <w:p w:rsidRPr="00B34407" w:rsidR="00BA7CA7" w:rsidP="00BA7CA7" w:rsidRDefault="00BA7CA7" w14:paraId="76C93EC1" w14:textId="77777777">
      <w:pPr>
        <w:pStyle w:val="BodyTextFirstIndent"/>
        <w:ind w:left="1500" w:right="936" w:hanging="700"/>
      </w:pPr>
      <w:bookmarkStart w:name="_DV_M1113" w:id="1051"/>
      <w:bookmarkEnd w:id="1051"/>
      <w:r w:rsidRPr="00B34407">
        <w:t>(4)</w:t>
      </w:r>
      <w:r w:rsidRPr="00B34407">
        <w:tab/>
        <w:t xml:space="preserve">The Debt Service on the Bonds </w:t>
      </w:r>
      <w:bookmarkStart w:name="_Hlk520365728" w:id="1052"/>
      <w:r w:rsidRPr="00B34407">
        <w:t xml:space="preserve">and parity Swap Payments due during </w:t>
      </w:r>
      <w:bookmarkEnd w:id="1052"/>
      <w:r w:rsidRPr="00B34407">
        <w:t>such fiscal year; and</w:t>
      </w:r>
    </w:p>
    <w:p w:rsidRPr="00B34407" w:rsidR="00BA7CA7" w:rsidP="00BA7CA7" w:rsidRDefault="00BA7CA7" w14:paraId="21795BEA" w14:textId="7CA096AB">
      <w:pPr>
        <w:pStyle w:val="BodyTextFirstIndent"/>
        <w:ind w:left="1500" w:right="936" w:hanging="700"/>
      </w:pPr>
      <w:bookmarkStart w:name="_DV_M1114" w:id="1053"/>
      <w:bookmarkEnd w:id="1053"/>
      <w:r w:rsidRPr="00B34407">
        <w:t>(5)</w:t>
      </w:r>
      <w:r w:rsidRPr="00B34407">
        <w:tab/>
        <w:t>The Authority</w:t>
      </w:r>
      <w:r w:rsidR="00C34AEA">
        <w:t>’</w:t>
      </w:r>
      <w:r w:rsidRPr="00B34407">
        <w:t>s Program Expenses and Administrative Fee permitted by each Supplemental Indenture</w:t>
      </w:r>
      <w:r w:rsidRPr="00B34407" w:rsidR="00B60104">
        <w:t xml:space="preserve"> with respect to the Bonds</w:t>
      </w:r>
      <w:r w:rsidRPr="00B34407">
        <w:t>.</w:t>
      </w:r>
    </w:p>
    <w:p w:rsidRPr="00B34407" w:rsidR="00AF72E5" w:rsidP="008C1551" w:rsidRDefault="00AF72E5" w14:paraId="47C7E5C4" w14:textId="076D1FA0">
      <w:pPr>
        <w:pStyle w:val="BodyTextFirstIndent"/>
        <w:ind w:right="936"/>
      </w:pPr>
      <w:r w:rsidRPr="00B34407">
        <w:t>In making any Statement of Projected Cash Flow the Authority may contemplate:  (i) the expenditure of amounts in the Loan Account for the financing of Mortgage Loans in accordance with the Authority</w:t>
      </w:r>
      <w:r w:rsidR="00C34AEA">
        <w:t>’</w:t>
      </w:r>
      <w:r w:rsidRPr="00B34407">
        <w:t>s reasonable expectations at the time such Statement is made; (ii) the transfer of moneys from one Account to another Account if such transfer is or will be permitted in accordance with the Indenture; (iii) the payment or redemption of Bonds if such payment or redemption is or will be permitted in accordance with the Indenture; and (iv) the transfer of moneys among the various Accounts from time to time by the Authority to the extent the Authority reasonably expects such amounts to be available for such transfer.</w:t>
      </w:r>
    </w:p>
    <w:p w:rsidRPr="00B34407" w:rsidR="00AF72E5" w:rsidP="008C1551" w:rsidRDefault="00AF72E5" w14:paraId="5AC66E29" w14:textId="77777777">
      <w:pPr>
        <w:pStyle w:val="BodyTextFirstIndent"/>
        <w:ind w:right="936"/>
      </w:pPr>
      <w:bookmarkStart w:name="_DV_M1116" w:id="1054"/>
      <w:bookmarkEnd w:id="1054"/>
      <w:r w:rsidRPr="00B34407">
        <w:t>The Statement of Projected Cash Flow is to be based upon the assets held by the Trustee as of a date no more than 120 days prior to the date of such Statement or otherwise such Statement of Projected Cash Flow is to be based on a reasonable estimate of such assets held by the Trustee as of the date of the Statement of Projected Cash Flow.  The Authority also is to supply supporting schedules appropriate to show the sources and applications of funds used, identifying particularly amounts to be transferred between Accounts, amounts to be applied to the redemption or payment of Bonds and amounts to be used to provide for Costs of Issuance and capitalized interest for the respective</w:t>
      </w:r>
      <w:r w:rsidRPr="00B34407" w:rsidR="00CB0562">
        <w:t xml:space="preserve"> Bonds</w:t>
      </w:r>
      <w:r w:rsidRPr="00B34407">
        <w:t xml:space="preserve">.  In projecting the amounts set forth above, the Authority is to set forth its assumptions (which, in the opinion of the Authority, </w:t>
      </w:r>
      <w:r w:rsidRPr="00B34407" w:rsidR="00BA7CA7">
        <w:t>are</w:t>
      </w:r>
      <w:r w:rsidRPr="00B34407">
        <w:t xml:space="preserve"> reasonable) of the interest rates and yields that Mortgage Loans or Investment Securities may be financed or purchased and the terms to maturity with respect thereto, fund and Account balances, Program Expenses, redemption, or any other action or event which is necessary or desirable for such purpose.</w:t>
      </w:r>
    </w:p>
    <w:p w:rsidRPr="00B34407" w:rsidR="00BA7CA7" w:rsidP="00BA7CA7" w:rsidRDefault="00BA7CA7" w14:paraId="097D128F" w14:textId="77777777">
      <w:pPr>
        <w:pStyle w:val="BodyTextFirstIndent"/>
        <w:ind w:right="936"/>
      </w:pPr>
      <w:bookmarkStart w:name="_DV_M1117" w:id="1055"/>
      <w:bookmarkEnd w:id="1055"/>
      <w:r w:rsidRPr="00B34407">
        <w:t xml:space="preserve">In the event the interest rate on any Bond is, at the time of calculation, not determined for the term of the Statement of Projected Cash Flow, interest rates on such Bond are to be determined by a certificate of the Authority estimating the such interest rate in the manner used in securing the required rating on such Bonds from the Rating Agency rating such Bonds.  </w:t>
      </w:r>
      <w:bookmarkStart w:name="_DV_M1118" w:id="1056"/>
      <w:bookmarkStart w:name="_DV_M1119" w:id="1057"/>
      <w:bookmarkEnd w:id="1056"/>
      <w:bookmarkEnd w:id="1057"/>
    </w:p>
    <w:p w:rsidRPr="00B34407" w:rsidR="00AF72E5" w:rsidP="00BA7CA7" w:rsidRDefault="00C34AEA" w14:paraId="1E3DAE80" w14:textId="18DA725D">
      <w:pPr>
        <w:pStyle w:val="BodyTextFirstIndent"/>
        <w:ind w:right="936"/>
      </w:pPr>
      <w:bookmarkStart w:name="ElPgBr95" w:id="1058"/>
      <w:bookmarkEnd w:id="1058"/>
      <w:r>
        <w:rPr>
          <w:i/>
          <w:iCs/>
        </w:rPr>
        <w:lastRenderedPageBreak/>
        <w:t>“</w:t>
      </w:r>
      <w:r w:rsidRPr="00B34407" w:rsidR="00AF72E5">
        <w:rPr>
          <w:i/>
          <w:iCs/>
        </w:rPr>
        <w:t>Supplemental Indenture</w:t>
      </w:r>
      <w:r>
        <w:rPr>
          <w:i/>
          <w:iCs/>
        </w:rPr>
        <w:t>”</w:t>
      </w:r>
      <w:r w:rsidRPr="00B34407" w:rsidR="00AF72E5">
        <w:t xml:space="preserve"> means any indenture supplemental to or amendatory of the Indenture.</w:t>
      </w:r>
    </w:p>
    <w:p w:rsidR="003E3884" w:rsidP="003E3884" w:rsidRDefault="00C34AEA" w14:paraId="5A129B1E" w14:textId="77777777">
      <w:pPr>
        <w:pStyle w:val="BodyTextFirstIndent"/>
        <w:ind w:right="936"/>
      </w:pPr>
      <w:bookmarkStart w:name="_DV_M1120" w:id="1059"/>
      <w:bookmarkStart w:name="_DV_M1122" w:id="1060"/>
      <w:bookmarkEnd w:id="1059"/>
      <w:bookmarkEnd w:id="1060"/>
      <w:r>
        <w:rPr>
          <w:i/>
          <w:iCs/>
        </w:rPr>
        <w:t>“</w:t>
      </w:r>
      <w:r w:rsidRPr="00B34407" w:rsidR="00AF72E5">
        <w:rPr>
          <w:i/>
          <w:iCs/>
        </w:rPr>
        <w:t>Trustee</w:t>
      </w:r>
      <w:r>
        <w:rPr>
          <w:i/>
          <w:iCs/>
        </w:rPr>
        <w:t>”</w:t>
      </w:r>
      <w:r w:rsidRPr="00B34407" w:rsidR="00AF72E5">
        <w:t xml:space="preserve"> means The Bank of New York Mellon Trust Company, N.A., and its successor or successors and any other person at any time substituted in its place pursuant to the Indenture.</w:t>
      </w:r>
      <w:bookmarkStart w:name="_DV_M1123" w:id="1061"/>
      <w:bookmarkEnd w:id="1061"/>
    </w:p>
    <w:p w:rsidRPr="00B34407" w:rsidR="00632451" w:rsidP="002A5598" w:rsidRDefault="00C34AEA" w14:paraId="58A81D91" w14:textId="6FB84999">
      <w:pPr>
        <w:pStyle w:val="BodyTextFirstIndent"/>
        <w:ind w:right="936"/>
      </w:pPr>
      <w:r>
        <w:rPr>
          <w:i/>
          <w:iCs/>
        </w:rPr>
        <w:t>“</w:t>
      </w:r>
      <w:r w:rsidR="008D253D">
        <w:rPr>
          <w:i/>
          <w:iCs/>
        </w:rPr>
        <w:t>UMBS</w:t>
      </w:r>
      <w:r>
        <w:rPr>
          <w:i/>
          <w:iCs/>
        </w:rPr>
        <w:t>”</w:t>
      </w:r>
      <w:r w:rsidRPr="00EE04B9" w:rsidR="00EE04B9">
        <w:t xml:space="preserve"> means a mortgage participation certificate purchased by the Trustee, in certificated or book-entry form, the timely payment of interest on and the timely payment or the ultimate collection of principal of which is guaranteed by Freddie Mac</w:t>
      </w:r>
      <w:r w:rsidR="004846B9">
        <w:t xml:space="preserve"> and Fannie Mae</w:t>
      </w:r>
      <w:r w:rsidRPr="00EE04B9" w:rsidR="00EE04B9">
        <w:t>, which evidences a proportional undivided interest in pools of first lien, fixed-rate, variable-rate or adjustable-rate conventional Mortgage Loans or participation interests in conventional one-to-four family residential Mortgage Loans purchased by Freddie Mac</w:t>
      </w:r>
      <w:r w:rsidR="004846B9">
        <w:t xml:space="preserve"> and Fannie Mae</w:t>
      </w:r>
      <w:r w:rsidRPr="00EE04B9" w:rsidR="00EE04B9">
        <w:t>, all of which loans provide for monthly payments of principal and interest in substantially equal installments for the contractual term of such loan or for each rate variation or adjustment period, as the case may be, and are amortizing over the original term to maturity.</w:t>
      </w:r>
      <w:bookmarkStart w:name="_DV_M1126" w:id="1062"/>
      <w:bookmarkStart w:name="_DV_M1128" w:id="1063"/>
      <w:bookmarkStart w:name="_DV_M1129" w:id="1064"/>
      <w:bookmarkStart w:name="_DV_M1131" w:id="1065"/>
      <w:bookmarkEnd w:id="1062"/>
      <w:bookmarkEnd w:id="1063"/>
      <w:bookmarkEnd w:id="1064"/>
      <w:bookmarkEnd w:id="1065"/>
    </w:p>
    <w:p w:rsidR="0096772A" w:rsidP="0096772A" w:rsidRDefault="00C34AEA" w14:paraId="60F6FA1C" w14:textId="2A282608">
      <w:pPr>
        <w:pStyle w:val="BodyTextFirstIndent"/>
        <w:ind w:right="936"/>
      </w:pPr>
      <w:r>
        <w:rPr>
          <w:i/>
          <w:iCs/>
        </w:rPr>
        <w:t>“</w:t>
      </w:r>
      <w:r w:rsidR="00C7294C">
        <w:rPr>
          <w:i/>
          <w:iCs/>
        </w:rPr>
        <w:t>2024 Series C</w:t>
      </w:r>
      <w:r w:rsidR="005B3036">
        <w:rPr>
          <w:i/>
          <w:iCs/>
        </w:rPr>
        <w:t xml:space="preserve"> Bond</w:t>
      </w:r>
      <w:r w:rsidR="006C550F">
        <w:rPr>
          <w:i/>
          <w:iCs/>
        </w:rPr>
        <w:t>s</w:t>
      </w:r>
      <w:r>
        <w:rPr>
          <w:i/>
          <w:iCs/>
        </w:rPr>
        <w:t>”</w:t>
      </w:r>
      <w:r w:rsidR="0096772A">
        <w:t xml:space="preserve"> </w:t>
      </w:r>
      <w:r w:rsidRPr="00B34407" w:rsidR="0096772A">
        <w:t>means</w:t>
      </w:r>
      <w:r w:rsidR="0096772A">
        <w:t xml:space="preserve">, collectively, the </w:t>
      </w:r>
      <w:r w:rsidR="00C7294C">
        <w:t>2024 Series C</w:t>
      </w:r>
      <w:r w:rsidR="00B4438E">
        <w:t>-1 Bond</w:t>
      </w:r>
      <w:r w:rsidR="0096772A">
        <w:t xml:space="preserve">s and the </w:t>
      </w:r>
      <w:r w:rsidR="00C7294C">
        <w:t>2024 Series C</w:t>
      </w:r>
      <w:r w:rsidR="00B4438E">
        <w:t>-2 Bond</w:t>
      </w:r>
      <w:r w:rsidR="0096772A">
        <w:t xml:space="preserve">s. </w:t>
      </w:r>
      <w:r w:rsidRPr="00B34407" w:rsidR="0096772A">
        <w:t xml:space="preserve">  </w:t>
      </w:r>
    </w:p>
    <w:p w:rsidR="002A5598" w:rsidP="002A5598" w:rsidRDefault="002A5598" w14:paraId="5E1BCFC2" w14:textId="2429563A">
      <w:pPr>
        <w:pStyle w:val="BodyTextFirstIndent"/>
        <w:ind w:right="936"/>
        <w:rPr>
          <w:i/>
          <w:iCs/>
        </w:rPr>
      </w:pPr>
      <w:r>
        <w:t>“</w:t>
      </w:r>
      <w:r w:rsidR="00C7294C">
        <w:rPr>
          <w:i/>
        </w:rPr>
        <w:t>2024 Series C</w:t>
      </w:r>
      <w:r>
        <w:rPr>
          <w:i/>
        </w:rPr>
        <w:t xml:space="preserve"> Mortgage Loans”</w:t>
      </w:r>
      <w:r w:rsidRPr="00B34407">
        <w:t xml:space="preserve"> means the Mortgage Loans financed by the proceeds of the </w:t>
      </w:r>
      <w:r w:rsidR="00C7294C">
        <w:t>2024 Series C</w:t>
      </w:r>
      <w:r>
        <w:t xml:space="preserve"> Bonds</w:t>
      </w:r>
      <w:r w:rsidR="00EE1D83">
        <w:t>, including down payment assistance loans</w:t>
      </w:r>
      <w:r w:rsidR="00867E1C">
        <w:t>, as applicable</w:t>
      </w:r>
      <w:r w:rsidR="00EE1D83">
        <w:t xml:space="preserve">; provided however that references to the securitization of the </w:t>
      </w:r>
      <w:r w:rsidR="00C7294C">
        <w:t>2024 Series C</w:t>
      </w:r>
      <w:r w:rsidR="00EE1D83">
        <w:t xml:space="preserve"> Mortgage Loans as </w:t>
      </w:r>
      <w:r w:rsidR="004B6DCD">
        <w:t xml:space="preserve">the </w:t>
      </w:r>
      <w:r w:rsidR="00C7294C">
        <w:t>2024 Series C</w:t>
      </w:r>
      <w:r w:rsidR="00EE1D83">
        <w:t xml:space="preserve"> Mortgage Certificates shall not include such down payment assistance loans</w:t>
      </w:r>
      <w:r w:rsidRPr="00B34407">
        <w:t>.</w:t>
      </w:r>
      <w:r>
        <w:rPr>
          <w:i/>
          <w:iCs/>
        </w:rPr>
        <w:t xml:space="preserve"> </w:t>
      </w:r>
    </w:p>
    <w:p w:rsidR="003E3884" w:rsidP="002A5598" w:rsidRDefault="003E3884" w14:paraId="7611F50B" w14:textId="4F149E3C">
      <w:pPr>
        <w:pStyle w:val="BodyTextFirstIndent"/>
        <w:ind w:right="936"/>
        <w:rPr>
          <w:i/>
          <w:iCs/>
        </w:rPr>
      </w:pPr>
      <w:r>
        <w:rPr>
          <w:i/>
          <w:iCs/>
        </w:rPr>
        <w:t>“</w:t>
      </w:r>
      <w:r w:rsidR="00C7294C">
        <w:rPr>
          <w:i/>
          <w:iCs/>
        </w:rPr>
        <w:t>2024 Series C</w:t>
      </w:r>
      <w:r>
        <w:rPr>
          <w:i/>
          <w:iCs/>
        </w:rPr>
        <w:t xml:space="preserve"> Supplement”</w:t>
      </w:r>
      <w:r w:rsidRPr="00B34407">
        <w:t xml:space="preserve"> means the </w:t>
      </w:r>
      <w:r w:rsidR="00C7294C">
        <w:t>2024 Series C</w:t>
      </w:r>
      <w:r>
        <w:t xml:space="preserve"> Supplemental Indenture</w:t>
      </w:r>
      <w:r w:rsidRPr="00B34407">
        <w:t xml:space="preserve"> between the Authority and the Trustee, dated as of</w:t>
      </w:r>
      <w:r>
        <w:t xml:space="preserve"> </w:t>
      </w:r>
      <w:r w:rsidR="002D34C5">
        <w:t>August 1, 2024</w:t>
      </w:r>
      <w:r w:rsidRPr="00B34407">
        <w:t>.</w:t>
      </w:r>
      <w:r>
        <w:rPr>
          <w:i/>
          <w:iCs/>
        </w:rPr>
        <w:t xml:space="preserve"> </w:t>
      </w:r>
    </w:p>
    <w:p w:rsidR="00F44B32" w:rsidP="002A5598" w:rsidRDefault="00F44B32" w14:paraId="2FE2F14C" w14:textId="44981661">
      <w:pPr>
        <w:pStyle w:val="BodyTextFirstIndent"/>
        <w:ind w:right="936"/>
        <w:rPr>
          <w:rStyle w:val="DeltaViewInsertion"/>
          <w:color w:val="auto"/>
          <w:u w:val="none"/>
        </w:rPr>
      </w:pPr>
      <w:r>
        <w:rPr>
          <w:i/>
          <w:iCs/>
        </w:rPr>
        <w:t>“</w:t>
      </w:r>
      <w:r w:rsidR="00C7294C">
        <w:rPr>
          <w:i/>
          <w:iCs/>
        </w:rPr>
        <w:t>2024 Series C</w:t>
      </w:r>
      <w:r w:rsidRPr="000A2695">
        <w:rPr>
          <w:i/>
          <w:iCs/>
        </w:rPr>
        <w:t xml:space="preserve"> Term Bonds</w:t>
      </w:r>
      <w:r>
        <w:rPr>
          <w:i/>
          <w:iCs/>
        </w:rPr>
        <w:t>”</w:t>
      </w:r>
      <w:r w:rsidRPr="000A2695">
        <w:t xml:space="preserve"> means, collectively, the </w:t>
      </w:r>
      <w:r w:rsidR="00C7294C">
        <w:t>2024 Series C</w:t>
      </w:r>
      <w:r>
        <w:t>-1 Term</w:t>
      </w:r>
      <w:r w:rsidRPr="000A2695">
        <w:t xml:space="preserve"> Bonds </w:t>
      </w:r>
      <w:r>
        <w:t xml:space="preserve">and the </w:t>
      </w:r>
      <w:r w:rsidR="00C7294C">
        <w:t>2024 Series C</w:t>
      </w:r>
      <w:r>
        <w:t>-2</w:t>
      </w:r>
      <w:r w:rsidRPr="000A2695">
        <w:t xml:space="preserve"> </w:t>
      </w:r>
      <w:r>
        <w:t xml:space="preserve">Term </w:t>
      </w:r>
      <w:r w:rsidRPr="000A2695">
        <w:t>Bonds</w:t>
      </w:r>
      <w:r w:rsidRPr="000A2695">
        <w:rPr>
          <w:rStyle w:val="DeltaViewInsertion"/>
          <w:color w:val="auto"/>
          <w:u w:val="none"/>
        </w:rPr>
        <w:t>.</w:t>
      </w:r>
    </w:p>
    <w:p w:rsidR="002A5598" w:rsidP="0096772A" w:rsidRDefault="002A5598" w14:paraId="428C1EA3" w14:textId="4EDE30CE">
      <w:pPr>
        <w:pStyle w:val="BodyTextFirstIndent"/>
        <w:ind w:right="936"/>
        <w:rPr>
          <w:i/>
          <w:iCs/>
        </w:rPr>
      </w:pPr>
      <w:r>
        <w:rPr>
          <w:i/>
          <w:iCs/>
        </w:rPr>
        <w:t xml:space="preserve"> “</w:t>
      </w:r>
      <w:r w:rsidR="00C7294C">
        <w:rPr>
          <w:i/>
          <w:iCs/>
        </w:rPr>
        <w:t>2024 Series C</w:t>
      </w:r>
      <w:r>
        <w:rPr>
          <w:i/>
          <w:iCs/>
        </w:rPr>
        <w:t>-1 Bond</w:t>
      </w:r>
      <w:r w:rsidRPr="00B34407">
        <w:rPr>
          <w:i/>
          <w:iCs/>
        </w:rPr>
        <w:t>s</w:t>
      </w:r>
      <w:r>
        <w:rPr>
          <w:i/>
          <w:iCs/>
        </w:rPr>
        <w:t>”</w:t>
      </w:r>
      <w:r w:rsidRPr="00B34407">
        <w:t xml:space="preserve"> means the Authority</w:t>
      </w:r>
      <w:r>
        <w:t>’</w:t>
      </w:r>
      <w:r w:rsidRPr="00B34407">
        <w:t xml:space="preserve">s Single Family Mortgage Revenue Bonds, </w:t>
      </w:r>
      <w:r w:rsidR="00C7294C">
        <w:t>2024 Series C</w:t>
      </w:r>
      <w:r>
        <w:t>-1 (Social Bonds) (Non-AMT)</w:t>
      </w:r>
      <w:r w:rsidRPr="00B34407">
        <w:t>.</w:t>
      </w:r>
    </w:p>
    <w:p w:rsidRPr="00B34407" w:rsidR="00720B8B" w:rsidP="00720B8B" w:rsidRDefault="00720B8B" w14:paraId="763CE031" w14:textId="545EDC69">
      <w:pPr>
        <w:pStyle w:val="BodyTextFirstIndent"/>
        <w:ind w:right="936"/>
      </w:pPr>
      <w:r w:rsidRPr="00720B8B">
        <w:rPr>
          <w:i/>
        </w:rPr>
        <w:t>“2024 Series C-1 Premium Term Bonds”</w:t>
      </w:r>
      <w:r w:rsidRPr="00720B8B">
        <w:t xml:space="preserve"> means, collectively, </w:t>
      </w:r>
      <w:r w:rsidR="00413DD9">
        <w:t>the 2039 C-1 Premium Term Bonds and</w:t>
      </w:r>
      <w:r w:rsidRPr="00720B8B">
        <w:t xml:space="preserve"> the 2044 C-1 Premium Term Bonds.</w:t>
      </w:r>
    </w:p>
    <w:p w:rsidR="002A5598" w:rsidP="00720B8B" w:rsidRDefault="00720B8B" w14:paraId="78D3D639" w14:textId="2A2D6940">
      <w:pPr>
        <w:pStyle w:val="BodyTextFirstIndent"/>
        <w:ind w:right="936"/>
        <w:rPr>
          <w:rStyle w:val="DeltaViewInsertion"/>
          <w:color w:val="auto"/>
          <w:u w:val="none"/>
        </w:rPr>
      </w:pPr>
      <w:r w:rsidRPr="000C4646">
        <w:rPr>
          <w:i/>
          <w:iCs/>
        </w:rPr>
        <w:t xml:space="preserve"> </w:t>
      </w:r>
      <w:r w:rsidRPr="00720B8B" w:rsidR="002A5598">
        <w:rPr>
          <w:i/>
          <w:iCs/>
        </w:rPr>
        <w:t>“</w:t>
      </w:r>
      <w:r w:rsidRPr="00720B8B" w:rsidR="00C7294C">
        <w:rPr>
          <w:i/>
          <w:iCs/>
        </w:rPr>
        <w:t>2024 Series C</w:t>
      </w:r>
      <w:r w:rsidRPr="00720B8B" w:rsidR="002A5598">
        <w:rPr>
          <w:i/>
          <w:iCs/>
        </w:rPr>
        <w:t>-1 Term Bonds”</w:t>
      </w:r>
      <w:r w:rsidRPr="00720B8B" w:rsidR="002A5598">
        <w:t xml:space="preserve"> means, collectively, the </w:t>
      </w:r>
      <w:r w:rsidRPr="00720B8B" w:rsidR="00C7294C">
        <w:t>2024 Series C</w:t>
      </w:r>
      <w:r w:rsidRPr="00720B8B" w:rsidR="002A5598">
        <w:t>-1 Bonds due</w:t>
      </w:r>
      <w:bookmarkStart w:name="_DV_C331" w:id="1066"/>
      <w:r w:rsidRPr="00720B8B" w:rsidR="002A5598">
        <w:t xml:space="preserve"> </w:t>
      </w:r>
      <w:r w:rsidRPr="00720B8B" w:rsidR="00A1604D">
        <w:t>July 1, 2039</w:t>
      </w:r>
      <w:r w:rsidRPr="00720B8B" w:rsidR="002A5598">
        <w:t xml:space="preserve">, </w:t>
      </w:r>
      <w:r w:rsidRPr="00720B8B" w:rsidR="00A1604D">
        <w:t xml:space="preserve">the 2039 C-1 </w:t>
      </w:r>
      <w:r w:rsidRPr="00720B8B">
        <w:t>Premium Term</w:t>
      </w:r>
      <w:r w:rsidRPr="00720B8B" w:rsidR="00A1604D">
        <w:t xml:space="preserve"> Bonds, </w:t>
      </w:r>
      <w:r w:rsidRPr="00720B8B" w:rsidR="002A5598">
        <w:t xml:space="preserve">the </w:t>
      </w:r>
      <w:r w:rsidRPr="00720B8B" w:rsidR="00C7294C">
        <w:t>2024 Series C</w:t>
      </w:r>
      <w:r w:rsidRPr="00720B8B" w:rsidR="002A5598">
        <w:t xml:space="preserve">-1 Bonds due </w:t>
      </w:r>
      <w:r w:rsidRPr="00720B8B" w:rsidR="00A1604D">
        <w:t>July 1, 2044</w:t>
      </w:r>
      <w:bookmarkStart w:name="_DV_M1134" w:id="1067"/>
      <w:bookmarkEnd w:id="1066"/>
      <w:bookmarkEnd w:id="1067"/>
      <w:r w:rsidRPr="00720B8B" w:rsidR="002A5598">
        <w:t xml:space="preserve">, </w:t>
      </w:r>
      <w:r w:rsidRPr="00720B8B" w:rsidR="00A1604D">
        <w:t xml:space="preserve">the 2044 C-1 </w:t>
      </w:r>
      <w:r w:rsidRPr="00720B8B">
        <w:t>Premium Term</w:t>
      </w:r>
      <w:r w:rsidRPr="00720B8B" w:rsidR="00A1604D">
        <w:t xml:space="preserve"> Bonds, </w:t>
      </w:r>
      <w:r w:rsidRPr="00720B8B" w:rsidR="002A5598">
        <w:t xml:space="preserve">the </w:t>
      </w:r>
      <w:r w:rsidRPr="00720B8B" w:rsidR="00C7294C">
        <w:t>2024 Series C</w:t>
      </w:r>
      <w:r w:rsidRPr="00720B8B" w:rsidR="002A5598">
        <w:t xml:space="preserve">-1 Bonds due </w:t>
      </w:r>
      <w:r w:rsidRPr="00720B8B" w:rsidR="00A1604D">
        <w:t xml:space="preserve">July 1, 2049, </w:t>
      </w:r>
      <w:r w:rsidRPr="00720B8B" w:rsidR="00FB4991">
        <w:t xml:space="preserve">and </w:t>
      </w:r>
      <w:r w:rsidRPr="00720B8B" w:rsidR="002A5598">
        <w:t xml:space="preserve">the </w:t>
      </w:r>
      <w:r w:rsidRPr="00720B8B" w:rsidR="00C7294C">
        <w:t>2024 Series C</w:t>
      </w:r>
      <w:r w:rsidRPr="00720B8B" w:rsidR="002A5598">
        <w:t xml:space="preserve">-1 Bonds due </w:t>
      </w:r>
      <w:r w:rsidRPr="00720B8B" w:rsidR="00A1604D">
        <w:t>July 1, 2054</w:t>
      </w:r>
      <w:bookmarkStart w:name="_DV_C336" w:id="1068"/>
      <w:r w:rsidRPr="00720B8B" w:rsidR="002A5598">
        <w:rPr>
          <w:rStyle w:val="DeltaViewInsertion"/>
          <w:color w:val="auto"/>
          <w:u w:val="none"/>
        </w:rPr>
        <w:t>.</w:t>
      </w:r>
      <w:bookmarkEnd w:id="1068"/>
    </w:p>
    <w:p w:rsidRPr="00F373A6" w:rsidR="003801AD" w:rsidP="0096772A" w:rsidRDefault="002A5598" w14:paraId="155829D1" w14:textId="2878B151">
      <w:pPr>
        <w:pStyle w:val="BodyTextFirstIndent"/>
        <w:ind w:right="936"/>
      </w:pPr>
      <w:r>
        <w:rPr>
          <w:i/>
          <w:iCs/>
        </w:rPr>
        <w:t>“</w:t>
      </w:r>
      <w:r w:rsidR="00C7294C">
        <w:rPr>
          <w:i/>
          <w:iCs/>
        </w:rPr>
        <w:t>2024 Series C</w:t>
      </w:r>
      <w:r>
        <w:rPr>
          <w:i/>
          <w:iCs/>
        </w:rPr>
        <w:t>-2 Bond</w:t>
      </w:r>
      <w:r w:rsidRPr="00B34407">
        <w:rPr>
          <w:i/>
          <w:iCs/>
        </w:rPr>
        <w:t>s</w:t>
      </w:r>
      <w:r>
        <w:rPr>
          <w:i/>
          <w:iCs/>
        </w:rPr>
        <w:t>”</w:t>
      </w:r>
      <w:r w:rsidRPr="00B34407">
        <w:t xml:space="preserve"> means the Authority</w:t>
      </w:r>
      <w:r>
        <w:t>’</w:t>
      </w:r>
      <w:r w:rsidRPr="00B34407">
        <w:t xml:space="preserve">s Single Family Mortgage Revenue Bonds, </w:t>
      </w:r>
      <w:r w:rsidR="00C7294C">
        <w:t>2024 Series C</w:t>
      </w:r>
      <w:r>
        <w:t>-2 (Social Bonds) (Taxable)</w:t>
      </w:r>
      <w:r w:rsidRPr="00B34407">
        <w:t>.</w:t>
      </w:r>
    </w:p>
    <w:p w:rsidR="002A5598" w:rsidP="002A5598" w:rsidRDefault="002A5598" w14:paraId="6FEB7DDC" w14:textId="077D1D3B">
      <w:pPr>
        <w:pStyle w:val="BodyTextFirstIndent"/>
        <w:ind w:right="936"/>
        <w:rPr>
          <w:rStyle w:val="DeltaViewInsertion"/>
          <w:color w:val="auto"/>
          <w:u w:val="none"/>
        </w:rPr>
      </w:pPr>
      <w:r w:rsidRPr="000C4646">
        <w:rPr>
          <w:i/>
          <w:iCs/>
        </w:rPr>
        <w:t>“</w:t>
      </w:r>
      <w:r w:rsidR="00C7294C">
        <w:rPr>
          <w:i/>
          <w:iCs/>
        </w:rPr>
        <w:t>2024 Series C</w:t>
      </w:r>
      <w:r w:rsidRPr="000C4646">
        <w:rPr>
          <w:i/>
          <w:iCs/>
        </w:rPr>
        <w:t>-2 Term Bonds”</w:t>
      </w:r>
      <w:r w:rsidR="00DE3A75">
        <w:t xml:space="preserve"> means</w:t>
      </w:r>
      <w:r w:rsidR="0019054C">
        <w:t>, collectively, the 2024 Series C-2 Bonds due July 1, 2039, the 2024 Series C-2 Bonds due July 1, 2044, the 2024 Series C-2 Bonds due July 1, 2048, and</w:t>
      </w:r>
      <w:r w:rsidR="00DE3A75">
        <w:t xml:space="preserve"> </w:t>
      </w:r>
      <w:r w:rsidRPr="000C4646" w:rsidR="00FB4991">
        <w:t xml:space="preserve">the </w:t>
      </w:r>
      <w:r w:rsidR="00A1322C">
        <w:t>2024C-2</w:t>
      </w:r>
      <w:r w:rsidRPr="000C4646" w:rsidR="00FB4991">
        <w:t xml:space="preserve"> PAC Bonds due </w:t>
      </w:r>
      <w:r w:rsidR="0019054C">
        <w:t>January 1, 2054</w:t>
      </w:r>
      <w:r w:rsidRPr="000C4646">
        <w:rPr>
          <w:rStyle w:val="DeltaViewInsertion"/>
          <w:color w:val="auto"/>
          <w:u w:val="none"/>
        </w:rPr>
        <w:t>.</w:t>
      </w:r>
    </w:p>
    <w:p w:rsidRPr="00B34407" w:rsidR="002A5598" w:rsidP="002A5598" w:rsidRDefault="002A5598" w14:paraId="3FF0D57F" w14:textId="102CFBE9">
      <w:pPr>
        <w:pStyle w:val="BodyTextFirstIndent"/>
        <w:ind w:right="936"/>
      </w:pPr>
      <w:r>
        <w:rPr>
          <w:i/>
        </w:rPr>
        <w:t>“</w:t>
      </w:r>
      <w:r w:rsidR="00A1322C">
        <w:rPr>
          <w:i/>
        </w:rPr>
        <w:t>2024C-2</w:t>
      </w:r>
      <w:r w:rsidR="00A6413E">
        <w:rPr>
          <w:i/>
        </w:rPr>
        <w:t xml:space="preserve"> PAC</w:t>
      </w:r>
      <w:r>
        <w:rPr>
          <w:i/>
        </w:rPr>
        <w:t xml:space="preserve"> Bonds”</w:t>
      </w:r>
      <w:r w:rsidRPr="00B34407">
        <w:rPr>
          <w:i/>
        </w:rPr>
        <w:t xml:space="preserve"> </w:t>
      </w:r>
      <w:r w:rsidRPr="00B34407">
        <w:t xml:space="preserve">means the </w:t>
      </w:r>
      <w:r w:rsidR="00C7294C">
        <w:t>2024 Series C</w:t>
      </w:r>
      <w:r w:rsidR="00790EE4">
        <w:t>-2</w:t>
      </w:r>
      <w:r w:rsidR="009523F7">
        <w:t xml:space="preserve"> Bonds maturing </w:t>
      </w:r>
      <w:r w:rsidR="009F35D0">
        <w:t>January 1, 2054</w:t>
      </w:r>
      <w:r w:rsidRPr="00B34407">
        <w:t>.</w:t>
      </w:r>
    </w:p>
    <w:p w:rsidR="005044F5" w:rsidP="008C1551" w:rsidRDefault="005044F5" w14:paraId="23DE1196" w14:textId="5F23F6B8">
      <w:pPr>
        <w:pStyle w:val="BodyTextFirstIndent"/>
        <w:ind w:right="936"/>
        <w:rPr>
          <w:rStyle w:val="DeltaViewInsertion"/>
          <w:color w:val="auto"/>
          <w:u w:val="none"/>
        </w:rPr>
      </w:pPr>
    </w:p>
    <w:p w:rsidRPr="00B34407" w:rsidR="00632451" w:rsidP="008C1551" w:rsidRDefault="00632451" w14:paraId="1598E26D" w14:textId="77777777">
      <w:pPr>
        <w:pStyle w:val="BodyTextFirstIndent"/>
        <w:ind w:right="936"/>
      </w:pPr>
    </w:p>
    <w:p w:rsidRPr="00A67B6B" w:rsidR="009B6FA5" w:rsidP="009B6FA5" w:rsidRDefault="009B6FA5" w14:paraId="48666083" w14:textId="09D3308D">
      <w:pPr>
        <w:widowControl/>
        <w:autoSpaceDE/>
        <w:autoSpaceDN/>
        <w:adjustRightInd/>
        <w:ind w:right="576"/>
        <w:jc w:val="left"/>
        <w:rPr>
          <w:bCs/>
          <w:sz w:val="18"/>
        </w:rPr>
        <w:sectPr w:rsidRPr="00A67B6B" w:rsidR="009B6FA5" w:rsidSect="00FF4F12">
          <w:headerReference w:type="default" r:id="rId41"/>
          <w:footerReference w:type="default" r:id="rId42"/>
          <w:footnotePr>
            <w:numFmt w:val="chicago"/>
            <w:numRestart w:val="eachPage"/>
          </w:footnotePr>
          <w:pgSz w:w="12240" w:h="15840"/>
          <w:pgMar w:top="288" w:right="432" w:bottom="288" w:left="1152" w:header="720" w:footer="720" w:gutter="0"/>
          <w:pgNumType w:start="1"/>
          <w:cols w:space="720"/>
          <w:noEndnote/>
        </w:sectPr>
      </w:pPr>
      <w:bookmarkStart w:name="_DV_M1136" w:id="1069"/>
      <w:bookmarkStart w:name="_DV_M1139" w:id="1070"/>
      <w:bookmarkEnd w:id="1069"/>
      <w:bookmarkEnd w:id="1070"/>
    </w:p>
    <w:p w:rsidRPr="00B34407" w:rsidR="00A6000B" w:rsidP="00A97E57" w:rsidRDefault="00A6000B" w14:paraId="2E43196E" w14:textId="77777777">
      <w:pPr>
        <w:pStyle w:val="aBTRightJustified"/>
        <w:widowControl/>
      </w:pPr>
      <w:bookmarkStart w:name="ElPgBr96" w:id="1071"/>
      <w:bookmarkEnd w:id="1071"/>
      <w:r w:rsidRPr="00B34407">
        <w:lastRenderedPageBreak/>
        <w:t>APPENDIX G</w:t>
      </w:r>
    </w:p>
    <w:p w:rsidRPr="00B34407" w:rsidR="00A6000B" w:rsidP="00A6000B" w:rsidRDefault="00A6000B" w14:paraId="5F33542C" w14:textId="77777777">
      <w:pPr>
        <w:pStyle w:val="atitle"/>
        <w:widowControl/>
        <w:spacing w:after="0"/>
      </w:pPr>
      <w:r w:rsidRPr="00B34407">
        <w:t>PROJECTED PERCENTAGES OF INITIAL PRINCIPAL BALANCE OUTSTANDING</w:t>
      </w:r>
    </w:p>
    <w:p w:rsidRPr="00B34407" w:rsidR="00A6000B" w:rsidP="00C329A6" w:rsidRDefault="00A6000B" w14:paraId="4F30F333" w14:textId="21F69989">
      <w:pPr>
        <w:pStyle w:val="atitle"/>
        <w:widowControl/>
        <w:spacing w:after="0"/>
      </w:pPr>
      <w:r w:rsidRPr="00B34407">
        <w:t>AND ESTIMATED WEIGHTED AVERA</w:t>
      </w:r>
      <w:r w:rsidRPr="00B34407" w:rsidR="00C329A6">
        <w:t xml:space="preserve">GE LIVES OF THE </w:t>
      </w:r>
      <w:r w:rsidR="00A1322C">
        <w:t>2024C-2</w:t>
      </w:r>
      <w:r w:rsidR="00A6413E">
        <w:t xml:space="preserve"> PAC</w:t>
      </w:r>
      <w:r w:rsidR="00F86774">
        <w:t xml:space="preserve"> BONDS</w:t>
      </w:r>
    </w:p>
    <w:p w:rsidRPr="00B34407" w:rsidR="00C329A6" w:rsidP="00C329A6" w:rsidRDefault="00C329A6" w14:paraId="23EED5DA" w14:textId="77777777">
      <w:pPr>
        <w:pStyle w:val="atitle"/>
        <w:widowControl/>
        <w:spacing w:after="0"/>
      </w:pPr>
    </w:p>
    <w:p w:rsidRPr="00B34407" w:rsidR="00A6000B" w:rsidP="00F828E4" w:rsidRDefault="00A6000B" w14:paraId="1C8EDC5F" w14:textId="460D8C18">
      <w:pPr>
        <w:pStyle w:val="BodyTextFirstIndent"/>
      </w:pPr>
      <w:r w:rsidRPr="00B34407">
        <w:t>S</w:t>
      </w:r>
      <w:r w:rsidRPr="00B34407" w:rsidR="003D26A1">
        <w:t>et forth in the table</w:t>
      </w:r>
      <w:r w:rsidRPr="00B34407">
        <w:t xml:space="preserve"> below are projected percentages of initial principal balance outstanding and estimated weighted average lives for the </w:t>
      </w:r>
      <w:r w:rsidR="00A1322C">
        <w:t>2024C-2</w:t>
      </w:r>
      <w:r w:rsidR="00A6413E">
        <w:t xml:space="preserve"> PAC</w:t>
      </w:r>
      <w:r w:rsidR="00F86774">
        <w:t xml:space="preserve"> Bonds</w:t>
      </w:r>
      <w:r w:rsidRPr="00B34407">
        <w:t xml:space="preserve"> under various prepayment speeds.  </w:t>
      </w:r>
      <w:r w:rsidR="00C34AEA">
        <w:t>“</w:t>
      </w:r>
      <w:r w:rsidRPr="00B34407">
        <w:t>Projected percentages of initial principal balance outstanding</w:t>
      </w:r>
      <w:r w:rsidR="00C34AEA">
        <w:t>”</w:t>
      </w:r>
      <w:r w:rsidRPr="00B34407">
        <w:t xml:space="preserve"> refers to the principal balance of a security that will be outstanding on a specified date expressed as a percentage of the initial principal amount of such security. </w:t>
      </w:r>
      <w:r w:rsidR="00F86774">
        <w:t xml:space="preserve"> </w:t>
      </w:r>
      <w:r w:rsidRPr="00B34407">
        <w:t xml:space="preserve">The </w:t>
      </w:r>
      <w:r w:rsidR="00C34AEA">
        <w:t>“</w:t>
      </w:r>
      <w:r w:rsidRPr="00B34407">
        <w:t>projected weighted average life</w:t>
      </w:r>
      <w:r w:rsidR="00C34AEA">
        <w:t>”</w:t>
      </w:r>
      <w:r w:rsidRPr="00B34407">
        <w:t xml:space="preserve"> of a security refers to the average amount of time that is projected to elapse from the date of delivery of such security to the date of projected payment to the investor of each dollar paid to reduce the principal of such security (assuming no losses).  The projected weighted average life of a security is determined by (a) multiplying each projected reduction, if any, of the outstanding amount of such security by the number of years from the date of delivery of such security to the related redemption date or maturity date, (b) adding the results and (c) dividing the sum by the initial outstanding amount of such security.</w:t>
      </w:r>
    </w:p>
    <w:p w:rsidRPr="00B34407" w:rsidR="002E07AF" w:rsidP="00F828E4" w:rsidRDefault="00A6000B" w14:paraId="64A5579E" w14:textId="69FF13E4">
      <w:pPr>
        <w:pStyle w:val="BodyTextFirstIndent"/>
      </w:pPr>
      <w:r w:rsidRPr="00B34407">
        <w:t xml:space="preserve">The calculation of the projected weighted average life of the </w:t>
      </w:r>
      <w:r w:rsidR="00A1322C">
        <w:t>2024C-2</w:t>
      </w:r>
      <w:r w:rsidR="00A6413E">
        <w:t xml:space="preserve"> PAC</w:t>
      </w:r>
      <w:r w:rsidR="00F86774">
        <w:t xml:space="preserve"> Bonds</w:t>
      </w:r>
      <w:r w:rsidRPr="00B34407">
        <w:t xml:space="preserve"> set forth below requires the making of certain hypothetical assumptions.  See </w:t>
      </w:r>
      <w:r w:rsidR="00C34AEA">
        <w:t>“</w:t>
      </w:r>
      <w:r w:rsidRPr="00B34407" w:rsidR="00CB3246">
        <w:t xml:space="preserve">REDEMPTION OF </w:t>
      </w:r>
      <w:r w:rsidR="00C7294C">
        <w:t xml:space="preserve">2024 </w:t>
      </w:r>
      <w:r w:rsidR="00E817DB">
        <w:t>SERIES</w:t>
      </w:r>
      <w:r w:rsidR="00C7294C">
        <w:t xml:space="preserve"> C</w:t>
      </w:r>
      <w:r w:rsidR="00D05A07">
        <w:t xml:space="preserve"> BONDS</w:t>
      </w:r>
      <w:r w:rsidRPr="00B34407" w:rsidR="00E533EA">
        <w:t>—</w:t>
      </w:r>
      <w:r w:rsidRPr="00B34407">
        <w:t>Redemption from Prepayments, Repayments and Excess Revenues—</w:t>
      </w:r>
      <w:r w:rsidRPr="00B34407">
        <w:rPr>
          <w:i/>
        </w:rPr>
        <w:t xml:space="preserve">Estimated Weighted Average Lives of </w:t>
      </w:r>
      <w:r w:rsidR="00A1322C">
        <w:rPr>
          <w:i/>
        </w:rPr>
        <w:t>2024C-2</w:t>
      </w:r>
      <w:r w:rsidR="00A6413E">
        <w:rPr>
          <w:i/>
        </w:rPr>
        <w:t xml:space="preserve"> PAC</w:t>
      </w:r>
      <w:r w:rsidR="00F86774">
        <w:rPr>
          <w:i/>
        </w:rPr>
        <w:t xml:space="preserve"> Bonds</w:t>
      </w:r>
      <w:r w:rsidR="00C34AEA">
        <w:t>”</w:t>
      </w:r>
      <w:r w:rsidRPr="00B34407" w:rsidR="00480721">
        <w:t xml:space="preserve"> in this Official Statement.</w:t>
      </w:r>
    </w:p>
    <w:p w:rsidRPr="00F828E4" w:rsidR="002E07AF" w:rsidP="00F828E4" w:rsidRDefault="002E07AF" w14:paraId="662EB046" w14:textId="77777777">
      <w:pPr>
        <w:pStyle w:val="atitlenobold"/>
        <w:rPr>
          <w:i/>
        </w:rPr>
      </w:pPr>
      <w:r w:rsidRPr="00F828E4">
        <w:rPr>
          <w:i/>
        </w:rPr>
        <w:t>(Remainder of Page Intentionally Left Blank.)</w:t>
      </w:r>
    </w:p>
    <w:p w:rsidRPr="00B34407" w:rsidR="004F7C75" w:rsidP="00F828E4" w:rsidRDefault="004F7C75" w14:paraId="282D6518" w14:textId="77777777"/>
    <w:p w:rsidRPr="00B34407" w:rsidR="00305CCD" w:rsidRDefault="00305CCD" w14:paraId="24EA9600" w14:textId="5ADE55BC">
      <w:pPr>
        <w:widowControl/>
        <w:autoSpaceDE/>
        <w:autoSpaceDN/>
        <w:adjustRightInd/>
        <w:spacing w:after="160" w:line="259" w:lineRule="auto"/>
        <w:jc w:val="left"/>
      </w:pPr>
    </w:p>
    <w:p w:rsidRPr="00B34407" w:rsidR="00305CCD" w:rsidRDefault="00305CCD" w14:paraId="0E7076F2" w14:textId="77777777">
      <w:pPr>
        <w:widowControl/>
        <w:autoSpaceDE/>
        <w:autoSpaceDN/>
        <w:adjustRightInd/>
        <w:spacing w:after="160" w:line="259" w:lineRule="auto"/>
        <w:jc w:val="left"/>
        <w:sectPr w:rsidRPr="00B34407" w:rsidR="00305CCD" w:rsidSect="00A97E57">
          <w:footerReference w:type="default" r:id="rId43"/>
          <w:pgSz w:w="12240" w:h="15840"/>
          <w:pgMar w:top="1440" w:right="1440" w:bottom="1440" w:left="1440" w:header="720" w:footer="720" w:gutter="0"/>
          <w:pgNumType w:start="1"/>
          <w:cols w:space="720"/>
          <w:noEndnote/>
        </w:sectPr>
      </w:pPr>
    </w:p>
    <w:tbl>
      <w:tblPr>
        <w:tblW w:w="14902" w:type="dxa"/>
        <w:tblInd w:w="288" w:type="dxa"/>
        <w:tblLook w:val="04A0" w:firstRow="1" w:lastRow="0" w:firstColumn="1" w:lastColumn="0" w:noHBand="0" w:noVBand="1"/>
      </w:tblPr>
      <w:tblGrid>
        <w:gridCol w:w="3420"/>
        <w:gridCol w:w="270"/>
        <w:gridCol w:w="1170"/>
        <w:gridCol w:w="1170"/>
        <w:gridCol w:w="1055"/>
        <w:gridCol w:w="1128"/>
        <w:gridCol w:w="1080"/>
        <w:gridCol w:w="1170"/>
        <w:gridCol w:w="1080"/>
        <w:gridCol w:w="1080"/>
        <w:gridCol w:w="1080"/>
        <w:gridCol w:w="1199"/>
      </w:tblGrid>
      <w:tr w:rsidRPr="00720B8B" w:rsidR="009523F7" w:rsidTr="009523F7" w14:paraId="35D49864" w14:textId="77777777">
        <w:tc>
          <w:tcPr>
            <w:tcW w:w="14902" w:type="dxa"/>
            <w:gridSpan w:val="12"/>
            <w:tcBorders>
              <w:top w:val="nil"/>
              <w:left w:val="nil"/>
              <w:bottom w:val="nil"/>
              <w:right w:val="nil"/>
            </w:tcBorders>
            <w:shd w:val="clear" w:color="auto" w:fill="auto"/>
            <w:noWrap/>
            <w:vAlign w:val="bottom"/>
            <w:hideMark/>
          </w:tcPr>
          <w:p w:rsidRPr="00720B8B" w:rsidR="009523F7" w:rsidP="009523F7" w:rsidRDefault="009523F7" w14:paraId="0AFD633C" w14:textId="77777777">
            <w:pPr>
              <w:jc w:val="center"/>
              <w:rPr>
                <w:b/>
                <w:sz w:val="18"/>
                <w:szCs w:val="18"/>
              </w:rPr>
            </w:pPr>
            <w:bookmarkStart w:name="ElPgBr97" w:id="1072"/>
            <w:bookmarkEnd w:id="1072"/>
            <w:r w:rsidRPr="00720B8B">
              <w:rPr>
                <w:b/>
                <w:sz w:val="18"/>
                <w:szCs w:val="18"/>
              </w:rPr>
              <w:lastRenderedPageBreak/>
              <w:t>Indiana Housing and Community Development Authority</w:t>
            </w:r>
          </w:p>
        </w:tc>
      </w:tr>
      <w:tr w:rsidRPr="00720B8B" w:rsidR="009523F7" w:rsidTr="009523F7" w14:paraId="31F2A904" w14:textId="77777777">
        <w:tc>
          <w:tcPr>
            <w:tcW w:w="14902" w:type="dxa"/>
            <w:gridSpan w:val="12"/>
            <w:tcBorders>
              <w:top w:val="nil"/>
              <w:left w:val="nil"/>
              <w:bottom w:val="nil"/>
              <w:right w:val="nil"/>
            </w:tcBorders>
            <w:shd w:val="clear" w:color="auto" w:fill="auto"/>
            <w:noWrap/>
            <w:vAlign w:val="bottom"/>
            <w:hideMark/>
          </w:tcPr>
          <w:p w:rsidRPr="00720B8B" w:rsidR="009523F7" w:rsidP="009523F7" w:rsidRDefault="009523F7" w14:paraId="37E6F285" w14:textId="77777777">
            <w:pPr>
              <w:jc w:val="center"/>
              <w:rPr>
                <w:b/>
                <w:sz w:val="18"/>
                <w:szCs w:val="18"/>
              </w:rPr>
            </w:pPr>
            <w:r w:rsidRPr="00720B8B">
              <w:rPr>
                <w:b/>
                <w:sz w:val="18"/>
                <w:szCs w:val="18"/>
              </w:rPr>
              <w:t>Single Family Mortgage Revenue Bonds</w:t>
            </w:r>
          </w:p>
        </w:tc>
      </w:tr>
      <w:tr w:rsidRPr="00720B8B" w:rsidR="009523F7" w:rsidTr="009523F7" w14:paraId="61337F9E" w14:textId="77777777">
        <w:tc>
          <w:tcPr>
            <w:tcW w:w="14902" w:type="dxa"/>
            <w:gridSpan w:val="12"/>
            <w:tcBorders>
              <w:top w:val="nil"/>
              <w:left w:val="nil"/>
              <w:bottom w:val="nil"/>
              <w:right w:val="nil"/>
            </w:tcBorders>
            <w:shd w:val="clear" w:color="auto" w:fill="auto"/>
            <w:noWrap/>
            <w:vAlign w:val="bottom"/>
            <w:hideMark/>
          </w:tcPr>
          <w:p w:rsidRPr="00720B8B" w:rsidR="009523F7" w:rsidP="009523F7" w:rsidRDefault="009523F7" w14:paraId="454AC9FB" w14:textId="77777777">
            <w:pPr>
              <w:jc w:val="center"/>
              <w:rPr>
                <w:b/>
                <w:sz w:val="18"/>
                <w:szCs w:val="18"/>
              </w:rPr>
            </w:pPr>
            <w:r w:rsidRPr="00720B8B">
              <w:rPr>
                <w:b/>
                <w:sz w:val="18"/>
                <w:szCs w:val="18"/>
              </w:rPr>
              <w:t>Projected Percentages of Initial Principal Balance Outstanding and Weighted Average Lives</w:t>
            </w:r>
          </w:p>
        </w:tc>
      </w:tr>
      <w:tr w:rsidRPr="00720B8B" w:rsidR="009523F7" w:rsidTr="009523F7" w14:paraId="14546174" w14:textId="77777777">
        <w:tc>
          <w:tcPr>
            <w:tcW w:w="14902" w:type="dxa"/>
            <w:gridSpan w:val="12"/>
            <w:tcBorders>
              <w:top w:val="nil"/>
              <w:left w:val="nil"/>
              <w:bottom w:val="nil"/>
              <w:right w:val="nil"/>
            </w:tcBorders>
            <w:shd w:val="clear" w:color="auto" w:fill="auto"/>
            <w:noWrap/>
            <w:vAlign w:val="bottom"/>
            <w:hideMark/>
          </w:tcPr>
          <w:p w:rsidRPr="00720B8B" w:rsidR="009523F7" w:rsidP="009523F7" w:rsidRDefault="009523F7" w14:paraId="0FB3BDA6" w14:textId="1CA3A15E">
            <w:pPr>
              <w:jc w:val="center"/>
              <w:rPr>
                <w:b/>
                <w:sz w:val="18"/>
                <w:szCs w:val="18"/>
              </w:rPr>
            </w:pPr>
            <w:r w:rsidRPr="00720B8B">
              <w:rPr>
                <w:b/>
                <w:sz w:val="18"/>
                <w:szCs w:val="18"/>
              </w:rPr>
              <w:t>$</w:t>
            </w:r>
            <w:r w:rsidR="00720B8B">
              <w:rPr>
                <w:b/>
                <w:sz w:val="18"/>
                <w:szCs w:val="18"/>
              </w:rPr>
              <w:t>32,190,000</w:t>
            </w:r>
            <w:r w:rsidRPr="00720B8B">
              <w:rPr>
                <w:b/>
                <w:sz w:val="18"/>
                <w:szCs w:val="18"/>
              </w:rPr>
              <w:t xml:space="preserve"> </w:t>
            </w:r>
            <w:r w:rsidRPr="00720B8B" w:rsidR="00A1322C">
              <w:rPr>
                <w:b/>
                <w:sz w:val="18"/>
                <w:szCs w:val="18"/>
              </w:rPr>
              <w:t>2024C-2</w:t>
            </w:r>
            <w:r w:rsidRPr="00720B8B">
              <w:rPr>
                <w:b/>
                <w:sz w:val="18"/>
                <w:szCs w:val="18"/>
              </w:rPr>
              <w:t xml:space="preserve"> PAC Bonds Due </w:t>
            </w:r>
            <w:r w:rsidR="00720B8B">
              <w:rPr>
                <w:b/>
                <w:sz w:val="18"/>
                <w:szCs w:val="18"/>
              </w:rPr>
              <w:t>January 1, 2054</w:t>
            </w:r>
            <w:r w:rsidRPr="00720B8B">
              <w:rPr>
                <w:rStyle w:val="FootnoteReference"/>
                <w:b/>
              </w:rPr>
              <w:footnoteReference w:id="7"/>
            </w:r>
          </w:p>
          <w:p w:rsidRPr="00720B8B" w:rsidR="009523F7" w:rsidP="009523F7" w:rsidRDefault="009523F7" w14:paraId="7D7F3655" w14:textId="77777777">
            <w:pPr>
              <w:jc w:val="center"/>
              <w:rPr>
                <w:b/>
                <w:sz w:val="18"/>
                <w:szCs w:val="18"/>
              </w:rPr>
            </w:pPr>
          </w:p>
        </w:tc>
      </w:tr>
      <w:tr w:rsidRPr="00720B8B" w:rsidR="009523F7" w:rsidTr="009523F7" w14:paraId="74E87C5A" w14:textId="77777777">
        <w:tc>
          <w:tcPr>
            <w:tcW w:w="3420" w:type="dxa"/>
            <w:tcBorders>
              <w:top w:val="nil"/>
              <w:left w:val="nil"/>
              <w:bottom w:val="nil"/>
              <w:right w:val="nil"/>
            </w:tcBorders>
            <w:shd w:val="clear" w:color="auto" w:fill="auto"/>
            <w:noWrap/>
            <w:vAlign w:val="bottom"/>
          </w:tcPr>
          <w:p w:rsidRPr="00720B8B" w:rsidR="009523F7" w:rsidP="009523F7" w:rsidRDefault="009523F7" w14:paraId="042B5B50" w14:textId="77777777">
            <w:pPr>
              <w:jc w:val="right"/>
              <w:rPr>
                <w:sz w:val="18"/>
                <w:szCs w:val="18"/>
              </w:rPr>
            </w:pPr>
          </w:p>
        </w:tc>
        <w:tc>
          <w:tcPr>
            <w:tcW w:w="270" w:type="dxa"/>
            <w:tcBorders>
              <w:top w:val="nil"/>
              <w:left w:val="nil"/>
              <w:bottom w:val="nil"/>
              <w:right w:val="nil"/>
            </w:tcBorders>
            <w:shd w:val="clear" w:color="auto" w:fill="auto"/>
            <w:noWrap/>
            <w:vAlign w:val="bottom"/>
          </w:tcPr>
          <w:p w:rsidRPr="00720B8B" w:rsidR="009523F7" w:rsidP="009523F7" w:rsidRDefault="009523F7" w14:paraId="0E5ABA12" w14:textId="77777777">
            <w:pPr>
              <w:rPr>
                <w:b/>
                <w:sz w:val="18"/>
                <w:szCs w:val="18"/>
              </w:rPr>
            </w:pPr>
          </w:p>
        </w:tc>
        <w:tc>
          <w:tcPr>
            <w:tcW w:w="1170" w:type="dxa"/>
            <w:tcBorders>
              <w:top w:val="nil"/>
              <w:left w:val="nil"/>
              <w:bottom w:val="nil"/>
              <w:right w:val="nil"/>
            </w:tcBorders>
            <w:shd w:val="clear" w:color="auto" w:fill="auto"/>
            <w:noWrap/>
            <w:vAlign w:val="bottom"/>
          </w:tcPr>
          <w:p w:rsidRPr="00720B8B" w:rsidR="009523F7" w:rsidP="009523F7" w:rsidRDefault="009523F7" w14:paraId="49A10C3F" w14:textId="77777777">
            <w:pPr>
              <w:rPr>
                <w:rFonts w:eastAsiaTheme="minorHAnsi"/>
                <w:sz w:val="18"/>
                <w:szCs w:val="18"/>
              </w:rPr>
            </w:pPr>
          </w:p>
        </w:tc>
        <w:tc>
          <w:tcPr>
            <w:tcW w:w="1170" w:type="dxa"/>
            <w:tcBorders>
              <w:top w:val="nil"/>
              <w:left w:val="nil"/>
              <w:bottom w:val="nil"/>
              <w:right w:val="nil"/>
            </w:tcBorders>
            <w:shd w:val="clear" w:color="auto" w:fill="auto"/>
            <w:noWrap/>
            <w:vAlign w:val="bottom"/>
          </w:tcPr>
          <w:p w:rsidRPr="00720B8B" w:rsidR="009523F7" w:rsidP="009523F7" w:rsidRDefault="009523F7" w14:paraId="425FA035" w14:textId="77777777">
            <w:pPr>
              <w:rPr>
                <w:sz w:val="18"/>
                <w:szCs w:val="18"/>
              </w:rPr>
            </w:pPr>
          </w:p>
        </w:tc>
        <w:tc>
          <w:tcPr>
            <w:tcW w:w="1055" w:type="dxa"/>
            <w:tcBorders>
              <w:top w:val="nil"/>
              <w:left w:val="nil"/>
              <w:bottom w:val="nil"/>
              <w:right w:val="nil"/>
            </w:tcBorders>
            <w:shd w:val="clear" w:color="auto" w:fill="auto"/>
            <w:noWrap/>
            <w:vAlign w:val="bottom"/>
          </w:tcPr>
          <w:p w:rsidRPr="00720B8B" w:rsidR="009523F7" w:rsidP="009523F7" w:rsidRDefault="009523F7" w14:paraId="6991EA7E" w14:textId="77777777">
            <w:pPr>
              <w:rPr>
                <w:b/>
                <w:sz w:val="18"/>
                <w:szCs w:val="18"/>
              </w:rPr>
            </w:pPr>
          </w:p>
        </w:tc>
        <w:tc>
          <w:tcPr>
            <w:tcW w:w="3378" w:type="dxa"/>
            <w:gridSpan w:val="3"/>
            <w:tcBorders>
              <w:top w:val="nil"/>
              <w:left w:val="nil"/>
              <w:bottom w:val="nil"/>
              <w:right w:val="nil"/>
            </w:tcBorders>
            <w:shd w:val="clear" w:color="auto" w:fill="auto"/>
            <w:noWrap/>
            <w:vAlign w:val="bottom"/>
          </w:tcPr>
          <w:p w:rsidRPr="00720B8B" w:rsidR="009523F7" w:rsidP="009523F7" w:rsidRDefault="009523F7" w14:paraId="1DDDCA6D" w14:textId="77777777">
            <w:pPr>
              <w:jc w:val="center"/>
              <w:rPr>
                <w:b/>
                <w:sz w:val="18"/>
                <w:szCs w:val="18"/>
              </w:rPr>
            </w:pPr>
            <w:r w:rsidRPr="00720B8B">
              <w:rPr>
                <w:b/>
                <w:sz w:val="18"/>
                <w:szCs w:val="18"/>
              </w:rPr>
              <w:t>Prepayment Assumption</w:t>
            </w:r>
          </w:p>
        </w:tc>
        <w:tc>
          <w:tcPr>
            <w:tcW w:w="1080" w:type="dxa"/>
            <w:tcBorders>
              <w:top w:val="nil"/>
              <w:left w:val="nil"/>
              <w:bottom w:val="nil"/>
              <w:right w:val="nil"/>
            </w:tcBorders>
            <w:shd w:val="clear" w:color="auto" w:fill="auto"/>
            <w:noWrap/>
            <w:vAlign w:val="bottom"/>
          </w:tcPr>
          <w:p w:rsidRPr="00720B8B" w:rsidR="009523F7" w:rsidP="009523F7" w:rsidRDefault="009523F7" w14:paraId="60AB8B97" w14:textId="77777777">
            <w:pPr>
              <w:rPr>
                <w:b/>
                <w:sz w:val="18"/>
                <w:szCs w:val="18"/>
              </w:rPr>
            </w:pPr>
          </w:p>
        </w:tc>
        <w:tc>
          <w:tcPr>
            <w:tcW w:w="1080" w:type="dxa"/>
            <w:tcBorders>
              <w:top w:val="nil"/>
              <w:left w:val="nil"/>
              <w:bottom w:val="nil"/>
              <w:right w:val="nil"/>
            </w:tcBorders>
            <w:shd w:val="clear" w:color="auto" w:fill="auto"/>
            <w:noWrap/>
            <w:vAlign w:val="bottom"/>
          </w:tcPr>
          <w:p w:rsidRPr="00720B8B" w:rsidR="009523F7" w:rsidP="009523F7" w:rsidRDefault="009523F7" w14:paraId="30171173" w14:textId="77777777">
            <w:pPr>
              <w:rPr>
                <w:b/>
                <w:sz w:val="18"/>
                <w:szCs w:val="18"/>
              </w:rPr>
            </w:pPr>
          </w:p>
        </w:tc>
        <w:tc>
          <w:tcPr>
            <w:tcW w:w="1080" w:type="dxa"/>
            <w:tcBorders>
              <w:top w:val="nil"/>
              <w:left w:val="nil"/>
              <w:bottom w:val="nil"/>
              <w:right w:val="nil"/>
            </w:tcBorders>
            <w:shd w:val="clear" w:color="auto" w:fill="auto"/>
            <w:noWrap/>
            <w:vAlign w:val="bottom"/>
          </w:tcPr>
          <w:p w:rsidRPr="00720B8B" w:rsidR="009523F7" w:rsidP="009523F7" w:rsidRDefault="009523F7" w14:paraId="00052A58" w14:textId="77777777">
            <w:pPr>
              <w:rPr>
                <w:b/>
                <w:sz w:val="18"/>
                <w:szCs w:val="18"/>
              </w:rPr>
            </w:pPr>
          </w:p>
        </w:tc>
        <w:tc>
          <w:tcPr>
            <w:tcW w:w="1199" w:type="dxa"/>
            <w:tcBorders>
              <w:top w:val="nil"/>
              <w:left w:val="nil"/>
              <w:bottom w:val="nil"/>
              <w:right w:val="nil"/>
            </w:tcBorders>
            <w:shd w:val="clear" w:color="auto" w:fill="auto"/>
            <w:noWrap/>
            <w:vAlign w:val="bottom"/>
          </w:tcPr>
          <w:p w:rsidRPr="00720B8B" w:rsidR="009523F7" w:rsidP="009523F7" w:rsidRDefault="009523F7" w14:paraId="613622F8" w14:textId="77777777">
            <w:pPr>
              <w:rPr>
                <w:b/>
                <w:sz w:val="18"/>
                <w:szCs w:val="18"/>
              </w:rPr>
            </w:pPr>
          </w:p>
        </w:tc>
      </w:tr>
      <w:tr w:rsidRPr="00720B8B" w:rsidR="00710F73" w:rsidTr="009523F7" w14:paraId="59B4E750"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15F784DB" w14:textId="57A4B702">
            <w:pPr>
              <w:jc w:val="right"/>
              <w:rPr>
                <w:b/>
                <w:sz w:val="16"/>
                <w:szCs w:val="16"/>
              </w:rPr>
            </w:pPr>
            <w:r w:rsidRPr="00710F73">
              <w:rPr>
                <w:b/>
                <w:sz w:val="16"/>
                <w:szCs w:val="16"/>
              </w:rPr>
              <w:t>Payment Date</w:t>
            </w:r>
          </w:p>
        </w:tc>
        <w:tc>
          <w:tcPr>
            <w:tcW w:w="270" w:type="dxa"/>
            <w:tcBorders>
              <w:top w:val="nil"/>
              <w:left w:val="nil"/>
              <w:bottom w:val="nil"/>
              <w:right w:val="nil"/>
            </w:tcBorders>
            <w:shd w:val="clear" w:color="auto" w:fill="auto"/>
            <w:noWrap/>
            <w:vAlign w:val="bottom"/>
          </w:tcPr>
          <w:p w:rsidRPr="00710F73" w:rsidR="00710F73" w:rsidP="00710F73" w:rsidRDefault="00710F73" w14:paraId="53B07849" w14:textId="77777777">
            <w:pPr>
              <w:rPr>
                <w:b/>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3403613C" w14:textId="5A5D426B">
            <w:pPr>
              <w:jc w:val="right"/>
              <w:rPr>
                <w:b/>
                <w:sz w:val="16"/>
                <w:szCs w:val="16"/>
              </w:rPr>
            </w:pPr>
            <w:r w:rsidRPr="00710F73">
              <w:rPr>
                <w:rFonts w:eastAsiaTheme="minorHAnsi"/>
                <w:b/>
                <w:sz w:val="16"/>
                <w:szCs w:val="16"/>
              </w:rPr>
              <w:t>0% PSA</w:t>
            </w:r>
          </w:p>
        </w:tc>
        <w:tc>
          <w:tcPr>
            <w:tcW w:w="1170" w:type="dxa"/>
            <w:tcBorders>
              <w:top w:val="nil"/>
              <w:left w:val="nil"/>
              <w:bottom w:val="nil"/>
              <w:right w:val="nil"/>
            </w:tcBorders>
            <w:shd w:val="clear" w:color="auto" w:fill="auto"/>
            <w:noWrap/>
            <w:vAlign w:val="bottom"/>
          </w:tcPr>
          <w:p w:rsidRPr="00710F73" w:rsidR="00710F73" w:rsidP="00710F73" w:rsidRDefault="00710F73" w14:paraId="00B6170A" w14:textId="4CE7F877">
            <w:pPr>
              <w:jc w:val="right"/>
              <w:rPr>
                <w:b/>
                <w:sz w:val="16"/>
                <w:szCs w:val="16"/>
              </w:rPr>
            </w:pPr>
            <w:r w:rsidRPr="00710F73">
              <w:rPr>
                <w:b/>
                <w:sz w:val="16"/>
                <w:szCs w:val="16"/>
              </w:rPr>
              <w:t>25% PSA</w:t>
            </w:r>
          </w:p>
        </w:tc>
        <w:tc>
          <w:tcPr>
            <w:tcW w:w="1055" w:type="dxa"/>
            <w:tcBorders>
              <w:top w:val="nil"/>
              <w:left w:val="nil"/>
              <w:bottom w:val="nil"/>
              <w:right w:val="nil"/>
            </w:tcBorders>
            <w:shd w:val="clear" w:color="auto" w:fill="auto"/>
            <w:noWrap/>
            <w:vAlign w:val="bottom"/>
          </w:tcPr>
          <w:p w:rsidRPr="00710F73" w:rsidR="00710F73" w:rsidP="00710F73" w:rsidRDefault="00710F73" w14:paraId="649E7EBF" w14:textId="2F6BAF15">
            <w:pPr>
              <w:jc w:val="right"/>
              <w:rPr>
                <w:b/>
                <w:sz w:val="16"/>
                <w:szCs w:val="16"/>
              </w:rPr>
            </w:pPr>
            <w:r w:rsidRPr="00710F73">
              <w:rPr>
                <w:b/>
                <w:sz w:val="16"/>
                <w:szCs w:val="16"/>
              </w:rPr>
              <w:t>50% PSA</w:t>
            </w:r>
          </w:p>
        </w:tc>
        <w:tc>
          <w:tcPr>
            <w:tcW w:w="1128" w:type="dxa"/>
            <w:tcBorders>
              <w:top w:val="nil"/>
              <w:left w:val="nil"/>
              <w:bottom w:val="nil"/>
              <w:right w:val="nil"/>
            </w:tcBorders>
            <w:shd w:val="clear" w:color="auto" w:fill="auto"/>
            <w:noWrap/>
            <w:vAlign w:val="bottom"/>
          </w:tcPr>
          <w:p w:rsidRPr="00710F73" w:rsidR="00710F73" w:rsidP="00710F73" w:rsidRDefault="00710F73" w14:paraId="2F71545C" w14:textId="1BDB5F07">
            <w:pPr>
              <w:jc w:val="right"/>
              <w:rPr>
                <w:b/>
                <w:sz w:val="16"/>
                <w:szCs w:val="16"/>
              </w:rPr>
            </w:pPr>
            <w:r w:rsidRPr="00710F73">
              <w:rPr>
                <w:b/>
                <w:sz w:val="16"/>
                <w:szCs w:val="16"/>
              </w:rPr>
              <w:t>75% PSA</w:t>
            </w:r>
          </w:p>
        </w:tc>
        <w:tc>
          <w:tcPr>
            <w:tcW w:w="1080" w:type="dxa"/>
            <w:tcBorders>
              <w:top w:val="nil"/>
              <w:left w:val="nil"/>
              <w:bottom w:val="nil"/>
              <w:right w:val="nil"/>
            </w:tcBorders>
            <w:shd w:val="clear" w:color="auto" w:fill="auto"/>
            <w:noWrap/>
            <w:vAlign w:val="bottom"/>
          </w:tcPr>
          <w:p w:rsidRPr="00710F73" w:rsidR="00710F73" w:rsidP="00710F73" w:rsidRDefault="00710F73" w14:paraId="29BE0CBD" w14:textId="316B0BC7">
            <w:pPr>
              <w:jc w:val="right"/>
              <w:rPr>
                <w:b/>
                <w:sz w:val="16"/>
                <w:szCs w:val="16"/>
              </w:rPr>
            </w:pPr>
            <w:r w:rsidRPr="00710F73">
              <w:rPr>
                <w:b/>
                <w:sz w:val="16"/>
                <w:szCs w:val="16"/>
              </w:rPr>
              <w:t>100% PSA</w:t>
            </w:r>
          </w:p>
        </w:tc>
        <w:tc>
          <w:tcPr>
            <w:tcW w:w="1170" w:type="dxa"/>
            <w:tcBorders>
              <w:top w:val="nil"/>
              <w:left w:val="nil"/>
              <w:bottom w:val="nil"/>
              <w:right w:val="nil"/>
            </w:tcBorders>
            <w:shd w:val="clear" w:color="auto" w:fill="auto"/>
            <w:noWrap/>
            <w:vAlign w:val="bottom"/>
          </w:tcPr>
          <w:p w:rsidRPr="00710F73" w:rsidR="00710F73" w:rsidP="00710F73" w:rsidRDefault="00710F73" w14:paraId="7AFB74CA" w14:textId="5913FFB6">
            <w:pPr>
              <w:jc w:val="right"/>
              <w:rPr>
                <w:b/>
                <w:sz w:val="16"/>
                <w:szCs w:val="16"/>
              </w:rPr>
            </w:pPr>
            <w:r w:rsidRPr="00710F73">
              <w:rPr>
                <w:b/>
                <w:sz w:val="16"/>
                <w:szCs w:val="16"/>
              </w:rPr>
              <w:t>150% PSA</w:t>
            </w:r>
          </w:p>
        </w:tc>
        <w:tc>
          <w:tcPr>
            <w:tcW w:w="1080" w:type="dxa"/>
            <w:tcBorders>
              <w:top w:val="nil"/>
              <w:left w:val="nil"/>
              <w:bottom w:val="nil"/>
              <w:right w:val="nil"/>
            </w:tcBorders>
            <w:shd w:val="clear" w:color="auto" w:fill="auto"/>
            <w:noWrap/>
            <w:vAlign w:val="bottom"/>
          </w:tcPr>
          <w:p w:rsidRPr="00710F73" w:rsidR="00710F73" w:rsidP="00710F73" w:rsidRDefault="00710F73" w14:paraId="1BBC6A30" w14:textId="63D0719A">
            <w:pPr>
              <w:jc w:val="right"/>
              <w:rPr>
                <w:b/>
                <w:sz w:val="16"/>
                <w:szCs w:val="16"/>
              </w:rPr>
            </w:pPr>
            <w:r w:rsidRPr="00710F73">
              <w:rPr>
                <w:rFonts w:eastAsiaTheme="minorHAnsi"/>
                <w:b/>
                <w:sz w:val="16"/>
                <w:szCs w:val="16"/>
              </w:rPr>
              <w:t>200% PSA</w:t>
            </w:r>
          </w:p>
        </w:tc>
        <w:tc>
          <w:tcPr>
            <w:tcW w:w="1080" w:type="dxa"/>
            <w:tcBorders>
              <w:top w:val="nil"/>
              <w:left w:val="nil"/>
              <w:bottom w:val="nil"/>
              <w:right w:val="nil"/>
            </w:tcBorders>
            <w:shd w:val="clear" w:color="auto" w:fill="auto"/>
            <w:noWrap/>
            <w:vAlign w:val="bottom"/>
          </w:tcPr>
          <w:p w:rsidRPr="00710F73" w:rsidR="00710F73" w:rsidP="00710F73" w:rsidRDefault="00710F73" w14:paraId="26427035" w14:textId="62278CE4">
            <w:pPr>
              <w:jc w:val="right"/>
              <w:rPr>
                <w:b/>
                <w:sz w:val="16"/>
                <w:szCs w:val="16"/>
              </w:rPr>
            </w:pPr>
            <w:r w:rsidRPr="00710F73">
              <w:rPr>
                <w:b/>
                <w:sz w:val="16"/>
                <w:szCs w:val="16"/>
              </w:rPr>
              <w:t>300% PSA</w:t>
            </w:r>
          </w:p>
        </w:tc>
        <w:tc>
          <w:tcPr>
            <w:tcW w:w="1080" w:type="dxa"/>
            <w:tcBorders>
              <w:top w:val="nil"/>
              <w:left w:val="nil"/>
              <w:bottom w:val="nil"/>
              <w:right w:val="nil"/>
            </w:tcBorders>
            <w:shd w:val="clear" w:color="auto" w:fill="auto"/>
            <w:noWrap/>
            <w:vAlign w:val="bottom"/>
          </w:tcPr>
          <w:p w:rsidRPr="00710F73" w:rsidR="00710F73" w:rsidP="00710F73" w:rsidRDefault="00710F73" w14:paraId="5DD760A4" w14:textId="2EF67DE1">
            <w:pPr>
              <w:jc w:val="right"/>
              <w:rPr>
                <w:b/>
                <w:sz w:val="16"/>
                <w:szCs w:val="16"/>
              </w:rPr>
            </w:pPr>
            <w:r w:rsidRPr="00710F73">
              <w:rPr>
                <w:rFonts w:eastAsiaTheme="minorHAnsi"/>
                <w:b/>
                <w:sz w:val="16"/>
                <w:szCs w:val="16"/>
              </w:rPr>
              <w:t>400% PSA</w:t>
            </w:r>
          </w:p>
        </w:tc>
        <w:tc>
          <w:tcPr>
            <w:tcW w:w="1199" w:type="dxa"/>
            <w:tcBorders>
              <w:top w:val="nil"/>
              <w:left w:val="nil"/>
              <w:bottom w:val="nil"/>
              <w:right w:val="nil"/>
            </w:tcBorders>
            <w:shd w:val="clear" w:color="auto" w:fill="auto"/>
            <w:noWrap/>
            <w:vAlign w:val="bottom"/>
          </w:tcPr>
          <w:p w:rsidRPr="00710F73" w:rsidR="00710F73" w:rsidP="00710F73" w:rsidRDefault="00710F73" w14:paraId="2AA3670B" w14:textId="7E34762A">
            <w:pPr>
              <w:jc w:val="right"/>
              <w:rPr>
                <w:b/>
                <w:sz w:val="16"/>
                <w:szCs w:val="16"/>
              </w:rPr>
            </w:pPr>
            <w:r w:rsidRPr="00710F73">
              <w:rPr>
                <w:b/>
                <w:sz w:val="16"/>
                <w:szCs w:val="16"/>
              </w:rPr>
              <w:t>500% PSA</w:t>
            </w:r>
          </w:p>
        </w:tc>
      </w:tr>
      <w:tr w:rsidRPr="00720B8B" w:rsidR="00710F73" w:rsidTr="00702569" w14:paraId="1E5B6771"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0C1ACB7F" w14:textId="27ABC6FB">
            <w:pPr>
              <w:jc w:val="right"/>
              <w:rPr>
                <w:sz w:val="16"/>
                <w:szCs w:val="16"/>
              </w:rPr>
            </w:pPr>
            <w:r w:rsidRPr="00710F73">
              <w:rPr>
                <w:sz w:val="16"/>
                <w:szCs w:val="16"/>
              </w:rPr>
              <w:t>Initial Percentage</w:t>
            </w:r>
          </w:p>
        </w:tc>
        <w:tc>
          <w:tcPr>
            <w:tcW w:w="270" w:type="dxa"/>
            <w:tcBorders>
              <w:top w:val="nil"/>
              <w:left w:val="nil"/>
              <w:bottom w:val="nil"/>
              <w:right w:val="nil"/>
            </w:tcBorders>
            <w:shd w:val="clear" w:color="auto" w:fill="auto"/>
            <w:noWrap/>
            <w:vAlign w:val="bottom"/>
          </w:tcPr>
          <w:p w:rsidRPr="00710F73" w:rsidR="00710F73" w:rsidP="00710F73" w:rsidRDefault="00710F73" w14:paraId="7AFD7C08"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698C483F" w14:textId="2A6FD07C">
            <w:pPr>
              <w:pStyle w:val="Date"/>
              <w:tabs>
                <w:tab w:val="decimal" w:pos="448"/>
              </w:tabs>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45BC9724" w14:textId="2A6868C1">
            <w:pPr>
              <w:tabs>
                <w:tab w:val="decimal" w:pos="450"/>
              </w:tabs>
              <w:jc w:val="right"/>
              <w:rPr>
                <w:sz w:val="16"/>
                <w:szCs w:val="16"/>
              </w:rPr>
            </w:pPr>
            <w:r w:rsidRPr="00710F73">
              <w:rPr>
                <w:sz w:val="16"/>
                <w:szCs w:val="16"/>
              </w:rPr>
              <w:t>100.0%</w:t>
            </w:r>
          </w:p>
        </w:tc>
        <w:tc>
          <w:tcPr>
            <w:tcW w:w="1055" w:type="dxa"/>
            <w:tcBorders>
              <w:top w:val="nil"/>
              <w:left w:val="nil"/>
              <w:bottom w:val="nil"/>
              <w:right w:val="nil"/>
            </w:tcBorders>
            <w:shd w:val="clear" w:color="auto" w:fill="auto"/>
            <w:noWrap/>
          </w:tcPr>
          <w:p w:rsidRPr="00710F73" w:rsidR="00710F73" w:rsidP="00710F73" w:rsidRDefault="00710F73" w14:paraId="6EFF1C63" w14:textId="25A57815">
            <w:pPr>
              <w:tabs>
                <w:tab w:val="decimal" w:pos="361"/>
              </w:tabs>
              <w:jc w:val="right"/>
              <w:rPr>
                <w:sz w:val="16"/>
                <w:szCs w:val="16"/>
              </w:rPr>
            </w:pPr>
            <w:r w:rsidRPr="00710F73">
              <w:rPr>
                <w:sz w:val="16"/>
                <w:szCs w:val="16"/>
              </w:rPr>
              <w:t>100.0%</w:t>
            </w:r>
          </w:p>
        </w:tc>
        <w:tc>
          <w:tcPr>
            <w:tcW w:w="1128" w:type="dxa"/>
            <w:tcBorders>
              <w:top w:val="nil"/>
              <w:left w:val="nil"/>
              <w:bottom w:val="nil"/>
              <w:right w:val="nil"/>
            </w:tcBorders>
            <w:shd w:val="clear" w:color="auto" w:fill="auto"/>
            <w:noWrap/>
          </w:tcPr>
          <w:p w:rsidRPr="00710F73" w:rsidR="00710F73" w:rsidP="00710F73" w:rsidRDefault="00710F73" w14:paraId="4BF0F9C6" w14:textId="0C498D71">
            <w:pPr>
              <w:tabs>
                <w:tab w:val="decimal" w:pos="355"/>
              </w:tabs>
              <w:jc w:val="right"/>
              <w:rPr>
                <w:sz w:val="16"/>
                <w:szCs w:val="16"/>
              </w:rPr>
            </w:pPr>
            <w:r w:rsidRPr="00710F73">
              <w:rPr>
                <w:sz w:val="16"/>
                <w:szCs w:val="16"/>
              </w:rPr>
              <w:t>100.0%</w:t>
            </w:r>
          </w:p>
        </w:tc>
        <w:tc>
          <w:tcPr>
            <w:tcW w:w="1080" w:type="dxa"/>
            <w:tcBorders>
              <w:top w:val="nil"/>
              <w:left w:val="nil"/>
              <w:bottom w:val="nil"/>
              <w:right w:val="nil"/>
            </w:tcBorders>
            <w:shd w:val="clear" w:color="auto" w:fill="auto"/>
            <w:noWrap/>
          </w:tcPr>
          <w:p w:rsidRPr="00710F73" w:rsidR="00710F73" w:rsidP="00710F73" w:rsidRDefault="00710F73" w14:paraId="76AB0BD9" w14:textId="015F14FE">
            <w:pPr>
              <w:tabs>
                <w:tab w:val="decimal" w:pos="361"/>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1AF28BC1" w14:textId="394D0786">
            <w:pPr>
              <w:tabs>
                <w:tab w:val="decimal" w:pos="428"/>
              </w:tabs>
              <w:jc w:val="right"/>
              <w:rPr>
                <w:sz w:val="16"/>
                <w:szCs w:val="16"/>
              </w:rPr>
            </w:pPr>
            <w:r w:rsidRPr="00710F73">
              <w:rPr>
                <w:sz w:val="16"/>
                <w:szCs w:val="16"/>
              </w:rPr>
              <w:t>100.0%</w:t>
            </w:r>
          </w:p>
        </w:tc>
        <w:tc>
          <w:tcPr>
            <w:tcW w:w="1080" w:type="dxa"/>
            <w:tcBorders>
              <w:top w:val="nil"/>
              <w:left w:val="nil"/>
              <w:bottom w:val="nil"/>
              <w:right w:val="nil"/>
            </w:tcBorders>
            <w:shd w:val="clear" w:color="auto" w:fill="auto"/>
            <w:noWrap/>
          </w:tcPr>
          <w:p w:rsidRPr="00710F73" w:rsidR="00710F73" w:rsidP="00710F73" w:rsidRDefault="00710F73" w14:paraId="65E831C5" w14:textId="6DBD58BC">
            <w:pPr>
              <w:tabs>
                <w:tab w:val="decimal" w:pos="366"/>
              </w:tabs>
              <w:jc w:val="right"/>
              <w:rPr>
                <w:sz w:val="16"/>
                <w:szCs w:val="16"/>
              </w:rPr>
            </w:pPr>
            <w:r w:rsidRPr="00710F73">
              <w:rPr>
                <w:sz w:val="16"/>
                <w:szCs w:val="16"/>
              </w:rPr>
              <w:t>100.0%</w:t>
            </w:r>
          </w:p>
        </w:tc>
        <w:tc>
          <w:tcPr>
            <w:tcW w:w="1080" w:type="dxa"/>
            <w:tcBorders>
              <w:top w:val="nil"/>
              <w:left w:val="nil"/>
              <w:bottom w:val="nil"/>
              <w:right w:val="nil"/>
            </w:tcBorders>
            <w:shd w:val="clear" w:color="auto" w:fill="auto"/>
            <w:noWrap/>
          </w:tcPr>
          <w:p w:rsidRPr="00710F73" w:rsidR="00710F73" w:rsidP="00710F73" w:rsidRDefault="00710F73" w14:paraId="17CA376C" w14:textId="31D76D52">
            <w:pPr>
              <w:tabs>
                <w:tab w:val="decimal" w:pos="363"/>
              </w:tabs>
              <w:jc w:val="right"/>
              <w:rPr>
                <w:sz w:val="16"/>
                <w:szCs w:val="16"/>
              </w:rPr>
            </w:pPr>
            <w:r w:rsidRPr="00710F73">
              <w:rPr>
                <w:sz w:val="16"/>
                <w:szCs w:val="16"/>
              </w:rPr>
              <w:t>100.0%</w:t>
            </w:r>
          </w:p>
        </w:tc>
        <w:tc>
          <w:tcPr>
            <w:tcW w:w="1080" w:type="dxa"/>
            <w:tcBorders>
              <w:top w:val="nil"/>
              <w:left w:val="nil"/>
              <w:bottom w:val="nil"/>
              <w:right w:val="nil"/>
            </w:tcBorders>
            <w:shd w:val="clear" w:color="auto" w:fill="auto"/>
            <w:noWrap/>
          </w:tcPr>
          <w:p w:rsidRPr="00710F73" w:rsidR="00710F73" w:rsidP="00710F73" w:rsidRDefault="00710F73" w14:paraId="43BCF071" w14:textId="2B088CD9">
            <w:pPr>
              <w:tabs>
                <w:tab w:val="decimal" w:pos="353"/>
              </w:tabs>
              <w:jc w:val="right"/>
              <w:rPr>
                <w:sz w:val="16"/>
                <w:szCs w:val="16"/>
              </w:rPr>
            </w:pPr>
            <w:r w:rsidRPr="00710F73">
              <w:rPr>
                <w:sz w:val="16"/>
                <w:szCs w:val="16"/>
              </w:rPr>
              <w:t>100.0%</w:t>
            </w:r>
          </w:p>
        </w:tc>
        <w:tc>
          <w:tcPr>
            <w:tcW w:w="1199" w:type="dxa"/>
            <w:tcBorders>
              <w:top w:val="nil"/>
              <w:left w:val="nil"/>
              <w:bottom w:val="nil"/>
              <w:right w:val="nil"/>
            </w:tcBorders>
            <w:shd w:val="clear" w:color="auto" w:fill="auto"/>
            <w:noWrap/>
          </w:tcPr>
          <w:p w:rsidRPr="00710F73" w:rsidR="00710F73" w:rsidP="00710F73" w:rsidRDefault="00710F73" w14:paraId="42610075" w14:textId="4251998C">
            <w:pPr>
              <w:tabs>
                <w:tab w:val="decimal" w:pos="363"/>
              </w:tabs>
              <w:jc w:val="right"/>
              <w:rPr>
                <w:sz w:val="16"/>
                <w:szCs w:val="16"/>
              </w:rPr>
            </w:pPr>
            <w:r w:rsidRPr="00710F73">
              <w:rPr>
                <w:sz w:val="16"/>
                <w:szCs w:val="16"/>
              </w:rPr>
              <w:t>100.0%</w:t>
            </w:r>
          </w:p>
        </w:tc>
      </w:tr>
      <w:tr w:rsidRPr="00720B8B" w:rsidR="00710F73" w:rsidTr="00702569" w14:paraId="7A30932B"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339C12D9" w14:textId="719F8FD5">
            <w:pPr>
              <w:jc w:val="right"/>
              <w:rPr>
                <w:sz w:val="16"/>
                <w:szCs w:val="16"/>
              </w:rPr>
            </w:pPr>
            <w:r w:rsidRPr="00710F73">
              <w:rPr>
                <w:color w:val="000000"/>
                <w:sz w:val="16"/>
                <w:szCs w:val="16"/>
              </w:rPr>
              <w:t>January 1, 2025</w:t>
            </w:r>
          </w:p>
        </w:tc>
        <w:tc>
          <w:tcPr>
            <w:tcW w:w="270" w:type="dxa"/>
            <w:tcBorders>
              <w:top w:val="nil"/>
              <w:left w:val="nil"/>
              <w:bottom w:val="nil"/>
              <w:right w:val="nil"/>
            </w:tcBorders>
            <w:shd w:val="clear" w:color="auto" w:fill="auto"/>
            <w:noWrap/>
            <w:vAlign w:val="bottom"/>
          </w:tcPr>
          <w:p w:rsidRPr="00710F73" w:rsidR="00710F73" w:rsidP="00710F73" w:rsidRDefault="00710F73" w14:paraId="058BDC89"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6198351B" w14:textId="554878E1">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273A35A3" w14:textId="663F5FD6">
            <w:pPr>
              <w:tabs>
                <w:tab w:val="decimal" w:pos="450"/>
              </w:tabs>
              <w:jc w:val="right"/>
              <w:rPr>
                <w:sz w:val="16"/>
                <w:szCs w:val="16"/>
              </w:rPr>
            </w:pPr>
            <w:r w:rsidRPr="00710F73">
              <w:rPr>
                <w:sz w:val="16"/>
                <w:szCs w:val="16"/>
              </w:rPr>
              <w:t>100.0%</w:t>
            </w:r>
          </w:p>
        </w:tc>
        <w:tc>
          <w:tcPr>
            <w:tcW w:w="1055" w:type="dxa"/>
            <w:tcBorders>
              <w:top w:val="nil"/>
              <w:left w:val="nil"/>
              <w:bottom w:val="nil"/>
              <w:right w:val="nil"/>
            </w:tcBorders>
            <w:shd w:val="clear" w:color="auto" w:fill="auto"/>
            <w:noWrap/>
          </w:tcPr>
          <w:p w:rsidRPr="00710F73" w:rsidR="00710F73" w:rsidP="00710F73" w:rsidRDefault="00710F73" w14:paraId="7F28661C" w14:textId="1A9C54E0">
            <w:pPr>
              <w:tabs>
                <w:tab w:val="decimal" w:pos="361"/>
              </w:tabs>
              <w:jc w:val="right"/>
              <w:rPr>
                <w:sz w:val="16"/>
                <w:szCs w:val="16"/>
              </w:rPr>
            </w:pPr>
            <w:r w:rsidRPr="00710F73">
              <w:rPr>
                <w:sz w:val="16"/>
                <w:szCs w:val="16"/>
              </w:rPr>
              <w:t>100.0%</w:t>
            </w:r>
          </w:p>
        </w:tc>
        <w:tc>
          <w:tcPr>
            <w:tcW w:w="1128" w:type="dxa"/>
            <w:tcBorders>
              <w:top w:val="nil"/>
              <w:left w:val="nil"/>
              <w:bottom w:val="nil"/>
              <w:right w:val="nil"/>
            </w:tcBorders>
            <w:shd w:val="clear" w:color="auto" w:fill="auto"/>
            <w:noWrap/>
          </w:tcPr>
          <w:p w:rsidRPr="00710F73" w:rsidR="00710F73" w:rsidP="00710F73" w:rsidRDefault="00710F73" w14:paraId="4BE22D58" w14:textId="5799198B">
            <w:pPr>
              <w:tabs>
                <w:tab w:val="decimal" w:pos="355"/>
              </w:tabs>
              <w:jc w:val="right"/>
              <w:rPr>
                <w:sz w:val="16"/>
                <w:szCs w:val="16"/>
              </w:rPr>
            </w:pPr>
            <w:r w:rsidRPr="00710F73">
              <w:rPr>
                <w:sz w:val="16"/>
                <w:szCs w:val="16"/>
              </w:rPr>
              <w:t>100.0%</w:t>
            </w:r>
          </w:p>
        </w:tc>
        <w:tc>
          <w:tcPr>
            <w:tcW w:w="1080" w:type="dxa"/>
            <w:tcBorders>
              <w:top w:val="nil"/>
              <w:left w:val="nil"/>
              <w:bottom w:val="nil"/>
              <w:right w:val="nil"/>
            </w:tcBorders>
            <w:shd w:val="clear" w:color="auto" w:fill="auto"/>
            <w:noWrap/>
          </w:tcPr>
          <w:p w:rsidRPr="00710F73" w:rsidR="00710F73" w:rsidP="00710F73" w:rsidRDefault="00710F73" w14:paraId="3EF25579" w14:textId="6BD94BA7">
            <w:pPr>
              <w:tabs>
                <w:tab w:val="decimal" w:pos="361"/>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71C5C7E3" w14:textId="2A8FDCC3">
            <w:pPr>
              <w:tabs>
                <w:tab w:val="decimal" w:pos="428"/>
              </w:tabs>
              <w:jc w:val="right"/>
              <w:rPr>
                <w:sz w:val="16"/>
                <w:szCs w:val="16"/>
              </w:rPr>
            </w:pPr>
            <w:r w:rsidRPr="00710F73">
              <w:rPr>
                <w:sz w:val="16"/>
                <w:szCs w:val="16"/>
              </w:rPr>
              <w:t>100.0%</w:t>
            </w:r>
          </w:p>
        </w:tc>
        <w:tc>
          <w:tcPr>
            <w:tcW w:w="1080" w:type="dxa"/>
            <w:tcBorders>
              <w:top w:val="nil"/>
              <w:left w:val="nil"/>
              <w:bottom w:val="nil"/>
              <w:right w:val="nil"/>
            </w:tcBorders>
            <w:shd w:val="clear" w:color="auto" w:fill="auto"/>
            <w:noWrap/>
          </w:tcPr>
          <w:p w:rsidRPr="00710F73" w:rsidR="00710F73" w:rsidP="00710F73" w:rsidRDefault="00710F73" w14:paraId="4B9253DD" w14:textId="7A5BE352">
            <w:pPr>
              <w:tabs>
                <w:tab w:val="decimal" w:pos="366"/>
              </w:tabs>
              <w:jc w:val="right"/>
              <w:rPr>
                <w:sz w:val="16"/>
                <w:szCs w:val="16"/>
              </w:rPr>
            </w:pPr>
            <w:r w:rsidRPr="00710F73">
              <w:rPr>
                <w:sz w:val="16"/>
                <w:szCs w:val="16"/>
              </w:rPr>
              <w:t>100.0%</w:t>
            </w:r>
          </w:p>
        </w:tc>
        <w:tc>
          <w:tcPr>
            <w:tcW w:w="1080" w:type="dxa"/>
            <w:tcBorders>
              <w:top w:val="nil"/>
              <w:left w:val="nil"/>
              <w:bottom w:val="nil"/>
              <w:right w:val="nil"/>
            </w:tcBorders>
            <w:shd w:val="clear" w:color="auto" w:fill="auto"/>
            <w:noWrap/>
          </w:tcPr>
          <w:p w:rsidRPr="00710F73" w:rsidR="00710F73" w:rsidP="00710F73" w:rsidRDefault="00710F73" w14:paraId="47A81DA0" w14:textId="7BA3CE9E">
            <w:pPr>
              <w:tabs>
                <w:tab w:val="decimal" w:pos="363"/>
              </w:tabs>
              <w:jc w:val="right"/>
              <w:rPr>
                <w:sz w:val="16"/>
                <w:szCs w:val="16"/>
              </w:rPr>
            </w:pPr>
            <w:r w:rsidRPr="00710F73">
              <w:rPr>
                <w:sz w:val="16"/>
                <w:szCs w:val="16"/>
              </w:rPr>
              <w:t>100.0%</w:t>
            </w:r>
          </w:p>
        </w:tc>
        <w:tc>
          <w:tcPr>
            <w:tcW w:w="1080" w:type="dxa"/>
            <w:tcBorders>
              <w:top w:val="nil"/>
              <w:left w:val="nil"/>
              <w:bottom w:val="nil"/>
              <w:right w:val="nil"/>
            </w:tcBorders>
            <w:shd w:val="clear" w:color="auto" w:fill="auto"/>
            <w:noWrap/>
          </w:tcPr>
          <w:p w:rsidRPr="00710F73" w:rsidR="00710F73" w:rsidP="00710F73" w:rsidRDefault="00710F73" w14:paraId="178562E3" w14:textId="1E2AD8DE">
            <w:pPr>
              <w:tabs>
                <w:tab w:val="decimal" w:pos="353"/>
              </w:tabs>
              <w:jc w:val="right"/>
              <w:rPr>
                <w:sz w:val="16"/>
                <w:szCs w:val="16"/>
              </w:rPr>
            </w:pPr>
            <w:r w:rsidRPr="00710F73">
              <w:rPr>
                <w:sz w:val="16"/>
                <w:szCs w:val="16"/>
              </w:rPr>
              <w:t>100.0%</w:t>
            </w:r>
          </w:p>
        </w:tc>
        <w:tc>
          <w:tcPr>
            <w:tcW w:w="1199" w:type="dxa"/>
            <w:tcBorders>
              <w:top w:val="nil"/>
              <w:left w:val="nil"/>
              <w:bottom w:val="nil"/>
              <w:right w:val="nil"/>
            </w:tcBorders>
            <w:shd w:val="clear" w:color="auto" w:fill="auto"/>
            <w:noWrap/>
          </w:tcPr>
          <w:p w:rsidRPr="00710F73" w:rsidR="00710F73" w:rsidP="00710F73" w:rsidRDefault="00710F73" w14:paraId="732F572F" w14:textId="4BB5337D">
            <w:pPr>
              <w:tabs>
                <w:tab w:val="decimal" w:pos="363"/>
              </w:tabs>
              <w:jc w:val="right"/>
              <w:rPr>
                <w:sz w:val="16"/>
                <w:szCs w:val="16"/>
              </w:rPr>
            </w:pPr>
            <w:r w:rsidRPr="00710F73">
              <w:rPr>
                <w:sz w:val="16"/>
                <w:szCs w:val="16"/>
              </w:rPr>
              <w:t>100.0%</w:t>
            </w:r>
          </w:p>
        </w:tc>
      </w:tr>
      <w:tr w:rsidRPr="00720B8B" w:rsidR="00710F73" w:rsidTr="00702569" w14:paraId="5BDDB861"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348AC472" w14:textId="6A7156BB">
            <w:pPr>
              <w:jc w:val="right"/>
              <w:rPr>
                <w:sz w:val="16"/>
                <w:szCs w:val="16"/>
              </w:rPr>
            </w:pPr>
            <w:r w:rsidRPr="00710F73">
              <w:rPr>
                <w:color w:val="000000"/>
                <w:sz w:val="16"/>
                <w:szCs w:val="16"/>
              </w:rPr>
              <w:t>January 1, 2026</w:t>
            </w:r>
          </w:p>
        </w:tc>
        <w:tc>
          <w:tcPr>
            <w:tcW w:w="270" w:type="dxa"/>
            <w:tcBorders>
              <w:top w:val="nil"/>
              <w:left w:val="nil"/>
              <w:bottom w:val="nil"/>
              <w:right w:val="nil"/>
            </w:tcBorders>
            <w:shd w:val="clear" w:color="auto" w:fill="auto"/>
            <w:noWrap/>
            <w:vAlign w:val="bottom"/>
          </w:tcPr>
          <w:p w:rsidRPr="00710F73" w:rsidR="00710F73" w:rsidP="00710F73" w:rsidRDefault="00710F73" w14:paraId="4A9F0B93"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528BEF27" w14:textId="766C7179">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5D628275" w14:textId="6C53BCFC">
            <w:pPr>
              <w:tabs>
                <w:tab w:val="decimal" w:pos="450"/>
              </w:tabs>
              <w:jc w:val="right"/>
              <w:rPr>
                <w:sz w:val="16"/>
                <w:szCs w:val="16"/>
              </w:rPr>
            </w:pPr>
            <w:r w:rsidRPr="00710F73">
              <w:rPr>
                <w:sz w:val="16"/>
                <w:szCs w:val="16"/>
              </w:rPr>
              <w:t>98.1%</w:t>
            </w:r>
          </w:p>
        </w:tc>
        <w:tc>
          <w:tcPr>
            <w:tcW w:w="1055" w:type="dxa"/>
            <w:tcBorders>
              <w:top w:val="nil"/>
              <w:left w:val="nil"/>
              <w:bottom w:val="nil"/>
              <w:right w:val="nil"/>
            </w:tcBorders>
            <w:shd w:val="clear" w:color="auto" w:fill="auto"/>
            <w:noWrap/>
          </w:tcPr>
          <w:p w:rsidRPr="00710F73" w:rsidR="00710F73" w:rsidP="00710F73" w:rsidRDefault="00710F73" w14:paraId="2733B3CC" w14:textId="2565551F">
            <w:pPr>
              <w:tabs>
                <w:tab w:val="decimal" w:pos="361"/>
              </w:tabs>
              <w:jc w:val="right"/>
              <w:rPr>
                <w:sz w:val="16"/>
                <w:szCs w:val="16"/>
              </w:rPr>
            </w:pPr>
            <w:r w:rsidRPr="00710F73">
              <w:rPr>
                <w:sz w:val="16"/>
                <w:szCs w:val="16"/>
              </w:rPr>
              <w:t>96.1%</w:t>
            </w:r>
          </w:p>
        </w:tc>
        <w:tc>
          <w:tcPr>
            <w:tcW w:w="1128" w:type="dxa"/>
            <w:tcBorders>
              <w:top w:val="nil"/>
              <w:left w:val="nil"/>
              <w:bottom w:val="nil"/>
              <w:right w:val="nil"/>
            </w:tcBorders>
            <w:shd w:val="clear" w:color="auto" w:fill="auto"/>
            <w:noWrap/>
          </w:tcPr>
          <w:p w:rsidRPr="00710F73" w:rsidR="00710F73" w:rsidP="00710F73" w:rsidRDefault="00710F73" w14:paraId="0585652A" w14:textId="1ED34B6C">
            <w:pPr>
              <w:tabs>
                <w:tab w:val="decimal" w:pos="355"/>
              </w:tabs>
              <w:jc w:val="right"/>
              <w:rPr>
                <w:sz w:val="16"/>
                <w:szCs w:val="16"/>
              </w:rPr>
            </w:pPr>
            <w:r w:rsidRPr="00710F73">
              <w:rPr>
                <w:sz w:val="16"/>
                <w:szCs w:val="16"/>
              </w:rPr>
              <w:t>96.1%</w:t>
            </w:r>
          </w:p>
        </w:tc>
        <w:tc>
          <w:tcPr>
            <w:tcW w:w="1080" w:type="dxa"/>
            <w:tcBorders>
              <w:top w:val="nil"/>
              <w:left w:val="nil"/>
              <w:bottom w:val="nil"/>
              <w:right w:val="nil"/>
            </w:tcBorders>
            <w:shd w:val="clear" w:color="auto" w:fill="auto"/>
            <w:noWrap/>
          </w:tcPr>
          <w:p w:rsidRPr="00710F73" w:rsidR="00710F73" w:rsidP="00710F73" w:rsidRDefault="00710F73" w14:paraId="6986BDBE" w14:textId="6A5F3C45">
            <w:pPr>
              <w:tabs>
                <w:tab w:val="decimal" w:pos="361"/>
              </w:tabs>
              <w:jc w:val="right"/>
              <w:rPr>
                <w:sz w:val="16"/>
                <w:szCs w:val="16"/>
              </w:rPr>
            </w:pPr>
            <w:r w:rsidRPr="00710F73">
              <w:rPr>
                <w:sz w:val="16"/>
                <w:szCs w:val="16"/>
              </w:rPr>
              <w:t>96.1%</w:t>
            </w:r>
          </w:p>
        </w:tc>
        <w:tc>
          <w:tcPr>
            <w:tcW w:w="1170" w:type="dxa"/>
            <w:tcBorders>
              <w:top w:val="nil"/>
              <w:left w:val="nil"/>
              <w:bottom w:val="nil"/>
              <w:right w:val="nil"/>
            </w:tcBorders>
            <w:shd w:val="clear" w:color="auto" w:fill="auto"/>
            <w:noWrap/>
          </w:tcPr>
          <w:p w:rsidRPr="00710F73" w:rsidR="00710F73" w:rsidP="00710F73" w:rsidRDefault="00710F73" w14:paraId="712A18C8" w14:textId="01CFFCC5">
            <w:pPr>
              <w:tabs>
                <w:tab w:val="decimal" w:pos="428"/>
              </w:tabs>
              <w:jc w:val="right"/>
              <w:rPr>
                <w:sz w:val="16"/>
                <w:szCs w:val="16"/>
              </w:rPr>
            </w:pPr>
            <w:r w:rsidRPr="00710F73">
              <w:rPr>
                <w:sz w:val="16"/>
                <w:szCs w:val="16"/>
              </w:rPr>
              <w:t>96.1%</w:t>
            </w:r>
          </w:p>
        </w:tc>
        <w:tc>
          <w:tcPr>
            <w:tcW w:w="1080" w:type="dxa"/>
            <w:tcBorders>
              <w:top w:val="nil"/>
              <w:left w:val="nil"/>
              <w:bottom w:val="nil"/>
              <w:right w:val="nil"/>
            </w:tcBorders>
            <w:shd w:val="clear" w:color="auto" w:fill="auto"/>
            <w:noWrap/>
          </w:tcPr>
          <w:p w:rsidRPr="00710F73" w:rsidR="00710F73" w:rsidP="00710F73" w:rsidRDefault="00710F73" w14:paraId="7705AD09" w14:textId="386E089D">
            <w:pPr>
              <w:tabs>
                <w:tab w:val="decimal" w:pos="366"/>
              </w:tabs>
              <w:jc w:val="right"/>
              <w:rPr>
                <w:sz w:val="16"/>
                <w:szCs w:val="16"/>
              </w:rPr>
            </w:pPr>
            <w:r w:rsidRPr="00710F73">
              <w:rPr>
                <w:sz w:val="16"/>
                <w:szCs w:val="16"/>
              </w:rPr>
              <w:t>96.1%</w:t>
            </w:r>
          </w:p>
        </w:tc>
        <w:tc>
          <w:tcPr>
            <w:tcW w:w="1080" w:type="dxa"/>
            <w:tcBorders>
              <w:top w:val="nil"/>
              <w:left w:val="nil"/>
              <w:bottom w:val="nil"/>
              <w:right w:val="nil"/>
            </w:tcBorders>
            <w:shd w:val="clear" w:color="auto" w:fill="auto"/>
            <w:noWrap/>
          </w:tcPr>
          <w:p w:rsidRPr="00710F73" w:rsidR="00710F73" w:rsidP="00710F73" w:rsidRDefault="00710F73" w14:paraId="2FCC2031" w14:textId="60A3C307">
            <w:pPr>
              <w:tabs>
                <w:tab w:val="decimal" w:pos="363"/>
              </w:tabs>
              <w:jc w:val="right"/>
              <w:rPr>
                <w:sz w:val="16"/>
                <w:szCs w:val="16"/>
              </w:rPr>
            </w:pPr>
            <w:r w:rsidRPr="00710F73">
              <w:rPr>
                <w:sz w:val="16"/>
                <w:szCs w:val="16"/>
              </w:rPr>
              <w:t>96.1%</w:t>
            </w:r>
          </w:p>
        </w:tc>
        <w:tc>
          <w:tcPr>
            <w:tcW w:w="1080" w:type="dxa"/>
            <w:tcBorders>
              <w:top w:val="nil"/>
              <w:left w:val="nil"/>
              <w:bottom w:val="nil"/>
              <w:right w:val="nil"/>
            </w:tcBorders>
            <w:shd w:val="clear" w:color="auto" w:fill="auto"/>
            <w:noWrap/>
          </w:tcPr>
          <w:p w:rsidRPr="00710F73" w:rsidR="00710F73" w:rsidP="00710F73" w:rsidRDefault="00710F73" w14:paraId="44FBBD42" w14:textId="45BA148C">
            <w:pPr>
              <w:tabs>
                <w:tab w:val="decimal" w:pos="353"/>
              </w:tabs>
              <w:jc w:val="right"/>
              <w:rPr>
                <w:sz w:val="16"/>
                <w:szCs w:val="16"/>
              </w:rPr>
            </w:pPr>
            <w:r w:rsidRPr="00710F73">
              <w:rPr>
                <w:sz w:val="16"/>
                <w:szCs w:val="16"/>
              </w:rPr>
              <w:t>96.1%</w:t>
            </w:r>
          </w:p>
        </w:tc>
        <w:tc>
          <w:tcPr>
            <w:tcW w:w="1199" w:type="dxa"/>
            <w:tcBorders>
              <w:top w:val="nil"/>
              <w:left w:val="nil"/>
              <w:bottom w:val="nil"/>
              <w:right w:val="nil"/>
            </w:tcBorders>
            <w:shd w:val="clear" w:color="auto" w:fill="auto"/>
            <w:noWrap/>
          </w:tcPr>
          <w:p w:rsidRPr="00710F73" w:rsidR="00710F73" w:rsidP="00710F73" w:rsidRDefault="00710F73" w14:paraId="0898756E" w14:textId="07712095">
            <w:pPr>
              <w:tabs>
                <w:tab w:val="decimal" w:pos="363"/>
              </w:tabs>
              <w:jc w:val="right"/>
              <w:rPr>
                <w:sz w:val="16"/>
                <w:szCs w:val="16"/>
              </w:rPr>
            </w:pPr>
            <w:r w:rsidRPr="00710F73">
              <w:rPr>
                <w:sz w:val="16"/>
                <w:szCs w:val="16"/>
              </w:rPr>
              <w:t>96.1%</w:t>
            </w:r>
          </w:p>
        </w:tc>
      </w:tr>
      <w:tr w:rsidRPr="00720B8B" w:rsidR="00710F73" w:rsidTr="00702569" w14:paraId="4F837B6B"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63F73CA6" w14:textId="67902903">
            <w:pPr>
              <w:jc w:val="right"/>
              <w:rPr>
                <w:sz w:val="16"/>
                <w:szCs w:val="16"/>
              </w:rPr>
            </w:pPr>
            <w:r w:rsidRPr="00710F73">
              <w:rPr>
                <w:color w:val="000000"/>
                <w:sz w:val="16"/>
                <w:szCs w:val="16"/>
              </w:rPr>
              <w:t>January 1, 2027</w:t>
            </w:r>
          </w:p>
        </w:tc>
        <w:tc>
          <w:tcPr>
            <w:tcW w:w="270" w:type="dxa"/>
            <w:tcBorders>
              <w:top w:val="nil"/>
              <w:left w:val="nil"/>
              <w:bottom w:val="nil"/>
              <w:right w:val="nil"/>
            </w:tcBorders>
            <w:shd w:val="clear" w:color="auto" w:fill="auto"/>
            <w:noWrap/>
            <w:vAlign w:val="bottom"/>
          </w:tcPr>
          <w:p w:rsidRPr="00710F73" w:rsidR="00710F73" w:rsidP="00710F73" w:rsidRDefault="00710F73" w14:paraId="1EDE9D39"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5D426348" w14:textId="3FFB6F87">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56E7973F" w14:textId="0BEA2D66">
            <w:pPr>
              <w:tabs>
                <w:tab w:val="decimal" w:pos="450"/>
              </w:tabs>
              <w:jc w:val="right"/>
              <w:rPr>
                <w:sz w:val="16"/>
                <w:szCs w:val="16"/>
              </w:rPr>
            </w:pPr>
            <w:r w:rsidRPr="00710F73">
              <w:rPr>
                <w:sz w:val="16"/>
                <w:szCs w:val="16"/>
              </w:rPr>
              <w:t>92.7%</w:t>
            </w:r>
          </w:p>
        </w:tc>
        <w:tc>
          <w:tcPr>
            <w:tcW w:w="1055" w:type="dxa"/>
            <w:tcBorders>
              <w:top w:val="nil"/>
              <w:left w:val="nil"/>
              <w:bottom w:val="nil"/>
              <w:right w:val="nil"/>
            </w:tcBorders>
            <w:shd w:val="clear" w:color="auto" w:fill="auto"/>
            <w:noWrap/>
          </w:tcPr>
          <w:p w:rsidRPr="00710F73" w:rsidR="00710F73" w:rsidP="00710F73" w:rsidRDefault="00710F73" w14:paraId="0DA240C7" w14:textId="6F6AB5D0">
            <w:pPr>
              <w:tabs>
                <w:tab w:val="decimal" w:pos="361"/>
              </w:tabs>
              <w:jc w:val="right"/>
              <w:rPr>
                <w:sz w:val="16"/>
                <w:szCs w:val="16"/>
              </w:rPr>
            </w:pPr>
            <w:r w:rsidRPr="00710F73">
              <w:rPr>
                <w:sz w:val="16"/>
                <w:szCs w:val="16"/>
              </w:rPr>
              <w:t>85.4%</w:t>
            </w:r>
          </w:p>
        </w:tc>
        <w:tc>
          <w:tcPr>
            <w:tcW w:w="1128" w:type="dxa"/>
            <w:tcBorders>
              <w:top w:val="nil"/>
              <w:left w:val="nil"/>
              <w:bottom w:val="nil"/>
              <w:right w:val="nil"/>
            </w:tcBorders>
            <w:shd w:val="clear" w:color="auto" w:fill="auto"/>
            <w:noWrap/>
          </w:tcPr>
          <w:p w:rsidRPr="00710F73" w:rsidR="00710F73" w:rsidP="00710F73" w:rsidRDefault="00710F73" w14:paraId="249BD38F" w14:textId="552676C7">
            <w:pPr>
              <w:tabs>
                <w:tab w:val="decimal" w:pos="355"/>
              </w:tabs>
              <w:jc w:val="right"/>
              <w:rPr>
                <w:sz w:val="16"/>
                <w:szCs w:val="16"/>
              </w:rPr>
            </w:pPr>
            <w:r w:rsidRPr="00710F73">
              <w:rPr>
                <w:sz w:val="16"/>
                <w:szCs w:val="16"/>
              </w:rPr>
              <w:t>85.4%</w:t>
            </w:r>
          </w:p>
        </w:tc>
        <w:tc>
          <w:tcPr>
            <w:tcW w:w="1080" w:type="dxa"/>
            <w:tcBorders>
              <w:top w:val="nil"/>
              <w:left w:val="nil"/>
              <w:bottom w:val="nil"/>
              <w:right w:val="nil"/>
            </w:tcBorders>
            <w:shd w:val="clear" w:color="auto" w:fill="auto"/>
            <w:noWrap/>
          </w:tcPr>
          <w:p w:rsidRPr="00710F73" w:rsidR="00710F73" w:rsidP="00710F73" w:rsidRDefault="00710F73" w14:paraId="090FD072" w14:textId="1B5975C8">
            <w:pPr>
              <w:tabs>
                <w:tab w:val="decimal" w:pos="361"/>
              </w:tabs>
              <w:jc w:val="right"/>
              <w:rPr>
                <w:sz w:val="16"/>
                <w:szCs w:val="16"/>
              </w:rPr>
            </w:pPr>
            <w:r w:rsidRPr="00710F73">
              <w:rPr>
                <w:sz w:val="16"/>
                <w:szCs w:val="16"/>
              </w:rPr>
              <w:t>85.4%</w:t>
            </w:r>
          </w:p>
        </w:tc>
        <w:tc>
          <w:tcPr>
            <w:tcW w:w="1170" w:type="dxa"/>
            <w:tcBorders>
              <w:top w:val="nil"/>
              <w:left w:val="nil"/>
              <w:bottom w:val="nil"/>
              <w:right w:val="nil"/>
            </w:tcBorders>
            <w:shd w:val="clear" w:color="auto" w:fill="auto"/>
            <w:noWrap/>
          </w:tcPr>
          <w:p w:rsidRPr="00710F73" w:rsidR="00710F73" w:rsidP="00710F73" w:rsidRDefault="00710F73" w14:paraId="3EBC616F" w14:textId="21A96124">
            <w:pPr>
              <w:tabs>
                <w:tab w:val="decimal" w:pos="428"/>
              </w:tabs>
              <w:jc w:val="right"/>
              <w:rPr>
                <w:sz w:val="16"/>
                <w:szCs w:val="16"/>
              </w:rPr>
            </w:pPr>
            <w:r w:rsidRPr="00710F73">
              <w:rPr>
                <w:sz w:val="16"/>
                <w:szCs w:val="16"/>
              </w:rPr>
              <w:t>85.4%</w:t>
            </w:r>
          </w:p>
        </w:tc>
        <w:tc>
          <w:tcPr>
            <w:tcW w:w="1080" w:type="dxa"/>
            <w:tcBorders>
              <w:top w:val="nil"/>
              <w:left w:val="nil"/>
              <w:bottom w:val="nil"/>
              <w:right w:val="nil"/>
            </w:tcBorders>
            <w:shd w:val="clear" w:color="auto" w:fill="auto"/>
            <w:noWrap/>
          </w:tcPr>
          <w:p w:rsidRPr="00710F73" w:rsidR="00710F73" w:rsidP="00710F73" w:rsidRDefault="00710F73" w14:paraId="5BF2A5C1" w14:textId="7EB8C263">
            <w:pPr>
              <w:tabs>
                <w:tab w:val="decimal" w:pos="366"/>
              </w:tabs>
              <w:jc w:val="right"/>
              <w:rPr>
                <w:sz w:val="16"/>
                <w:szCs w:val="16"/>
              </w:rPr>
            </w:pPr>
            <w:r w:rsidRPr="00710F73">
              <w:rPr>
                <w:sz w:val="16"/>
                <w:szCs w:val="16"/>
              </w:rPr>
              <w:t>85.4%</w:t>
            </w:r>
          </w:p>
        </w:tc>
        <w:tc>
          <w:tcPr>
            <w:tcW w:w="1080" w:type="dxa"/>
            <w:tcBorders>
              <w:top w:val="nil"/>
              <w:left w:val="nil"/>
              <w:bottom w:val="nil"/>
              <w:right w:val="nil"/>
            </w:tcBorders>
            <w:shd w:val="clear" w:color="auto" w:fill="auto"/>
            <w:noWrap/>
          </w:tcPr>
          <w:p w:rsidRPr="00710F73" w:rsidR="00710F73" w:rsidP="00710F73" w:rsidRDefault="00710F73" w14:paraId="06CDD36E" w14:textId="37DCEEC9">
            <w:pPr>
              <w:tabs>
                <w:tab w:val="decimal" w:pos="363"/>
              </w:tabs>
              <w:jc w:val="right"/>
              <w:rPr>
                <w:sz w:val="16"/>
                <w:szCs w:val="16"/>
              </w:rPr>
            </w:pPr>
            <w:r w:rsidRPr="00710F73">
              <w:rPr>
                <w:sz w:val="16"/>
                <w:szCs w:val="16"/>
              </w:rPr>
              <w:t>85.4%</w:t>
            </w:r>
          </w:p>
        </w:tc>
        <w:tc>
          <w:tcPr>
            <w:tcW w:w="1080" w:type="dxa"/>
            <w:tcBorders>
              <w:top w:val="nil"/>
              <w:left w:val="nil"/>
              <w:bottom w:val="nil"/>
              <w:right w:val="nil"/>
            </w:tcBorders>
            <w:shd w:val="clear" w:color="auto" w:fill="auto"/>
            <w:noWrap/>
          </w:tcPr>
          <w:p w:rsidRPr="00710F73" w:rsidR="00710F73" w:rsidP="00710F73" w:rsidRDefault="00710F73" w14:paraId="2134CF2C" w14:textId="64736358">
            <w:pPr>
              <w:tabs>
                <w:tab w:val="decimal" w:pos="353"/>
              </w:tabs>
              <w:jc w:val="right"/>
              <w:rPr>
                <w:sz w:val="16"/>
                <w:szCs w:val="16"/>
              </w:rPr>
            </w:pPr>
            <w:r w:rsidRPr="00710F73">
              <w:rPr>
                <w:sz w:val="16"/>
                <w:szCs w:val="16"/>
              </w:rPr>
              <w:t>85.4%</w:t>
            </w:r>
          </w:p>
        </w:tc>
        <w:tc>
          <w:tcPr>
            <w:tcW w:w="1199" w:type="dxa"/>
            <w:tcBorders>
              <w:top w:val="nil"/>
              <w:left w:val="nil"/>
              <w:bottom w:val="nil"/>
              <w:right w:val="nil"/>
            </w:tcBorders>
            <w:shd w:val="clear" w:color="auto" w:fill="auto"/>
            <w:noWrap/>
          </w:tcPr>
          <w:p w:rsidRPr="00710F73" w:rsidR="00710F73" w:rsidP="00710F73" w:rsidRDefault="00710F73" w14:paraId="01FC84E8" w14:textId="3D3F3004">
            <w:pPr>
              <w:tabs>
                <w:tab w:val="decimal" w:pos="363"/>
              </w:tabs>
              <w:jc w:val="right"/>
              <w:rPr>
                <w:sz w:val="16"/>
                <w:szCs w:val="16"/>
              </w:rPr>
            </w:pPr>
            <w:r w:rsidRPr="00710F73">
              <w:rPr>
                <w:sz w:val="16"/>
                <w:szCs w:val="16"/>
              </w:rPr>
              <w:t>85.4%</w:t>
            </w:r>
          </w:p>
        </w:tc>
      </w:tr>
      <w:tr w:rsidRPr="00720B8B" w:rsidR="00710F73" w:rsidTr="00702569" w14:paraId="7A484C8B"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02228820" w14:textId="7CCB9263">
            <w:pPr>
              <w:jc w:val="right"/>
              <w:rPr>
                <w:sz w:val="16"/>
                <w:szCs w:val="16"/>
              </w:rPr>
            </w:pPr>
            <w:r w:rsidRPr="00710F73">
              <w:rPr>
                <w:color w:val="000000"/>
                <w:sz w:val="16"/>
                <w:szCs w:val="16"/>
              </w:rPr>
              <w:t>January 1, 2028</w:t>
            </w:r>
          </w:p>
        </w:tc>
        <w:tc>
          <w:tcPr>
            <w:tcW w:w="270" w:type="dxa"/>
            <w:tcBorders>
              <w:top w:val="nil"/>
              <w:left w:val="nil"/>
              <w:bottom w:val="nil"/>
              <w:right w:val="nil"/>
            </w:tcBorders>
            <w:shd w:val="clear" w:color="auto" w:fill="auto"/>
            <w:noWrap/>
            <w:vAlign w:val="bottom"/>
          </w:tcPr>
          <w:p w:rsidRPr="00710F73" w:rsidR="00710F73" w:rsidP="00710F73" w:rsidRDefault="00710F73" w14:paraId="01CCEC5A"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2D93D911" w14:textId="493D92AF">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1BFB3DA3" w14:textId="27F1EC50">
            <w:pPr>
              <w:tabs>
                <w:tab w:val="decimal" w:pos="450"/>
              </w:tabs>
              <w:jc w:val="right"/>
              <w:rPr>
                <w:sz w:val="16"/>
                <w:szCs w:val="16"/>
              </w:rPr>
            </w:pPr>
            <w:r w:rsidRPr="00710F73">
              <w:rPr>
                <w:sz w:val="16"/>
                <w:szCs w:val="16"/>
              </w:rPr>
              <w:t>84.8%</w:t>
            </w:r>
          </w:p>
        </w:tc>
        <w:tc>
          <w:tcPr>
            <w:tcW w:w="1055" w:type="dxa"/>
            <w:tcBorders>
              <w:top w:val="nil"/>
              <w:left w:val="nil"/>
              <w:bottom w:val="nil"/>
              <w:right w:val="nil"/>
            </w:tcBorders>
            <w:shd w:val="clear" w:color="auto" w:fill="auto"/>
            <w:noWrap/>
          </w:tcPr>
          <w:p w:rsidRPr="00710F73" w:rsidR="00710F73" w:rsidP="00710F73" w:rsidRDefault="00710F73" w14:paraId="10784799" w14:textId="2C9AF6F3">
            <w:pPr>
              <w:tabs>
                <w:tab w:val="decimal" w:pos="361"/>
              </w:tabs>
              <w:jc w:val="right"/>
              <w:rPr>
                <w:sz w:val="16"/>
                <w:szCs w:val="16"/>
              </w:rPr>
            </w:pPr>
            <w:r w:rsidRPr="00710F73">
              <w:rPr>
                <w:sz w:val="16"/>
                <w:szCs w:val="16"/>
              </w:rPr>
              <w:t>69.8%</w:t>
            </w:r>
          </w:p>
        </w:tc>
        <w:tc>
          <w:tcPr>
            <w:tcW w:w="1128" w:type="dxa"/>
            <w:tcBorders>
              <w:top w:val="nil"/>
              <w:left w:val="nil"/>
              <w:bottom w:val="nil"/>
              <w:right w:val="nil"/>
            </w:tcBorders>
            <w:shd w:val="clear" w:color="auto" w:fill="auto"/>
            <w:noWrap/>
          </w:tcPr>
          <w:p w:rsidRPr="00710F73" w:rsidR="00710F73" w:rsidP="00710F73" w:rsidRDefault="00710F73" w14:paraId="715F6097" w14:textId="3FBD7416">
            <w:pPr>
              <w:tabs>
                <w:tab w:val="decimal" w:pos="355"/>
              </w:tabs>
              <w:jc w:val="right"/>
              <w:rPr>
                <w:sz w:val="16"/>
                <w:szCs w:val="16"/>
              </w:rPr>
            </w:pPr>
            <w:r w:rsidRPr="00710F73">
              <w:rPr>
                <w:sz w:val="16"/>
                <w:szCs w:val="16"/>
              </w:rPr>
              <w:t>69.8%</w:t>
            </w:r>
          </w:p>
        </w:tc>
        <w:tc>
          <w:tcPr>
            <w:tcW w:w="1080" w:type="dxa"/>
            <w:tcBorders>
              <w:top w:val="nil"/>
              <w:left w:val="nil"/>
              <w:bottom w:val="nil"/>
              <w:right w:val="nil"/>
            </w:tcBorders>
            <w:shd w:val="clear" w:color="auto" w:fill="auto"/>
            <w:noWrap/>
          </w:tcPr>
          <w:p w:rsidRPr="00710F73" w:rsidR="00710F73" w:rsidP="00710F73" w:rsidRDefault="00710F73" w14:paraId="730980E8" w14:textId="48E14519">
            <w:pPr>
              <w:tabs>
                <w:tab w:val="decimal" w:pos="361"/>
              </w:tabs>
              <w:jc w:val="right"/>
              <w:rPr>
                <w:sz w:val="16"/>
                <w:szCs w:val="16"/>
              </w:rPr>
            </w:pPr>
            <w:r w:rsidRPr="00710F73">
              <w:rPr>
                <w:sz w:val="16"/>
                <w:szCs w:val="16"/>
              </w:rPr>
              <w:t>69.8%</w:t>
            </w:r>
          </w:p>
        </w:tc>
        <w:tc>
          <w:tcPr>
            <w:tcW w:w="1170" w:type="dxa"/>
            <w:tcBorders>
              <w:top w:val="nil"/>
              <w:left w:val="nil"/>
              <w:bottom w:val="nil"/>
              <w:right w:val="nil"/>
            </w:tcBorders>
            <w:shd w:val="clear" w:color="auto" w:fill="auto"/>
            <w:noWrap/>
          </w:tcPr>
          <w:p w:rsidRPr="00710F73" w:rsidR="00710F73" w:rsidP="00710F73" w:rsidRDefault="00710F73" w14:paraId="4EA32E74" w14:textId="6B2A2DCF">
            <w:pPr>
              <w:tabs>
                <w:tab w:val="decimal" w:pos="428"/>
              </w:tabs>
              <w:jc w:val="right"/>
              <w:rPr>
                <w:sz w:val="16"/>
                <w:szCs w:val="16"/>
              </w:rPr>
            </w:pPr>
            <w:r w:rsidRPr="00710F73">
              <w:rPr>
                <w:sz w:val="16"/>
                <w:szCs w:val="16"/>
              </w:rPr>
              <w:t>69.8%</w:t>
            </w:r>
          </w:p>
        </w:tc>
        <w:tc>
          <w:tcPr>
            <w:tcW w:w="1080" w:type="dxa"/>
            <w:tcBorders>
              <w:top w:val="nil"/>
              <w:left w:val="nil"/>
              <w:bottom w:val="nil"/>
              <w:right w:val="nil"/>
            </w:tcBorders>
            <w:shd w:val="clear" w:color="auto" w:fill="auto"/>
            <w:noWrap/>
          </w:tcPr>
          <w:p w:rsidRPr="00710F73" w:rsidR="00710F73" w:rsidP="00710F73" w:rsidRDefault="00710F73" w14:paraId="653A00D0" w14:textId="5A5CE78D">
            <w:pPr>
              <w:tabs>
                <w:tab w:val="decimal" w:pos="366"/>
              </w:tabs>
              <w:jc w:val="right"/>
              <w:rPr>
                <w:sz w:val="16"/>
                <w:szCs w:val="16"/>
              </w:rPr>
            </w:pPr>
            <w:r w:rsidRPr="00710F73">
              <w:rPr>
                <w:sz w:val="16"/>
                <w:szCs w:val="16"/>
              </w:rPr>
              <w:t>69.8%</w:t>
            </w:r>
          </w:p>
        </w:tc>
        <w:tc>
          <w:tcPr>
            <w:tcW w:w="1080" w:type="dxa"/>
            <w:tcBorders>
              <w:top w:val="nil"/>
              <w:left w:val="nil"/>
              <w:bottom w:val="nil"/>
              <w:right w:val="nil"/>
            </w:tcBorders>
            <w:shd w:val="clear" w:color="auto" w:fill="auto"/>
            <w:noWrap/>
          </w:tcPr>
          <w:p w:rsidRPr="00710F73" w:rsidR="00710F73" w:rsidP="00710F73" w:rsidRDefault="00710F73" w14:paraId="7D3E223F" w14:textId="63DDE8B7">
            <w:pPr>
              <w:tabs>
                <w:tab w:val="decimal" w:pos="363"/>
              </w:tabs>
              <w:jc w:val="right"/>
              <w:rPr>
                <w:sz w:val="16"/>
                <w:szCs w:val="16"/>
              </w:rPr>
            </w:pPr>
            <w:r w:rsidRPr="00710F73">
              <w:rPr>
                <w:sz w:val="16"/>
                <w:szCs w:val="16"/>
              </w:rPr>
              <w:t>69.8%</w:t>
            </w:r>
          </w:p>
        </w:tc>
        <w:tc>
          <w:tcPr>
            <w:tcW w:w="1080" w:type="dxa"/>
            <w:tcBorders>
              <w:top w:val="nil"/>
              <w:left w:val="nil"/>
              <w:bottom w:val="nil"/>
              <w:right w:val="nil"/>
            </w:tcBorders>
            <w:shd w:val="clear" w:color="auto" w:fill="auto"/>
            <w:noWrap/>
          </w:tcPr>
          <w:p w:rsidRPr="00710F73" w:rsidR="00710F73" w:rsidP="00710F73" w:rsidRDefault="00710F73" w14:paraId="53B4C04C" w14:textId="4C8164D8">
            <w:pPr>
              <w:tabs>
                <w:tab w:val="decimal" w:pos="353"/>
              </w:tabs>
              <w:jc w:val="right"/>
              <w:rPr>
                <w:sz w:val="16"/>
                <w:szCs w:val="16"/>
              </w:rPr>
            </w:pPr>
            <w:r w:rsidRPr="00710F73">
              <w:rPr>
                <w:sz w:val="16"/>
                <w:szCs w:val="16"/>
              </w:rPr>
              <w:t>69.8%</w:t>
            </w:r>
          </w:p>
        </w:tc>
        <w:tc>
          <w:tcPr>
            <w:tcW w:w="1199" w:type="dxa"/>
            <w:tcBorders>
              <w:top w:val="nil"/>
              <w:left w:val="nil"/>
              <w:bottom w:val="nil"/>
              <w:right w:val="nil"/>
            </w:tcBorders>
            <w:shd w:val="clear" w:color="auto" w:fill="auto"/>
            <w:noWrap/>
          </w:tcPr>
          <w:p w:rsidRPr="00710F73" w:rsidR="00710F73" w:rsidP="00710F73" w:rsidRDefault="00710F73" w14:paraId="584215B9" w14:textId="64D72927">
            <w:pPr>
              <w:tabs>
                <w:tab w:val="decimal" w:pos="363"/>
              </w:tabs>
              <w:jc w:val="right"/>
              <w:rPr>
                <w:sz w:val="16"/>
                <w:szCs w:val="16"/>
              </w:rPr>
            </w:pPr>
            <w:r w:rsidRPr="00710F73">
              <w:rPr>
                <w:sz w:val="16"/>
                <w:szCs w:val="16"/>
              </w:rPr>
              <w:t>69.8%</w:t>
            </w:r>
          </w:p>
        </w:tc>
      </w:tr>
      <w:tr w:rsidRPr="00720B8B" w:rsidR="00710F73" w:rsidTr="00702569" w14:paraId="04054B3C"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42AD77BE" w14:textId="5A0119A4">
            <w:pPr>
              <w:jc w:val="right"/>
              <w:rPr>
                <w:sz w:val="16"/>
                <w:szCs w:val="16"/>
              </w:rPr>
            </w:pPr>
            <w:r w:rsidRPr="00710F73">
              <w:rPr>
                <w:color w:val="000000"/>
                <w:sz w:val="16"/>
                <w:szCs w:val="16"/>
              </w:rPr>
              <w:t>January 1, 2029</w:t>
            </w:r>
          </w:p>
        </w:tc>
        <w:tc>
          <w:tcPr>
            <w:tcW w:w="270" w:type="dxa"/>
            <w:tcBorders>
              <w:top w:val="nil"/>
              <w:left w:val="nil"/>
              <w:bottom w:val="nil"/>
              <w:right w:val="nil"/>
            </w:tcBorders>
            <w:shd w:val="clear" w:color="auto" w:fill="auto"/>
            <w:noWrap/>
            <w:vAlign w:val="bottom"/>
          </w:tcPr>
          <w:p w:rsidRPr="00710F73" w:rsidR="00710F73" w:rsidP="00710F73" w:rsidRDefault="00710F73" w14:paraId="13D7889F"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4EA0F202" w14:textId="2760329B">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0F71240D" w14:textId="0C04F29B">
            <w:pPr>
              <w:tabs>
                <w:tab w:val="decimal" w:pos="450"/>
              </w:tabs>
              <w:jc w:val="right"/>
              <w:rPr>
                <w:sz w:val="16"/>
                <w:szCs w:val="16"/>
              </w:rPr>
            </w:pPr>
            <w:r w:rsidRPr="00710F73">
              <w:rPr>
                <w:sz w:val="16"/>
                <w:szCs w:val="16"/>
              </w:rPr>
              <w:t>76.9%</w:t>
            </w:r>
          </w:p>
        </w:tc>
        <w:tc>
          <w:tcPr>
            <w:tcW w:w="1055" w:type="dxa"/>
            <w:tcBorders>
              <w:top w:val="nil"/>
              <w:left w:val="nil"/>
              <w:bottom w:val="nil"/>
              <w:right w:val="nil"/>
            </w:tcBorders>
            <w:shd w:val="clear" w:color="auto" w:fill="auto"/>
            <w:noWrap/>
          </w:tcPr>
          <w:p w:rsidRPr="00710F73" w:rsidR="00710F73" w:rsidP="00710F73" w:rsidRDefault="00710F73" w14:paraId="0280BABA" w14:textId="71CC81DC">
            <w:pPr>
              <w:tabs>
                <w:tab w:val="decimal" w:pos="361"/>
              </w:tabs>
              <w:jc w:val="right"/>
              <w:rPr>
                <w:sz w:val="16"/>
                <w:szCs w:val="16"/>
              </w:rPr>
            </w:pPr>
            <w:r w:rsidRPr="00710F73">
              <w:rPr>
                <w:sz w:val="16"/>
                <w:szCs w:val="16"/>
              </w:rPr>
              <w:t>54.4%</w:t>
            </w:r>
          </w:p>
        </w:tc>
        <w:tc>
          <w:tcPr>
            <w:tcW w:w="1128" w:type="dxa"/>
            <w:tcBorders>
              <w:top w:val="nil"/>
              <w:left w:val="nil"/>
              <w:bottom w:val="nil"/>
              <w:right w:val="nil"/>
            </w:tcBorders>
            <w:shd w:val="clear" w:color="auto" w:fill="auto"/>
            <w:noWrap/>
          </w:tcPr>
          <w:p w:rsidRPr="00710F73" w:rsidR="00710F73" w:rsidP="00710F73" w:rsidRDefault="00710F73" w14:paraId="1F88274C" w14:textId="60604A02">
            <w:pPr>
              <w:tabs>
                <w:tab w:val="decimal" w:pos="355"/>
              </w:tabs>
              <w:jc w:val="right"/>
              <w:rPr>
                <w:sz w:val="16"/>
                <w:szCs w:val="16"/>
              </w:rPr>
            </w:pPr>
            <w:r w:rsidRPr="00710F73">
              <w:rPr>
                <w:sz w:val="16"/>
                <w:szCs w:val="16"/>
              </w:rPr>
              <w:t>54.4%</w:t>
            </w:r>
          </w:p>
        </w:tc>
        <w:tc>
          <w:tcPr>
            <w:tcW w:w="1080" w:type="dxa"/>
            <w:tcBorders>
              <w:top w:val="nil"/>
              <w:left w:val="nil"/>
              <w:bottom w:val="nil"/>
              <w:right w:val="nil"/>
            </w:tcBorders>
            <w:shd w:val="clear" w:color="auto" w:fill="auto"/>
            <w:noWrap/>
          </w:tcPr>
          <w:p w:rsidRPr="00710F73" w:rsidR="00710F73" w:rsidP="00710F73" w:rsidRDefault="00710F73" w14:paraId="45584B27" w14:textId="5F9A9CDD">
            <w:pPr>
              <w:tabs>
                <w:tab w:val="decimal" w:pos="361"/>
              </w:tabs>
              <w:jc w:val="right"/>
              <w:rPr>
                <w:sz w:val="16"/>
                <w:szCs w:val="16"/>
              </w:rPr>
            </w:pPr>
            <w:r w:rsidRPr="00710F73">
              <w:rPr>
                <w:sz w:val="16"/>
                <w:szCs w:val="16"/>
              </w:rPr>
              <w:t>54.4%</w:t>
            </w:r>
          </w:p>
        </w:tc>
        <w:tc>
          <w:tcPr>
            <w:tcW w:w="1170" w:type="dxa"/>
            <w:tcBorders>
              <w:top w:val="nil"/>
              <w:left w:val="nil"/>
              <w:bottom w:val="nil"/>
              <w:right w:val="nil"/>
            </w:tcBorders>
            <w:shd w:val="clear" w:color="auto" w:fill="auto"/>
            <w:noWrap/>
          </w:tcPr>
          <w:p w:rsidRPr="00710F73" w:rsidR="00710F73" w:rsidP="00710F73" w:rsidRDefault="00710F73" w14:paraId="6747FF04" w14:textId="6C58156B">
            <w:pPr>
              <w:tabs>
                <w:tab w:val="decimal" w:pos="428"/>
              </w:tabs>
              <w:jc w:val="right"/>
              <w:rPr>
                <w:sz w:val="16"/>
                <w:szCs w:val="16"/>
              </w:rPr>
            </w:pPr>
            <w:r w:rsidRPr="00710F73">
              <w:rPr>
                <w:sz w:val="16"/>
                <w:szCs w:val="16"/>
              </w:rPr>
              <w:t>54.4%</w:t>
            </w:r>
          </w:p>
        </w:tc>
        <w:tc>
          <w:tcPr>
            <w:tcW w:w="1080" w:type="dxa"/>
            <w:tcBorders>
              <w:top w:val="nil"/>
              <w:left w:val="nil"/>
              <w:bottom w:val="nil"/>
              <w:right w:val="nil"/>
            </w:tcBorders>
            <w:shd w:val="clear" w:color="auto" w:fill="auto"/>
            <w:noWrap/>
          </w:tcPr>
          <w:p w:rsidRPr="00710F73" w:rsidR="00710F73" w:rsidP="00710F73" w:rsidRDefault="00710F73" w14:paraId="500F3337" w14:textId="034E7E1C">
            <w:pPr>
              <w:tabs>
                <w:tab w:val="decimal" w:pos="366"/>
              </w:tabs>
              <w:jc w:val="right"/>
              <w:rPr>
                <w:sz w:val="16"/>
                <w:szCs w:val="16"/>
              </w:rPr>
            </w:pPr>
            <w:r w:rsidRPr="00710F73">
              <w:rPr>
                <w:sz w:val="16"/>
                <w:szCs w:val="16"/>
              </w:rPr>
              <w:t>54.4%</w:t>
            </w:r>
          </w:p>
        </w:tc>
        <w:tc>
          <w:tcPr>
            <w:tcW w:w="1080" w:type="dxa"/>
            <w:tcBorders>
              <w:top w:val="nil"/>
              <w:left w:val="nil"/>
              <w:bottom w:val="nil"/>
              <w:right w:val="nil"/>
            </w:tcBorders>
            <w:shd w:val="clear" w:color="auto" w:fill="auto"/>
            <w:noWrap/>
          </w:tcPr>
          <w:p w:rsidRPr="00710F73" w:rsidR="00710F73" w:rsidP="00710F73" w:rsidRDefault="00710F73" w14:paraId="722C9AFF" w14:textId="00AE6851">
            <w:pPr>
              <w:tabs>
                <w:tab w:val="decimal" w:pos="363"/>
              </w:tabs>
              <w:jc w:val="right"/>
              <w:rPr>
                <w:sz w:val="16"/>
                <w:szCs w:val="16"/>
              </w:rPr>
            </w:pPr>
            <w:r w:rsidRPr="00710F73">
              <w:rPr>
                <w:sz w:val="16"/>
                <w:szCs w:val="16"/>
              </w:rPr>
              <w:t>54.4%</w:t>
            </w:r>
          </w:p>
        </w:tc>
        <w:tc>
          <w:tcPr>
            <w:tcW w:w="1080" w:type="dxa"/>
            <w:tcBorders>
              <w:top w:val="nil"/>
              <w:left w:val="nil"/>
              <w:bottom w:val="nil"/>
              <w:right w:val="nil"/>
            </w:tcBorders>
            <w:shd w:val="clear" w:color="auto" w:fill="auto"/>
            <w:noWrap/>
          </w:tcPr>
          <w:p w:rsidRPr="00710F73" w:rsidR="00710F73" w:rsidP="00710F73" w:rsidRDefault="00710F73" w14:paraId="3443168F" w14:textId="08EFBBBB">
            <w:pPr>
              <w:tabs>
                <w:tab w:val="decimal" w:pos="353"/>
              </w:tabs>
              <w:jc w:val="right"/>
              <w:rPr>
                <w:sz w:val="16"/>
                <w:szCs w:val="16"/>
              </w:rPr>
            </w:pPr>
            <w:r w:rsidRPr="00710F73">
              <w:rPr>
                <w:sz w:val="16"/>
                <w:szCs w:val="16"/>
              </w:rPr>
              <w:t>54.4%</w:t>
            </w:r>
          </w:p>
        </w:tc>
        <w:tc>
          <w:tcPr>
            <w:tcW w:w="1199" w:type="dxa"/>
            <w:tcBorders>
              <w:top w:val="nil"/>
              <w:left w:val="nil"/>
              <w:bottom w:val="nil"/>
              <w:right w:val="nil"/>
            </w:tcBorders>
            <w:shd w:val="clear" w:color="auto" w:fill="auto"/>
            <w:noWrap/>
          </w:tcPr>
          <w:p w:rsidRPr="00710F73" w:rsidR="00710F73" w:rsidP="00710F73" w:rsidRDefault="00710F73" w14:paraId="0CC53169" w14:textId="098442E2">
            <w:pPr>
              <w:tabs>
                <w:tab w:val="decimal" w:pos="363"/>
              </w:tabs>
              <w:jc w:val="right"/>
              <w:rPr>
                <w:sz w:val="16"/>
                <w:szCs w:val="16"/>
              </w:rPr>
            </w:pPr>
            <w:r w:rsidRPr="00710F73">
              <w:rPr>
                <w:sz w:val="16"/>
                <w:szCs w:val="16"/>
              </w:rPr>
              <w:t>54.4%</w:t>
            </w:r>
          </w:p>
        </w:tc>
      </w:tr>
      <w:tr w:rsidRPr="00720B8B" w:rsidR="00710F73" w:rsidTr="00702569" w14:paraId="3089E9F6"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5A23F837" w14:textId="3F39C90B">
            <w:pPr>
              <w:jc w:val="right"/>
              <w:rPr>
                <w:sz w:val="16"/>
                <w:szCs w:val="16"/>
              </w:rPr>
            </w:pPr>
            <w:r w:rsidRPr="00710F73">
              <w:rPr>
                <w:color w:val="000000"/>
                <w:sz w:val="16"/>
                <w:szCs w:val="16"/>
              </w:rPr>
              <w:t>January 1, 2030</w:t>
            </w:r>
          </w:p>
        </w:tc>
        <w:tc>
          <w:tcPr>
            <w:tcW w:w="270" w:type="dxa"/>
            <w:tcBorders>
              <w:top w:val="nil"/>
              <w:left w:val="nil"/>
              <w:bottom w:val="nil"/>
              <w:right w:val="nil"/>
            </w:tcBorders>
            <w:shd w:val="clear" w:color="auto" w:fill="auto"/>
            <w:noWrap/>
            <w:vAlign w:val="bottom"/>
          </w:tcPr>
          <w:p w:rsidRPr="00710F73" w:rsidR="00710F73" w:rsidP="00710F73" w:rsidRDefault="00710F73" w14:paraId="30F63165"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6FD1BA3E" w14:textId="59E3E4DD">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5BE2D276" w14:textId="3DC26EB1">
            <w:pPr>
              <w:tabs>
                <w:tab w:val="decimal" w:pos="450"/>
              </w:tabs>
              <w:jc w:val="right"/>
              <w:rPr>
                <w:sz w:val="16"/>
                <w:szCs w:val="16"/>
              </w:rPr>
            </w:pPr>
            <w:r w:rsidRPr="00710F73">
              <w:rPr>
                <w:sz w:val="16"/>
                <w:szCs w:val="16"/>
              </w:rPr>
              <w:t>69.4%</w:t>
            </w:r>
          </w:p>
        </w:tc>
        <w:tc>
          <w:tcPr>
            <w:tcW w:w="1055" w:type="dxa"/>
            <w:tcBorders>
              <w:top w:val="nil"/>
              <w:left w:val="nil"/>
              <w:bottom w:val="nil"/>
              <w:right w:val="nil"/>
            </w:tcBorders>
            <w:shd w:val="clear" w:color="auto" w:fill="auto"/>
            <w:noWrap/>
          </w:tcPr>
          <w:p w:rsidRPr="00710F73" w:rsidR="00710F73" w:rsidP="00710F73" w:rsidRDefault="00710F73" w14:paraId="27B0CF1D" w14:textId="6C86E8D9">
            <w:pPr>
              <w:tabs>
                <w:tab w:val="decimal" w:pos="361"/>
              </w:tabs>
              <w:jc w:val="right"/>
              <w:rPr>
                <w:sz w:val="16"/>
                <w:szCs w:val="16"/>
              </w:rPr>
            </w:pPr>
            <w:r w:rsidRPr="00710F73">
              <w:rPr>
                <w:sz w:val="16"/>
                <w:szCs w:val="16"/>
              </w:rPr>
              <w:t>40.0%</w:t>
            </w:r>
          </w:p>
        </w:tc>
        <w:tc>
          <w:tcPr>
            <w:tcW w:w="1128" w:type="dxa"/>
            <w:tcBorders>
              <w:top w:val="nil"/>
              <w:left w:val="nil"/>
              <w:bottom w:val="nil"/>
              <w:right w:val="nil"/>
            </w:tcBorders>
            <w:shd w:val="clear" w:color="auto" w:fill="auto"/>
            <w:noWrap/>
          </w:tcPr>
          <w:p w:rsidRPr="00710F73" w:rsidR="00710F73" w:rsidP="00710F73" w:rsidRDefault="00710F73" w14:paraId="450641A2" w14:textId="2424DD09">
            <w:pPr>
              <w:tabs>
                <w:tab w:val="decimal" w:pos="355"/>
              </w:tabs>
              <w:jc w:val="right"/>
              <w:rPr>
                <w:sz w:val="16"/>
                <w:szCs w:val="16"/>
              </w:rPr>
            </w:pPr>
            <w:r w:rsidRPr="00710F73">
              <w:rPr>
                <w:sz w:val="16"/>
                <w:szCs w:val="16"/>
              </w:rPr>
              <w:t>40.0%</w:t>
            </w:r>
          </w:p>
        </w:tc>
        <w:tc>
          <w:tcPr>
            <w:tcW w:w="1080" w:type="dxa"/>
            <w:tcBorders>
              <w:top w:val="nil"/>
              <w:left w:val="nil"/>
              <w:bottom w:val="nil"/>
              <w:right w:val="nil"/>
            </w:tcBorders>
            <w:shd w:val="clear" w:color="auto" w:fill="auto"/>
            <w:noWrap/>
          </w:tcPr>
          <w:p w:rsidRPr="00710F73" w:rsidR="00710F73" w:rsidP="00710F73" w:rsidRDefault="00710F73" w14:paraId="1C10C33D" w14:textId="0245999F">
            <w:pPr>
              <w:tabs>
                <w:tab w:val="decimal" w:pos="361"/>
              </w:tabs>
              <w:jc w:val="right"/>
              <w:rPr>
                <w:sz w:val="16"/>
                <w:szCs w:val="16"/>
              </w:rPr>
            </w:pPr>
            <w:r w:rsidRPr="00710F73">
              <w:rPr>
                <w:sz w:val="16"/>
                <w:szCs w:val="16"/>
              </w:rPr>
              <w:t>40.0%</w:t>
            </w:r>
          </w:p>
        </w:tc>
        <w:tc>
          <w:tcPr>
            <w:tcW w:w="1170" w:type="dxa"/>
            <w:tcBorders>
              <w:top w:val="nil"/>
              <w:left w:val="nil"/>
              <w:bottom w:val="nil"/>
              <w:right w:val="nil"/>
            </w:tcBorders>
            <w:shd w:val="clear" w:color="auto" w:fill="auto"/>
            <w:noWrap/>
          </w:tcPr>
          <w:p w:rsidRPr="00710F73" w:rsidR="00710F73" w:rsidP="00710F73" w:rsidRDefault="00710F73" w14:paraId="4A1EB767" w14:textId="333056A8">
            <w:pPr>
              <w:tabs>
                <w:tab w:val="decimal" w:pos="428"/>
              </w:tabs>
              <w:jc w:val="right"/>
              <w:rPr>
                <w:sz w:val="16"/>
                <w:szCs w:val="16"/>
              </w:rPr>
            </w:pPr>
            <w:r w:rsidRPr="00710F73">
              <w:rPr>
                <w:sz w:val="16"/>
                <w:szCs w:val="16"/>
              </w:rPr>
              <w:t>40.0%</w:t>
            </w:r>
          </w:p>
        </w:tc>
        <w:tc>
          <w:tcPr>
            <w:tcW w:w="1080" w:type="dxa"/>
            <w:tcBorders>
              <w:top w:val="nil"/>
              <w:left w:val="nil"/>
              <w:bottom w:val="nil"/>
              <w:right w:val="nil"/>
            </w:tcBorders>
            <w:shd w:val="clear" w:color="auto" w:fill="auto"/>
            <w:noWrap/>
          </w:tcPr>
          <w:p w:rsidRPr="00710F73" w:rsidR="00710F73" w:rsidP="00710F73" w:rsidRDefault="00710F73" w14:paraId="176EC5C2" w14:textId="26A77872">
            <w:pPr>
              <w:tabs>
                <w:tab w:val="decimal" w:pos="366"/>
              </w:tabs>
              <w:jc w:val="right"/>
              <w:rPr>
                <w:sz w:val="16"/>
                <w:szCs w:val="16"/>
              </w:rPr>
            </w:pPr>
            <w:r w:rsidRPr="00710F73">
              <w:rPr>
                <w:sz w:val="16"/>
                <w:szCs w:val="16"/>
              </w:rPr>
              <w:t>40.0%</w:t>
            </w:r>
          </w:p>
        </w:tc>
        <w:tc>
          <w:tcPr>
            <w:tcW w:w="1080" w:type="dxa"/>
            <w:tcBorders>
              <w:top w:val="nil"/>
              <w:left w:val="nil"/>
              <w:bottom w:val="nil"/>
              <w:right w:val="nil"/>
            </w:tcBorders>
            <w:shd w:val="clear" w:color="auto" w:fill="auto"/>
            <w:noWrap/>
          </w:tcPr>
          <w:p w:rsidRPr="00710F73" w:rsidR="00710F73" w:rsidP="00710F73" w:rsidRDefault="00710F73" w14:paraId="0FA56711" w14:textId="6843FFCA">
            <w:pPr>
              <w:tabs>
                <w:tab w:val="decimal" w:pos="363"/>
              </w:tabs>
              <w:jc w:val="right"/>
              <w:rPr>
                <w:sz w:val="16"/>
                <w:szCs w:val="16"/>
              </w:rPr>
            </w:pPr>
            <w:r w:rsidRPr="00710F73">
              <w:rPr>
                <w:sz w:val="16"/>
                <w:szCs w:val="16"/>
              </w:rPr>
              <w:t>40.0%</w:t>
            </w:r>
          </w:p>
        </w:tc>
        <w:tc>
          <w:tcPr>
            <w:tcW w:w="1080" w:type="dxa"/>
            <w:tcBorders>
              <w:top w:val="nil"/>
              <w:left w:val="nil"/>
              <w:bottom w:val="nil"/>
              <w:right w:val="nil"/>
            </w:tcBorders>
            <w:shd w:val="clear" w:color="auto" w:fill="auto"/>
            <w:noWrap/>
          </w:tcPr>
          <w:p w:rsidRPr="00710F73" w:rsidR="00710F73" w:rsidP="00710F73" w:rsidRDefault="00710F73" w14:paraId="576FA482" w14:textId="32CEE412">
            <w:pPr>
              <w:tabs>
                <w:tab w:val="decimal" w:pos="353"/>
              </w:tabs>
              <w:jc w:val="right"/>
              <w:rPr>
                <w:sz w:val="16"/>
                <w:szCs w:val="16"/>
              </w:rPr>
            </w:pPr>
            <w:r w:rsidRPr="00710F73">
              <w:rPr>
                <w:sz w:val="16"/>
                <w:szCs w:val="16"/>
              </w:rPr>
              <w:t>40.0%</w:t>
            </w:r>
          </w:p>
        </w:tc>
        <w:tc>
          <w:tcPr>
            <w:tcW w:w="1199" w:type="dxa"/>
            <w:tcBorders>
              <w:top w:val="nil"/>
              <w:left w:val="nil"/>
              <w:bottom w:val="nil"/>
              <w:right w:val="nil"/>
            </w:tcBorders>
            <w:shd w:val="clear" w:color="auto" w:fill="auto"/>
            <w:noWrap/>
          </w:tcPr>
          <w:p w:rsidRPr="00710F73" w:rsidR="00710F73" w:rsidP="00710F73" w:rsidRDefault="00710F73" w14:paraId="7106E4F1" w14:textId="7D6819BE">
            <w:pPr>
              <w:tabs>
                <w:tab w:val="decimal" w:pos="363"/>
              </w:tabs>
              <w:jc w:val="right"/>
              <w:rPr>
                <w:sz w:val="16"/>
                <w:szCs w:val="16"/>
              </w:rPr>
            </w:pPr>
            <w:r w:rsidRPr="00710F73">
              <w:rPr>
                <w:sz w:val="16"/>
                <w:szCs w:val="16"/>
              </w:rPr>
              <w:t>40.0%</w:t>
            </w:r>
          </w:p>
        </w:tc>
      </w:tr>
      <w:tr w:rsidRPr="00720B8B" w:rsidR="00710F73" w:rsidTr="00702569" w14:paraId="5A3FD778"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35E15850" w14:textId="196CB779">
            <w:pPr>
              <w:jc w:val="right"/>
              <w:rPr>
                <w:sz w:val="16"/>
                <w:szCs w:val="16"/>
              </w:rPr>
            </w:pPr>
            <w:r w:rsidRPr="00710F73">
              <w:rPr>
                <w:color w:val="000000"/>
                <w:sz w:val="16"/>
                <w:szCs w:val="16"/>
              </w:rPr>
              <w:t>January 1, 2031</w:t>
            </w:r>
          </w:p>
        </w:tc>
        <w:tc>
          <w:tcPr>
            <w:tcW w:w="270" w:type="dxa"/>
            <w:tcBorders>
              <w:top w:val="nil"/>
              <w:left w:val="nil"/>
              <w:bottom w:val="nil"/>
              <w:right w:val="nil"/>
            </w:tcBorders>
            <w:shd w:val="clear" w:color="auto" w:fill="auto"/>
            <w:noWrap/>
            <w:vAlign w:val="bottom"/>
          </w:tcPr>
          <w:p w:rsidRPr="00710F73" w:rsidR="00710F73" w:rsidP="00710F73" w:rsidRDefault="00710F73" w14:paraId="2105B5A7"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7316912B" w14:textId="4C5F98BF">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43CC2617" w14:textId="1157A748">
            <w:pPr>
              <w:tabs>
                <w:tab w:val="decimal" w:pos="450"/>
              </w:tabs>
              <w:jc w:val="right"/>
              <w:rPr>
                <w:sz w:val="16"/>
                <w:szCs w:val="16"/>
              </w:rPr>
            </w:pPr>
            <w:r w:rsidRPr="00710F73">
              <w:rPr>
                <w:sz w:val="16"/>
                <w:szCs w:val="16"/>
              </w:rPr>
              <w:t>62.3%</w:t>
            </w:r>
          </w:p>
        </w:tc>
        <w:tc>
          <w:tcPr>
            <w:tcW w:w="1055" w:type="dxa"/>
            <w:tcBorders>
              <w:top w:val="nil"/>
              <w:left w:val="nil"/>
              <w:bottom w:val="nil"/>
              <w:right w:val="nil"/>
            </w:tcBorders>
            <w:shd w:val="clear" w:color="auto" w:fill="auto"/>
            <w:noWrap/>
          </w:tcPr>
          <w:p w:rsidRPr="00710F73" w:rsidR="00710F73" w:rsidP="00710F73" w:rsidRDefault="00710F73" w14:paraId="09DE29C9" w14:textId="5F71FCD4">
            <w:pPr>
              <w:tabs>
                <w:tab w:val="decimal" w:pos="361"/>
              </w:tabs>
              <w:jc w:val="right"/>
              <w:rPr>
                <w:sz w:val="16"/>
                <w:szCs w:val="16"/>
              </w:rPr>
            </w:pPr>
            <w:r w:rsidRPr="00710F73">
              <w:rPr>
                <w:sz w:val="16"/>
                <w:szCs w:val="16"/>
              </w:rPr>
              <w:t>26.5%</w:t>
            </w:r>
          </w:p>
        </w:tc>
        <w:tc>
          <w:tcPr>
            <w:tcW w:w="1128" w:type="dxa"/>
            <w:tcBorders>
              <w:top w:val="nil"/>
              <w:left w:val="nil"/>
              <w:bottom w:val="nil"/>
              <w:right w:val="nil"/>
            </w:tcBorders>
            <w:shd w:val="clear" w:color="auto" w:fill="auto"/>
            <w:noWrap/>
          </w:tcPr>
          <w:p w:rsidRPr="00710F73" w:rsidR="00710F73" w:rsidP="00710F73" w:rsidRDefault="00710F73" w14:paraId="2AF5A6F0" w14:textId="37560EBB">
            <w:pPr>
              <w:tabs>
                <w:tab w:val="decimal" w:pos="355"/>
              </w:tabs>
              <w:jc w:val="right"/>
              <w:rPr>
                <w:sz w:val="16"/>
                <w:szCs w:val="16"/>
              </w:rPr>
            </w:pPr>
            <w:r w:rsidRPr="00710F73">
              <w:rPr>
                <w:sz w:val="16"/>
                <w:szCs w:val="16"/>
              </w:rPr>
              <w:t>26.5%</w:t>
            </w:r>
          </w:p>
        </w:tc>
        <w:tc>
          <w:tcPr>
            <w:tcW w:w="1080" w:type="dxa"/>
            <w:tcBorders>
              <w:top w:val="nil"/>
              <w:left w:val="nil"/>
              <w:bottom w:val="nil"/>
              <w:right w:val="nil"/>
            </w:tcBorders>
            <w:shd w:val="clear" w:color="auto" w:fill="auto"/>
            <w:noWrap/>
          </w:tcPr>
          <w:p w:rsidRPr="00710F73" w:rsidR="00710F73" w:rsidP="00710F73" w:rsidRDefault="00710F73" w14:paraId="2D121164" w14:textId="72F9AD28">
            <w:pPr>
              <w:tabs>
                <w:tab w:val="decimal" w:pos="361"/>
              </w:tabs>
              <w:jc w:val="right"/>
              <w:rPr>
                <w:sz w:val="16"/>
                <w:szCs w:val="16"/>
              </w:rPr>
            </w:pPr>
            <w:r w:rsidRPr="00710F73">
              <w:rPr>
                <w:sz w:val="16"/>
                <w:szCs w:val="16"/>
              </w:rPr>
              <w:t>26.5%</w:t>
            </w:r>
          </w:p>
        </w:tc>
        <w:tc>
          <w:tcPr>
            <w:tcW w:w="1170" w:type="dxa"/>
            <w:tcBorders>
              <w:top w:val="nil"/>
              <w:left w:val="nil"/>
              <w:bottom w:val="nil"/>
              <w:right w:val="nil"/>
            </w:tcBorders>
            <w:shd w:val="clear" w:color="auto" w:fill="auto"/>
            <w:noWrap/>
          </w:tcPr>
          <w:p w:rsidRPr="00710F73" w:rsidR="00710F73" w:rsidP="00710F73" w:rsidRDefault="00710F73" w14:paraId="2931F8C1" w14:textId="6E96AF49">
            <w:pPr>
              <w:tabs>
                <w:tab w:val="decimal" w:pos="428"/>
              </w:tabs>
              <w:jc w:val="right"/>
              <w:rPr>
                <w:sz w:val="16"/>
                <w:szCs w:val="16"/>
              </w:rPr>
            </w:pPr>
            <w:r w:rsidRPr="00710F73">
              <w:rPr>
                <w:sz w:val="16"/>
                <w:szCs w:val="16"/>
              </w:rPr>
              <w:t>26.5%</w:t>
            </w:r>
          </w:p>
        </w:tc>
        <w:tc>
          <w:tcPr>
            <w:tcW w:w="1080" w:type="dxa"/>
            <w:tcBorders>
              <w:top w:val="nil"/>
              <w:left w:val="nil"/>
              <w:bottom w:val="nil"/>
              <w:right w:val="nil"/>
            </w:tcBorders>
            <w:shd w:val="clear" w:color="auto" w:fill="auto"/>
            <w:noWrap/>
          </w:tcPr>
          <w:p w:rsidRPr="00710F73" w:rsidR="00710F73" w:rsidP="00710F73" w:rsidRDefault="00710F73" w14:paraId="7D20CC44" w14:textId="22F7B93C">
            <w:pPr>
              <w:tabs>
                <w:tab w:val="decimal" w:pos="366"/>
              </w:tabs>
              <w:jc w:val="right"/>
              <w:rPr>
                <w:sz w:val="16"/>
                <w:szCs w:val="16"/>
              </w:rPr>
            </w:pPr>
            <w:r w:rsidRPr="00710F73">
              <w:rPr>
                <w:sz w:val="16"/>
                <w:szCs w:val="16"/>
              </w:rPr>
              <w:t>26.5%</w:t>
            </w:r>
          </w:p>
        </w:tc>
        <w:tc>
          <w:tcPr>
            <w:tcW w:w="1080" w:type="dxa"/>
            <w:tcBorders>
              <w:top w:val="nil"/>
              <w:left w:val="nil"/>
              <w:bottom w:val="nil"/>
              <w:right w:val="nil"/>
            </w:tcBorders>
            <w:shd w:val="clear" w:color="auto" w:fill="auto"/>
            <w:noWrap/>
          </w:tcPr>
          <w:p w:rsidRPr="00710F73" w:rsidR="00710F73" w:rsidP="00710F73" w:rsidRDefault="00710F73" w14:paraId="6E4949D5" w14:textId="0C3C5B9C">
            <w:pPr>
              <w:tabs>
                <w:tab w:val="decimal" w:pos="363"/>
              </w:tabs>
              <w:jc w:val="right"/>
              <w:rPr>
                <w:sz w:val="16"/>
                <w:szCs w:val="16"/>
              </w:rPr>
            </w:pPr>
            <w:r w:rsidRPr="00710F73">
              <w:rPr>
                <w:sz w:val="16"/>
                <w:szCs w:val="16"/>
              </w:rPr>
              <w:t>26.5%</w:t>
            </w:r>
          </w:p>
        </w:tc>
        <w:tc>
          <w:tcPr>
            <w:tcW w:w="1080" w:type="dxa"/>
            <w:tcBorders>
              <w:top w:val="nil"/>
              <w:left w:val="nil"/>
              <w:bottom w:val="nil"/>
              <w:right w:val="nil"/>
            </w:tcBorders>
            <w:shd w:val="clear" w:color="auto" w:fill="auto"/>
            <w:noWrap/>
          </w:tcPr>
          <w:p w:rsidRPr="00710F73" w:rsidR="00710F73" w:rsidP="00710F73" w:rsidRDefault="00710F73" w14:paraId="0CA25769" w14:textId="62AC8F7B">
            <w:pPr>
              <w:tabs>
                <w:tab w:val="decimal" w:pos="353"/>
              </w:tabs>
              <w:jc w:val="right"/>
              <w:rPr>
                <w:sz w:val="16"/>
                <w:szCs w:val="16"/>
              </w:rPr>
            </w:pPr>
            <w:r w:rsidRPr="00710F73">
              <w:rPr>
                <w:sz w:val="16"/>
                <w:szCs w:val="16"/>
              </w:rPr>
              <w:t>26.5%</w:t>
            </w:r>
          </w:p>
        </w:tc>
        <w:tc>
          <w:tcPr>
            <w:tcW w:w="1199" w:type="dxa"/>
            <w:tcBorders>
              <w:top w:val="nil"/>
              <w:left w:val="nil"/>
              <w:bottom w:val="nil"/>
              <w:right w:val="nil"/>
            </w:tcBorders>
            <w:shd w:val="clear" w:color="auto" w:fill="auto"/>
            <w:noWrap/>
          </w:tcPr>
          <w:p w:rsidRPr="00710F73" w:rsidR="00710F73" w:rsidP="00710F73" w:rsidRDefault="00710F73" w14:paraId="4B000154" w14:textId="2F2B5395">
            <w:pPr>
              <w:tabs>
                <w:tab w:val="decimal" w:pos="363"/>
              </w:tabs>
              <w:jc w:val="right"/>
              <w:rPr>
                <w:sz w:val="16"/>
                <w:szCs w:val="16"/>
              </w:rPr>
            </w:pPr>
            <w:r w:rsidRPr="00710F73">
              <w:rPr>
                <w:sz w:val="16"/>
                <w:szCs w:val="16"/>
              </w:rPr>
              <w:t>26.5%</w:t>
            </w:r>
          </w:p>
        </w:tc>
      </w:tr>
      <w:tr w:rsidRPr="00720B8B" w:rsidR="00710F73" w:rsidTr="00702569" w14:paraId="476C673F"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5E39FC45" w14:textId="1F9C9AAB">
            <w:pPr>
              <w:jc w:val="right"/>
              <w:rPr>
                <w:sz w:val="16"/>
                <w:szCs w:val="16"/>
              </w:rPr>
            </w:pPr>
            <w:r w:rsidRPr="00710F73">
              <w:rPr>
                <w:color w:val="000000"/>
                <w:sz w:val="16"/>
                <w:szCs w:val="16"/>
              </w:rPr>
              <w:t>January 1, 2032</w:t>
            </w:r>
          </w:p>
        </w:tc>
        <w:tc>
          <w:tcPr>
            <w:tcW w:w="270" w:type="dxa"/>
            <w:tcBorders>
              <w:top w:val="nil"/>
              <w:left w:val="nil"/>
              <w:bottom w:val="nil"/>
              <w:right w:val="nil"/>
            </w:tcBorders>
            <w:shd w:val="clear" w:color="auto" w:fill="auto"/>
            <w:noWrap/>
            <w:vAlign w:val="bottom"/>
          </w:tcPr>
          <w:p w:rsidRPr="00710F73" w:rsidR="00710F73" w:rsidP="00710F73" w:rsidRDefault="00710F73" w14:paraId="718FCF8F"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351AA1C0" w14:textId="7FF17A44">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59BC25E1" w14:textId="23D46223">
            <w:pPr>
              <w:tabs>
                <w:tab w:val="decimal" w:pos="450"/>
              </w:tabs>
              <w:jc w:val="right"/>
              <w:rPr>
                <w:sz w:val="16"/>
                <w:szCs w:val="16"/>
              </w:rPr>
            </w:pPr>
            <w:r w:rsidRPr="00710F73">
              <w:rPr>
                <w:sz w:val="16"/>
                <w:szCs w:val="16"/>
              </w:rPr>
              <w:t>55.5%</w:t>
            </w:r>
          </w:p>
        </w:tc>
        <w:tc>
          <w:tcPr>
            <w:tcW w:w="1055" w:type="dxa"/>
            <w:tcBorders>
              <w:top w:val="nil"/>
              <w:left w:val="nil"/>
              <w:bottom w:val="nil"/>
              <w:right w:val="nil"/>
            </w:tcBorders>
            <w:shd w:val="clear" w:color="auto" w:fill="auto"/>
            <w:noWrap/>
          </w:tcPr>
          <w:p w:rsidRPr="00710F73" w:rsidR="00710F73" w:rsidP="00710F73" w:rsidRDefault="00710F73" w14:paraId="22060E7E" w14:textId="27D67782">
            <w:pPr>
              <w:tabs>
                <w:tab w:val="decimal" w:pos="361"/>
              </w:tabs>
              <w:jc w:val="right"/>
              <w:rPr>
                <w:sz w:val="16"/>
                <w:szCs w:val="16"/>
              </w:rPr>
            </w:pPr>
            <w:r w:rsidRPr="00710F73">
              <w:rPr>
                <w:sz w:val="16"/>
                <w:szCs w:val="16"/>
              </w:rPr>
              <w:t>14.0%</w:t>
            </w:r>
          </w:p>
        </w:tc>
        <w:tc>
          <w:tcPr>
            <w:tcW w:w="1128" w:type="dxa"/>
            <w:tcBorders>
              <w:top w:val="nil"/>
              <w:left w:val="nil"/>
              <w:bottom w:val="nil"/>
              <w:right w:val="nil"/>
            </w:tcBorders>
            <w:shd w:val="clear" w:color="auto" w:fill="auto"/>
            <w:noWrap/>
          </w:tcPr>
          <w:p w:rsidRPr="00710F73" w:rsidR="00710F73" w:rsidP="00710F73" w:rsidRDefault="00710F73" w14:paraId="5D66C4E0" w14:textId="25241675">
            <w:pPr>
              <w:tabs>
                <w:tab w:val="decimal" w:pos="355"/>
              </w:tabs>
              <w:jc w:val="right"/>
              <w:rPr>
                <w:sz w:val="16"/>
                <w:szCs w:val="16"/>
              </w:rPr>
            </w:pPr>
            <w:r w:rsidRPr="00710F73">
              <w:rPr>
                <w:sz w:val="16"/>
                <w:szCs w:val="16"/>
              </w:rPr>
              <w:t>14.0%</w:t>
            </w:r>
          </w:p>
        </w:tc>
        <w:tc>
          <w:tcPr>
            <w:tcW w:w="1080" w:type="dxa"/>
            <w:tcBorders>
              <w:top w:val="nil"/>
              <w:left w:val="nil"/>
              <w:bottom w:val="nil"/>
              <w:right w:val="nil"/>
            </w:tcBorders>
            <w:shd w:val="clear" w:color="auto" w:fill="auto"/>
            <w:noWrap/>
          </w:tcPr>
          <w:p w:rsidRPr="00710F73" w:rsidR="00710F73" w:rsidP="00710F73" w:rsidRDefault="00710F73" w14:paraId="4A9B9BB1" w14:textId="2DA4F444">
            <w:pPr>
              <w:tabs>
                <w:tab w:val="decimal" w:pos="361"/>
              </w:tabs>
              <w:jc w:val="right"/>
              <w:rPr>
                <w:sz w:val="16"/>
                <w:szCs w:val="16"/>
              </w:rPr>
            </w:pPr>
            <w:r w:rsidRPr="00710F73">
              <w:rPr>
                <w:sz w:val="16"/>
                <w:szCs w:val="16"/>
              </w:rPr>
              <w:t>14.0%</w:t>
            </w:r>
          </w:p>
        </w:tc>
        <w:tc>
          <w:tcPr>
            <w:tcW w:w="1170" w:type="dxa"/>
            <w:tcBorders>
              <w:top w:val="nil"/>
              <w:left w:val="nil"/>
              <w:bottom w:val="nil"/>
              <w:right w:val="nil"/>
            </w:tcBorders>
            <w:shd w:val="clear" w:color="auto" w:fill="auto"/>
            <w:noWrap/>
          </w:tcPr>
          <w:p w:rsidRPr="00710F73" w:rsidR="00710F73" w:rsidP="00710F73" w:rsidRDefault="00710F73" w14:paraId="4EB0B8BB" w14:textId="058A7FDE">
            <w:pPr>
              <w:tabs>
                <w:tab w:val="decimal" w:pos="428"/>
              </w:tabs>
              <w:jc w:val="right"/>
              <w:rPr>
                <w:sz w:val="16"/>
                <w:szCs w:val="16"/>
              </w:rPr>
            </w:pPr>
            <w:r w:rsidRPr="00710F73">
              <w:rPr>
                <w:sz w:val="16"/>
                <w:szCs w:val="16"/>
              </w:rPr>
              <w:t>14.0%</w:t>
            </w:r>
          </w:p>
        </w:tc>
        <w:tc>
          <w:tcPr>
            <w:tcW w:w="1080" w:type="dxa"/>
            <w:tcBorders>
              <w:top w:val="nil"/>
              <w:left w:val="nil"/>
              <w:bottom w:val="nil"/>
              <w:right w:val="nil"/>
            </w:tcBorders>
            <w:shd w:val="clear" w:color="auto" w:fill="auto"/>
            <w:noWrap/>
          </w:tcPr>
          <w:p w:rsidRPr="00710F73" w:rsidR="00710F73" w:rsidP="00710F73" w:rsidRDefault="00710F73" w14:paraId="6CABB932" w14:textId="25FEC45A">
            <w:pPr>
              <w:tabs>
                <w:tab w:val="decimal" w:pos="366"/>
              </w:tabs>
              <w:jc w:val="right"/>
              <w:rPr>
                <w:sz w:val="16"/>
                <w:szCs w:val="16"/>
              </w:rPr>
            </w:pPr>
            <w:r w:rsidRPr="00710F73">
              <w:rPr>
                <w:sz w:val="16"/>
                <w:szCs w:val="16"/>
              </w:rPr>
              <w:t>14.0%</w:t>
            </w:r>
          </w:p>
        </w:tc>
        <w:tc>
          <w:tcPr>
            <w:tcW w:w="1080" w:type="dxa"/>
            <w:tcBorders>
              <w:top w:val="nil"/>
              <w:left w:val="nil"/>
              <w:bottom w:val="nil"/>
              <w:right w:val="nil"/>
            </w:tcBorders>
            <w:shd w:val="clear" w:color="auto" w:fill="auto"/>
            <w:noWrap/>
          </w:tcPr>
          <w:p w:rsidRPr="00710F73" w:rsidR="00710F73" w:rsidP="00710F73" w:rsidRDefault="00710F73" w14:paraId="12EC9626" w14:textId="04047D84">
            <w:pPr>
              <w:tabs>
                <w:tab w:val="decimal" w:pos="363"/>
              </w:tabs>
              <w:jc w:val="right"/>
              <w:rPr>
                <w:sz w:val="16"/>
                <w:szCs w:val="16"/>
              </w:rPr>
            </w:pPr>
            <w:r w:rsidRPr="00710F73">
              <w:rPr>
                <w:sz w:val="16"/>
                <w:szCs w:val="16"/>
              </w:rPr>
              <w:t>14.0%</w:t>
            </w:r>
          </w:p>
        </w:tc>
        <w:tc>
          <w:tcPr>
            <w:tcW w:w="1080" w:type="dxa"/>
            <w:tcBorders>
              <w:top w:val="nil"/>
              <w:left w:val="nil"/>
              <w:bottom w:val="nil"/>
              <w:right w:val="nil"/>
            </w:tcBorders>
            <w:shd w:val="clear" w:color="auto" w:fill="auto"/>
            <w:noWrap/>
          </w:tcPr>
          <w:p w:rsidRPr="00710F73" w:rsidR="00710F73" w:rsidP="00710F73" w:rsidRDefault="00710F73" w14:paraId="1948E156" w14:textId="014BF509">
            <w:pPr>
              <w:tabs>
                <w:tab w:val="decimal" w:pos="353"/>
              </w:tabs>
              <w:jc w:val="right"/>
              <w:rPr>
                <w:sz w:val="16"/>
                <w:szCs w:val="16"/>
              </w:rPr>
            </w:pPr>
            <w:r w:rsidRPr="00710F73">
              <w:rPr>
                <w:sz w:val="16"/>
                <w:szCs w:val="16"/>
              </w:rPr>
              <w:t>14.0%</w:t>
            </w:r>
          </w:p>
        </w:tc>
        <w:tc>
          <w:tcPr>
            <w:tcW w:w="1199" w:type="dxa"/>
            <w:tcBorders>
              <w:top w:val="nil"/>
              <w:left w:val="nil"/>
              <w:bottom w:val="nil"/>
              <w:right w:val="nil"/>
            </w:tcBorders>
            <w:shd w:val="clear" w:color="auto" w:fill="auto"/>
            <w:noWrap/>
          </w:tcPr>
          <w:p w:rsidRPr="00710F73" w:rsidR="00710F73" w:rsidP="00710F73" w:rsidRDefault="00710F73" w14:paraId="1BF95631" w14:textId="6925A355">
            <w:pPr>
              <w:tabs>
                <w:tab w:val="decimal" w:pos="363"/>
              </w:tabs>
              <w:jc w:val="right"/>
              <w:rPr>
                <w:sz w:val="16"/>
                <w:szCs w:val="16"/>
              </w:rPr>
            </w:pPr>
            <w:r w:rsidRPr="00710F73">
              <w:rPr>
                <w:sz w:val="16"/>
                <w:szCs w:val="16"/>
              </w:rPr>
              <w:t>14.0%</w:t>
            </w:r>
          </w:p>
        </w:tc>
      </w:tr>
      <w:tr w:rsidRPr="00720B8B" w:rsidR="00710F73" w:rsidTr="00702569" w14:paraId="5E64D2AE"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24C1C6BD" w14:textId="38A3CF17">
            <w:pPr>
              <w:jc w:val="right"/>
              <w:rPr>
                <w:sz w:val="16"/>
                <w:szCs w:val="16"/>
              </w:rPr>
            </w:pPr>
            <w:r w:rsidRPr="00710F73">
              <w:rPr>
                <w:color w:val="000000"/>
                <w:sz w:val="16"/>
                <w:szCs w:val="16"/>
              </w:rPr>
              <w:t>January 1, 2033</w:t>
            </w:r>
          </w:p>
        </w:tc>
        <w:tc>
          <w:tcPr>
            <w:tcW w:w="270" w:type="dxa"/>
            <w:tcBorders>
              <w:top w:val="nil"/>
              <w:left w:val="nil"/>
              <w:bottom w:val="nil"/>
              <w:right w:val="nil"/>
            </w:tcBorders>
            <w:shd w:val="clear" w:color="auto" w:fill="auto"/>
            <w:noWrap/>
            <w:vAlign w:val="bottom"/>
          </w:tcPr>
          <w:p w:rsidRPr="00710F73" w:rsidR="00710F73" w:rsidP="00710F73" w:rsidRDefault="00710F73" w14:paraId="38F1F4E3"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354C7318" w14:textId="316878FD">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50E83643" w14:textId="77533BA1">
            <w:pPr>
              <w:tabs>
                <w:tab w:val="decimal" w:pos="450"/>
              </w:tabs>
              <w:jc w:val="right"/>
              <w:rPr>
                <w:sz w:val="16"/>
                <w:szCs w:val="16"/>
              </w:rPr>
            </w:pPr>
            <w:r w:rsidRPr="00710F73">
              <w:rPr>
                <w:sz w:val="16"/>
                <w:szCs w:val="16"/>
              </w:rPr>
              <w:t>49.2%</w:t>
            </w:r>
          </w:p>
        </w:tc>
        <w:tc>
          <w:tcPr>
            <w:tcW w:w="1055" w:type="dxa"/>
            <w:tcBorders>
              <w:top w:val="nil"/>
              <w:left w:val="nil"/>
              <w:bottom w:val="nil"/>
              <w:right w:val="nil"/>
            </w:tcBorders>
            <w:shd w:val="clear" w:color="auto" w:fill="auto"/>
            <w:noWrap/>
          </w:tcPr>
          <w:p w:rsidRPr="00710F73" w:rsidR="00710F73" w:rsidP="00710F73" w:rsidRDefault="00710F73" w14:paraId="77767A4F" w14:textId="2007A52C">
            <w:pPr>
              <w:tabs>
                <w:tab w:val="decimal" w:pos="361"/>
              </w:tabs>
              <w:jc w:val="right"/>
              <w:rPr>
                <w:sz w:val="16"/>
                <w:szCs w:val="16"/>
              </w:rPr>
            </w:pPr>
            <w:r w:rsidRPr="00710F73">
              <w:rPr>
                <w:sz w:val="16"/>
                <w:szCs w:val="16"/>
              </w:rPr>
              <w:t>2.5%</w:t>
            </w:r>
          </w:p>
        </w:tc>
        <w:tc>
          <w:tcPr>
            <w:tcW w:w="1128" w:type="dxa"/>
            <w:tcBorders>
              <w:top w:val="nil"/>
              <w:left w:val="nil"/>
              <w:bottom w:val="nil"/>
              <w:right w:val="nil"/>
            </w:tcBorders>
            <w:shd w:val="clear" w:color="auto" w:fill="auto"/>
            <w:noWrap/>
          </w:tcPr>
          <w:p w:rsidRPr="00710F73" w:rsidR="00710F73" w:rsidP="00710F73" w:rsidRDefault="00710F73" w14:paraId="173F1DF7" w14:textId="391372FD">
            <w:pPr>
              <w:tabs>
                <w:tab w:val="decimal" w:pos="355"/>
              </w:tabs>
              <w:jc w:val="right"/>
              <w:rPr>
                <w:sz w:val="16"/>
                <w:szCs w:val="16"/>
              </w:rPr>
            </w:pPr>
            <w:r w:rsidRPr="00710F73">
              <w:rPr>
                <w:sz w:val="16"/>
                <w:szCs w:val="16"/>
              </w:rPr>
              <w:t>2.5%</w:t>
            </w:r>
          </w:p>
        </w:tc>
        <w:tc>
          <w:tcPr>
            <w:tcW w:w="1080" w:type="dxa"/>
            <w:tcBorders>
              <w:top w:val="nil"/>
              <w:left w:val="nil"/>
              <w:bottom w:val="nil"/>
              <w:right w:val="nil"/>
            </w:tcBorders>
            <w:shd w:val="clear" w:color="auto" w:fill="auto"/>
            <w:noWrap/>
          </w:tcPr>
          <w:p w:rsidRPr="00710F73" w:rsidR="00710F73" w:rsidP="00710F73" w:rsidRDefault="00710F73" w14:paraId="6B6D4A8B" w14:textId="400C0423">
            <w:pPr>
              <w:tabs>
                <w:tab w:val="decimal" w:pos="361"/>
              </w:tabs>
              <w:jc w:val="right"/>
              <w:rPr>
                <w:sz w:val="16"/>
                <w:szCs w:val="16"/>
              </w:rPr>
            </w:pPr>
            <w:r w:rsidRPr="00710F73">
              <w:rPr>
                <w:sz w:val="16"/>
                <w:szCs w:val="16"/>
              </w:rPr>
              <w:t>2.5%</w:t>
            </w:r>
          </w:p>
        </w:tc>
        <w:tc>
          <w:tcPr>
            <w:tcW w:w="1170" w:type="dxa"/>
            <w:tcBorders>
              <w:top w:val="nil"/>
              <w:left w:val="nil"/>
              <w:bottom w:val="nil"/>
              <w:right w:val="nil"/>
            </w:tcBorders>
            <w:shd w:val="clear" w:color="auto" w:fill="auto"/>
            <w:noWrap/>
          </w:tcPr>
          <w:p w:rsidRPr="00710F73" w:rsidR="00710F73" w:rsidP="00710F73" w:rsidRDefault="00710F73" w14:paraId="5AD1B114" w14:textId="4368E39D">
            <w:pPr>
              <w:tabs>
                <w:tab w:val="decimal" w:pos="428"/>
              </w:tabs>
              <w:jc w:val="right"/>
              <w:rPr>
                <w:sz w:val="16"/>
                <w:szCs w:val="16"/>
              </w:rPr>
            </w:pPr>
            <w:r w:rsidRPr="00710F73">
              <w:rPr>
                <w:sz w:val="16"/>
                <w:szCs w:val="16"/>
              </w:rPr>
              <w:t>2.5%</w:t>
            </w:r>
          </w:p>
        </w:tc>
        <w:tc>
          <w:tcPr>
            <w:tcW w:w="1080" w:type="dxa"/>
            <w:tcBorders>
              <w:top w:val="nil"/>
              <w:left w:val="nil"/>
              <w:bottom w:val="nil"/>
              <w:right w:val="nil"/>
            </w:tcBorders>
            <w:shd w:val="clear" w:color="auto" w:fill="auto"/>
            <w:noWrap/>
          </w:tcPr>
          <w:p w:rsidRPr="00710F73" w:rsidR="00710F73" w:rsidP="00710F73" w:rsidRDefault="00710F73" w14:paraId="39832C66" w14:textId="171523DF">
            <w:pPr>
              <w:tabs>
                <w:tab w:val="decimal" w:pos="366"/>
              </w:tabs>
              <w:jc w:val="right"/>
              <w:rPr>
                <w:sz w:val="16"/>
                <w:szCs w:val="16"/>
              </w:rPr>
            </w:pPr>
            <w:r w:rsidRPr="00710F73">
              <w:rPr>
                <w:sz w:val="16"/>
                <w:szCs w:val="16"/>
              </w:rPr>
              <w:t>2.5%</w:t>
            </w:r>
          </w:p>
        </w:tc>
        <w:tc>
          <w:tcPr>
            <w:tcW w:w="1080" w:type="dxa"/>
            <w:tcBorders>
              <w:top w:val="nil"/>
              <w:left w:val="nil"/>
              <w:bottom w:val="nil"/>
              <w:right w:val="nil"/>
            </w:tcBorders>
            <w:shd w:val="clear" w:color="auto" w:fill="auto"/>
            <w:noWrap/>
          </w:tcPr>
          <w:p w:rsidRPr="00710F73" w:rsidR="00710F73" w:rsidP="00710F73" w:rsidRDefault="00710F73" w14:paraId="784B209D" w14:textId="29BE59DA">
            <w:pPr>
              <w:tabs>
                <w:tab w:val="decimal" w:pos="363"/>
              </w:tabs>
              <w:jc w:val="right"/>
              <w:rPr>
                <w:sz w:val="16"/>
                <w:szCs w:val="16"/>
              </w:rPr>
            </w:pPr>
            <w:r w:rsidRPr="00710F73">
              <w:rPr>
                <w:sz w:val="16"/>
                <w:szCs w:val="16"/>
              </w:rPr>
              <w:t>2.5%</w:t>
            </w:r>
          </w:p>
        </w:tc>
        <w:tc>
          <w:tcPr>
            <w:tcW w:w="1080" w:type="dxa"/>
            <w:tcBorders>
              <w:top w:val="nil"/>
              <w:left w:val="nil"/>
              <w:bottom w:val="nil"/>
              <w:right w:val="nil"/>
            </w:tcBorders>
            <w:shd w:val="clear" w:color="auto" w:fill="auto"/>
            <w:noWrap/>
          </w:tcPr>
          <w:p w:rsidRPr="00710F73" w:rsidR="00710F73" w:rsidP="00710F73" w:rsidRDefault="00710F73" w14:paraId="752F25E3" w14:textId="70228C96">
            <w:pPr>
              <w:tabs>
                <w:tab w:val="decimal" w:pos="353"/>
              </w:tabs>
              <w:jc w:val="right"/>
              <w:rPr>
                <w:sz w:val="16"/>
                <w:szCs w:val="16"/>
              </w:rPr>
            </w:pPr>
            <w:r w:rsidRPr="00710F73">
              <w:rPr>
                <w:sz w:val="16"/>
                <w:szCs w:val="16"/>
              </w:rPr>
              <w:t>2.5%</w:t>
            </w:r>
          </w:p>
        </w:tc>
        <w:tc>
          <w:tcPr>
            <w:tcW w:w="1199" w:type="dxa"/>
            <w:tcBorders>
              <w:top w:val="nil"/>
              <w:left w:val="nil"/>
              <w:bottom w:val="nil"/>
              <w:right w:val="nil"/>
            </w:tcBorders>
            <w:shd w:val="clear" w:color="auto" w:fill="auto"/>
            <w:noWrap/>
          </w:tcPr>
          <w:p w:rsidRPr="00710F73" w:rsidR="00710F73" w:rsidP="00710F73" w:rsidRDefault="00710F73" w14:paraId="2CCD633C" w14:textId="3B8E9D3E">
            <w:pPr>
              <w:tabs>
                <w:tab w:val="decimal" w:pos="363"/>
              </w:tabs>
              <w:jc w:val="right"/>
              <w:rPr>
                <w:sz w:val="16"/>
                <w:szCs w:val="16"/>
              </w:rPr>
            </w:pPr>
            <w:r w:rsidRPr="00710F73">
              <w:rPr>
                <w:sz w:val="16"/>
                <w:szCs w:val="16"/>
              </w:rPr>
              <w:t>2.5%</w:t>
            </w:r>
          </w:p>
        </w:tc>
      </w:tr>
      <w:tr w:rsidRPr="00720B8B" w:rsidR="00710F73" w:rsidTr="00702569" w14:paraId="6630542A"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5CF34DE7" w14:textId="69E4AB87">
            <w:pPr>
              <w:jc w:val="right"/>
              <w:rPr>
                <w:sz w:val="16"/>
                <w:szCs w:val="16"/>
              </w:rPr>
            </w:pPr>
            <w:r w:rsidRPr="00710F73">
              <w:rPr>
                <w:color w:val="000000"/>
                <w:sz w:val="16"/>
                <w:szCs w:val="16"/>
              </w:rPr>
              <w:t>January 1, 2034</w:t>
            </w:r>
          </w:p>
        </w:tc>
        <w:tc>
          <w:tcPr>
            <w:tcW w:w="270" w:type="dxa"/>
            <w:tcBorders>
              <w:top w:val="nil"/>
              <w:left w:val="nil"/>
              <w:bottom w:val="nil"/>
              <w:right w:val="nil"/>
            </w:tcBorders>
            <w:shd w:val="clear" w:color="auto" w:fill="auto"/>
            <w:noWrap/>
            <w:vAlign w:val="bottom"/>
          </w:tcPr>
          <w:p w:rsidRPr="00710F73" w:rsidR="00710F73" w:rsidP="00710F73" w:rsidRDefault="00710F73" w14:paraId="7D0077F2"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160687BC" w14:textId="6BEB6BA6">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139204DA" w14:textId="7488C086">
            <w:pPr>
              <w:tabs>
                <w:tab w:val="decimal" w:pos="450"/>
              </w:tabs>
              <w:jc w:val="right"/>
              <w:rPr>
                <w:sz w:val="16"/>
                <w:szCs w:val="16"/>
              </w:rPr>
            </w:pPr>
            <w:r w:rsidRPr="00710F73">
              <w:rPr>
                <w:sz w:val="16"/>
                <w:szCs w:val="16"/>
              </w:rPr>
              <w:t>43.3%</w:t>
            </w:r>
          </w:p>
        </w:tc>
        <w:tc>
          <w:tcPr>
            <w:tcW w:w="1055" w:type="dxa"/>
            <w:tcBorders>
              <w:top w:val="nil"/>
              <w:left w:val="nil"/>
              <w:bottom w:val="nil"/>
              <w:right w:val="nil"/>
            </w:tcBorders>
            <w:shd w:val="clear" w:color="auto" w:fill="auto"/>
            <w:noWrap/>
          </w:tcPr>
          <w:p w:rsidRPr="00710F73" w:rsidR="00710F73" w:rsidP="00710F73" w:rsidRDefault="00710F73" w14:paraId="63D0D298" w14:textId="13D3D93B">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5D2C0249" w14:textId="02A1EF7C">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7C608807" w14:textId="0C29F9D0">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1E4F68C2" w14:textId="4C32A8B4">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6772A9D3" w14:textId="7442B161">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4E9EB34" w14:textId="1B0EE660">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CF104C8" w14:textId="51F23FA7">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15512CCC" w14:textId="464F559E">
            <w:pPr>
              <w:tabs>
                <w:tab w:val="decimal" w:pos="363"/>
              </w:tabs>
              <w:jc w:val="right"/>
              <w:rPr>
                <w:sz w:val="16"/>
                <w:szCs w:val="16"/>
              </w:rPr>
            </w:pPr>
            <w:r w:rsidRPr="00710F73">
              <w:rPr>
                <w:sz w:val="16"/>
                <w:szCs w:val="16"/>
              </w:rPr>
              <w:t>0.0%</w:t>
            </w:r>
          </w:p>
        </w:tc>
      </w:tr>
      <w:tr w:rsidRPr="00720B8B" w:rsidR="00710F73" w:rsidTr="00702569" w14:paraId="2E4089E6"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6719C917" w14:textId="12BDB15D">
            <w:pPr>
              <w:jc w:val="right"/>
              <w:rPr>
                <w:sz w:val="16"/>
                <w:szCs w:val="16"/>
              </w:rPr>
            </w:pPr>
            <w:r w:rsidRPr="00710F73">
              <w:rPr>
                <w:color w:val="000000"/>
                <w:sz w:val="16"/>
                <w:szCs w:val="16"/>
              </w:rPr>
              <w:t>January 1, 2035</w:t>
            </w:r>
          </w:p>
        </w:tc>
        <w:tc>
          <w:tcPr>
            <w:tcW w:w="270" w:type="dxa"/>
            <w:tcBorders>
              <w:top w:val="nil"/>
              <w:left w:val="nil"/>
              <w:bottom w:val="nil"/>
              <w:right w:val="nil"/>
            </w:tcBorders>
            <w:shd w:val="clear" w:color="auto" w:fill="auto"/>
            <w:noWrap/>
            <w:vAlign w:val="bottom"/>
          </w:tcPr>
          <w:p w:rsidRPr="00710F73" w:rsidR="00710F73" w:rsidP="00710F73" w:rsidRDefault="00710F73" w14:paraId="63445E88"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50EB65D1" w14:textId="3AC97E0C">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71ADD7AB" w14:textId="04BE1AD0">
            <w:pPr>
              <w:tabs>
                <w:tab w:val="decimal" w:pos="450"/>
              </w:tabs>
              <w:jc w:val="right"/>
              <w:rPr>
                <w:sz w:val="16"/>
                <w:szCs w:val="16"/>
              </w:rPr>
            </w:pPr>
            <w:r w:rsidRPr="00710F73">
              <w:rPr>
                <w:sz w:val="16"/>
                <w:szCs w:val="16"/>
              </w:rPr>
              <w:t>37.9%</w:t>
            </w:r>
          </w:p>
        </w:tc>
        <w:tc>
          <w:tcPr>
            <w:tcW w:w="1055" w:type="dxa"/>
            <w:tcBorders>
              <w:top w:val="nil"/>
              <w:left w:val="nil"/>
              <w:bottom w:val="nil"/>
              <w:right w:val="nil"/>
            </w:tcBorders>
            <w:shd w:val="clear" w:color="auto" w:fill="auto"/>
            <w:noWrap/>
          </w:tcPr>
          <w:p w:rsidRPr="00710F73" w:rsidR="00710F73" w:rsidP="00710F73" w:rsidRDefault="00710F73" w14:paraId="3537A5AC" w14:textId="73EED0ED">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32DB765A" w14:textId="324283AC">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28581D62" w14:textId="02021AA1">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576C0567" w14:textId="76AB7BAB">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66182139" w14:textId="3D710AA0">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6BF7B9F" w14:textId="1846680D">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AF65C87" w14:textId="3E7947EF">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184871C0" w14:textId="4180914A">
            <w:pPr>
              <w:tabs>
                <w:tab w:val="decimal" w:pos="363"/>
              </w:tabs>
              <w:jc w:val="right"/>
              <w:rPr>
                <w:sz w:val="16"/>
                <w:szCs w:val="16"/>
              </w:rPr>
            </w:pPr>
            <w:r w:rsidRPr="00710F73">
              <w:rPr>
                <w:sz w:val="16"/>
                <w:szCs w:val="16"/>
              </w:rPr>
              <w:t>0.0%</w:t>
            </w:r>
          </w:p>
        </w:tc>
      </w:tr>
      <w:tr w:rsidRPr="00720B8B" w:rsidR="00710F73" w:rsidTr="00702569" w14:paraId="7B409187" w14:textId="77777777">
        <w:trPr>
          <w:trHeight w:val="122"/>
        </w:trPr>
        <w:tc>
          <w:tcPr>
            <w:tcW w:w="3420" w:type="dxa"/>
            <w:tcBorders>
              <w:top w:val="nil"/>
              <w:left w:val="nil"/>
              <w:bottom w:val="nil"/>
              <w:right w:val="nil"/>
            </w:tcBorders>
            <w:shd w:val="clear" w:color="auto" w:fill="auto"/>
            <w:noWrap/>
            <w:vAlign w:val="bottom"/>
          </w:tcPr>
          <w:p w:rsidRPr="00710F73" w:rsidR="00710F73" w:rsidP="00710F73" w:rsidRDefault="00710F73" w14:paraId="7CF70A67" w14:textId="06320E23">
            <w:pPr>
              <w:jc w:val="right"/>
              <w:rPr>
                <w:sz w:val="16"/>
                <w:szCs w:val="16"/>
              </w:rPr>
            </w:pPr>
            <w:r w:rsidRPr="00710F73">
              <w:rPr>
                <w:color w:val="000000"/>
                <w:sz w:val="16"/>
                <w:szCs w:val="16"/>
              </w:rPr>
              <w:t>January 1, 2036</w:t>
            </w:r>
          </w:p>
        </w:tc>
        <w:tc>
          <w:tcPr>
            <w:tcW w:w="270" w:type="dxa"/>
            <w:tcBorders>
              <w:top w:val="nil"/>
              <w:left w:val="nil"/>
              <w:bottom w:val="nil"/>
              <w:right w:val="nil"/>
            </w:tcBorders>
            <w:shd w:val="clear" w:color="auto" w:fill="auto"/>
            <w:noWrap/>
            <w:vAlign w:val="bottom"/>
          </w:tcPr>
          <w:p w:rsidRPr="00710F73" w:rsidR="00710F73" w:rsidP="00710F73" w:rsidRDefault="00710F73" w14:paraId="2C57070F"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21B684D2" w14:textId="5CFD1EEC">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721232DE" w14:textId="689F1778">
            <w:pPr>
              <w:tabs>
                <w:tab w:val="decimal" w:pos="450"/>
              </w:tabs>
              <w:jc w:val="right"/>
              <w:rPr>
                <w:sz w:val="16"/>
                <w:szCs w:val="16"/>
              </w:rPr>
            </w:pPr>
            <w:r w:rsidRPr="00710F73">
              <w:rPr>
                <w:sz w:val="16"/>
                <w:szCs w:val="16"/>
              </w:rPr>
              <w:t>35.5%</w:t>
            </w:r>
          </w:p>
        </w:tc>
        <w:tc>
          <w:tcPr>
            <w:tcW w:w="1055" w:type="dxa"/>
            <w:tcBorders>
              <w:top w:val="nil"/>
              <w:left w:val="nil"/>
              <w:bottom w:val="nil"/>
              <w:right w:val="nil"/>
            </w:tcBorders>
            <w:shd w:val="clear" w:color="auto" w:fill="auto"/>
            <w:noWrap/>
          </w:tcPr>
          <w:p w:rsidRPr="00710F73" w:rsidR="00710F73" w:rsidP="00710F73" w:rsidRDefault="00710F73" w14:paraId="3F3672E6" w14:textId="4BDB5819">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26E2ABF6" w14:textId="0E92B86D">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60EBBE01" w14:textId="50105B29">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4EE50AB3" w14:textId="15EC8C71">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3D842CE" w14:textId="27FE5E9D">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A87A124" w14:textId="31055995">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203DC6C9" w14:textId="07023099">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7CFFC54A" w14:textId="2D48128E">
            <w:pPr>
              <w:tabs>
                <w:tab w:val="decimal" w:pos="363"/>
              </w:tabs>
              <w:jc w:val="right"/>
              <w:rPr>
                <w:sz w:val="16"/>
                <w:szCs w:val="16"/>
              </w:rPr>
            </w:pPr>
            <w:r w:rsidRPr="00710F73">
              <w:rPr>
                <w:sz w:val="16"/>
                <w:szCs w:val="16"/>
              </w:rPr>
              <w:t>0.0%</w:t>
            </w:r>
          </w:p>
        </w:tc>
      </w:tr>
      <w:tr w:rsidRPr="00720B8B" w:rsidR="00710F73" w:rsidTr="00702569" w14:paraId="168130D1"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771BECBD" w14:textId="380FC8DB">
            <w:pPr>
              <w:jc w:val="right"/>
              <w:rPr>
                <w:sz w:val="16"/>
                <w:szCs w:val="16"/>
              </w:rPr>
            </w:pPr>
            <w:r w:rsidRPr="00710F73">
              <w:rPr>
                <w:color w:val="000000"/>
                <w:sz w:val="16"/>
                <w:szCs w:val="16"/>
              </w:rPr>
              <w:t>January 1, 2037</w:t>
            </w:r>
          </w:p>
        </w:tc>
        <w:tc>
          <w:tcPr>
            <w:tcW w:w="270" w:type="dxa"/>
            <w:tcBorders>
              <w:top w:val="nil"/>
              <w:left w:val="nil"/>
              <w:bottom w:val="nil"/>
              <w:right w:val="nil"/>
            </w:tcBorders>
            <w:shd w:val="clear" w:color="auto" w:fill="auto"/>
            <w:noWrap/>
            <w:vAlign w:val="bottom"/>
          </w:tcPr>
          <w:p w:rsidRPr="00710F73" w:rsidR="00710F73" w:rsidP="00710F73" w:rsidRDefault="00710F73" w14:paraId="055602E1"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4FB91AB9" w14:textId="25EA78AD">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0B4312C3" w14:textId="1E437ACA">
            <w:pPr>
              <w:tabs>
                <w:tab w:val="decimal" w:pos="450"/>
              </w:tabs>
              <w:jc w:val="right"/>
              <w:rPr>
                <w:sz w:val="16"/>
                <w:szCs w:val="16"/>
              </w:rPr>
            </w:pPr>
            <w:r w:rsidRPr="00710F73">
              <w:rPr>
                <w:sz w:val="16"/>
                <w:szCs w:val="16"/>
              </w:rPr>
              <w:t>33.3%</w:t>
            </w:r>
          </w:p>
        </w:tc>
        <w:tc>
          <w:tcPr>
            <w:tcW w:w="1055" w:type="dxa"/>
            <w:tcBorders>
              <w:top w:val="nil"/>
              <w:left w:val="nil"/>
              <w:bottom w:val="nil"/>
              <w:right w:val="nil"/>
            </w:tcBorders>
            <w:shd w:val="clear" w:color="auto" w:fill="auto"/>
            <w:noWrap/>
          </w:tcPr>
          <w:p w:rsidRPr="00710F73" w:rsidR="00710F73" w:rsidP="00710F73" w:rsidRDefault="00710F73" w14:paraId="2733775E" w14:textId="75D75DE2">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7C771149" w14:textId="5689C777">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7EDF09F0" w14:textId="26C2F0A7">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4D8D3618" w14:textId="7DC3868A">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D6124F0" w14:textId="062F3CED">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2D2EC72" w14:textId="2457F760">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0C5A26A" w14:textId="3F55FC33">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38F47D8C" w14:textId="3662233A">
            <w:pPr>
              <w:tabs>
                <w:tab w:val="decimal" w:pos="363"/>
              </w:tabs>
              <w:jc w:val="right"/>
              <w:rPr>
                <w:sz w:val="16"/>
                <w:szCs w:val="16"/>
              </w:rPr>
            </w:pPr>
            <w:r w:rsidRPr="00710F73">
              <w:rPr>
                <w:sz w:val="16"/>
                <w:szCs w:val="16"/>
              </w:rPr>
              <w:t>0.0%</w:t>
            </w:r>
          </w:p>
        </w:tc>
      </w:tr>
      <w:tr w:rsidRPr="00720B8B" w:rsidR="00710F73" w:rsidTr="00702569" w14:paraId="0144DFE9"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753A6F68" w14:textId="6591D9C6">
            <w:pPr>
              <w:jc w:val="right"/>
              <w:rPr>
                <w:sz w:val="16"/>
                <w:szCs w:val="16"/>
              </w:rPr>
            </w:pPr>
            <w:r w:rsidRPr="00710F73">
              <w:rPr>
                <w:color w:val="000000"/>
                <w:sz w:val="16"/>
                <w:szCs w:val="16"/>
              </w:rPr>
              <w:t>January 1, 2038</w:t>
            </w:r>
          </w:p>
        </w:tc>
        <w:tc>
          <w:tcPr>
            <w:tcW w:w="270" w:type="dxa"/>
            <w:tcBorders>
              <w:top w:val="nil"/>
              <w:left w:val="nil"/>
              <w:bottom w:val="nil"/>
              <w:right w:val="nil"/>
            </w:tcBorders>
            <w:shd w:val="clear" w:color="auto" w:fill="auto"/>
            <w:noWrap/>
            <w:vAlign w:val="bottom"/>
          </w:tcPr>
          <w:p w:rsidRPr="00710F73" w:rsidR="00710F73" w:rsidP="00710F73" w:rsidRDefault="00710F73" w14:paraId="5DD0CC6F"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2E3FAEA5" w14:textId="228DCA21">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5C1BAE21" w14:textId="17BCCC67">
            <w:pPr>
              <w:tabs>
                <w:tab w:val="decimal" w:pos="450"/>
              </w:tabs>
              <w:jc w:val="right"/>
              <w:rPr>
                <w:sz w:val="16"/>
                <w:szCs w:val="16"/>
              </w:rPr>
            </w:pPr>
            <w:r w:rsidRPr="00710F73">
              <w:rPr>
                <w:sz w:val="16"/>
                <w:szCs w:val="16"/>
              </w:rPr>
              <w:t>31.3%</w:t>
            </w:r>
          </w:p>
        </w:tc>
        <w:tc>
          <w:tcPr>
            <w:tcW w:w="1055" w:type="dxa"/>
            <w:tcBorders>
              <w:top w:val="nil"/>
              <w:left w:val="nil"/>
              <w:bottom w:val="nil"/>
              <w:right w:val="nil"/>
            </w:tcBorders>
            <w:shd w:val="clear" w:color="auto" w:fill="auto"/>
            <w:noWrap/>
          </w:tcPr>
          <w:p w:rsidRPr="00710F73" w:rsidR="00710F73" w:rsidP="00710F73" w:rsidRDefault="00710F73" w14:paraId="2CF41F0D" w14:textId="5A5A33BA">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2C580140" w14:textId="19E80D0B">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734D1AF" w14:textId="6E5066DD">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505D13D2" w14:textId="66410377">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1DCE32B0" w14:textId="0AFDF4DC">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A7B43C9" w14:textId="6A5647FA">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5E43230" w14:textId="2207DF6F">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0E662FCF" w14:textId="39CC506D">
            <w:pPr>
              <w:tabs>
                <w:tab w:val="decimal" w:pos="363"/>
              </w:tabs>
              <w:jc w:val="right"/>
              <w:rPr>
                <w:sz w:val="16"/>
                <w:szCs w:val="16"/>
              </w:rPr>
            </w:pPr>
            <w:r w:rsidRPr="00710F73">
              <w:rPr>
                <w:sz w:val="16"/>
                <w:szCs w:val="16"/>
              </w:rPr>
              <w:t>0.0%</w:t>
            </w:r>
          </w:p>
        </w:tc>
      </w:tr>
      <w:tr w:rsidRPr="00720B8B" w:rsidR="00710F73" w:rsidTr="00702569" w14:paraId="4B6D7E01"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4A4E9A9A" w14:textId="33BC0B62">
            <w:pPr>
              <w:jc w:val="right"/>
              <w:rPr>
                <w:sz w:val="16"/>
                <w:szCs w:val="16"/>
              </w:rPr>
            </w:pPr>
            <w:r w:rsidRPr="00710F73">
              <w:rPr>
                <w:color w:val="000000"/>
                <w:sz w:val="16"/>
                <w:szCs w:val="16"/>
              </w:rPr>
              <w:t>January 1, 2039</w:t>
            </w:r>
          </w:p>
        </w:tc>
        <w:tc>
          <w:tcPr>
            <w:tcW w:w="270" w:type="dxa"/>
            <w:tcBorders>
              <w:top w:val="nil"/>
              <w:left w:val="nil"/>
              <w:bottom w:val="nil"/>
              <w:right w:val="nil"/>
            </w:tcBorders>
            <w:shd w:val="clear" w:color="auto" w:fill="auto"/>
            <w:noWrap/>
            <w:vAlign w:val="bottom"/>
          </w:tcPr>
          <w:p w:rsidRPr="00710F73" w:rsidR="00710F73" w:rsidP="00710F73" w:rsidRDefault="00710F73" w14:paraId="448DDF30"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11B80031" w14:textId="328E64D8">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5AEC23C7" w14:textId="1D1D93E5">
            <w:pPr>
              <w:tabs>
                <w:tab w:val="decimal" w:pos="450"/>
              </w:tabs>
              <w:jc w:val="right"/>
              <w:rPr>
                <w:sz w:val="16"/>
                <w:szCs w:val="16"/>
              </w:rPr>
            </w:pPr>
            <w:r w:rsidRPr="00710F73">
              <w:rPr>
                <w:sz w:val="16"/>
                <w:szCs w:val="16"/>
              </w:rPr>
              <w:t>29.7%</w:t>
            </w:r>
          </w:p>
        </w:tc>
        <w:tc>
          <w:tcPr>
            <w:tcW w:w="1055" w:type="dxa"/>
            <w:tcBorders>
              <w:top w:val="nil"/>
              <w:left w:val="nil"/>
              <w:bottom w:val="nil"/>
              <w:right w:val="nil"/>
            </w:tcBorders>
            <w:shd w:val="clear" w:color="auto" w:fill="auto"/>
            <w:noWrap/>
          </w:tcPr>
          <w:p w:rsidRPr="00710F73" w:rsidR="00710F73" w:rsidP="00710F73" w:rsidRDefault="00710F73" w14:paraId="30256A2D" w14:textId="53E018CF">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266714DE" w14:textId="357D815F">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B985E4A" w14:textId="5C1A021D">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7F662E52" w14:textId="0091E634">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E0C0025" w14:textId="41E6A970">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7D6E44C2" w14:textId="7CF87EE1">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A50C4F6" w14:textId="028B003F">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57A0B5DB" w14:textId="5AB7A8EA">
            <w:pPr>
              <w:tabs>
                <w:tab w:val="decimal" w:pos="363"/>
              </w:tabs>
              <w:jc w:val="right"/>
              <w:rPr>
                <w:sz w:val="16"/>
                <w:szCs w:val="16"/>
              </w:rPr>
            </w:pPr>
            <w:r w:rsidRPr="00710F73">
              <w:rPr>
                <w:sz w:val="16"/>
                <w:szCs w:val="16"/>
              </w:rPr>
              <w:t>0.0%</w:t>
            </w:r>
          </w:p>
        </w:tc>
      </w:tr>
      <w:tr w:rsidRPr="00720B8B" w:rsidR="00710F73" w:rsidTr="00702569" w14:paraId="11E85702"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4287D856" w14:textId="42837562">
            <w:pPr>
              <w:jc w:val="right"/>
              <w:rPr>
                <w:sz w:val="16"/>
                <w:szCs w:val="16"/>
              </w:rPr>
            </w:pPr>
            <w:r w:rsidRPr="00710F73">
              <w:rPr>
                <w:color w:val="000000"/>
                <w:sz w:val="16"/>
                <w:szCs w:val="16"/>
              </w:rPr>
              <w:t>January 1, 2040</w:t>
            </w:r>
          </w:p>
        </w:tc>
        <w:tc>
          <w:tcPr>
            <w:tcW w:w="270" w:type="dxa"/>
            <w:tcBorders>
              <w:top w:val="nil"/>
              <w:left w:val="nil"/>
              <w:bottom w:val="nil"/>
              <w:right w:val="nil"/>
            </w:tcBorders>
            <w:shd w:val="clear" w:color="auto" w:fill="auto"/>
            <w:noWrap/>
            <w:vAlign w:val="bottom"/>
          </w:tcPr>
          <w:p w:rsidRPr="00710F73" w:rsidR="00710F73" w:rsidP="00710F73" w:rsidRDefault="00710F73" w14:paraId="70832B43"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731FA93D" w14:textId="1A9C7347">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20AC8BC3" w14:textId="20779DDB">
            <w:pPr>
              <w:tabs>
                <w:tab w:val="decimal" w:pos="450"/>
              </w:tabs>
              <w:jc w:val="right"/>
              <w:rPr>
                <w:sz w:val="16"/>
                <w:szCs w:val="16"/>
              </w:rPr>
            </w:pPr>
            <w:r w:rsidRPr="00710F73">
              <w:rPr>
                <w:sz w:val="16"/>
                <w:szCs w:val="16"/>
              </w:rPr>
              <w:t>28.4%</w:t>
            </w:r>
          </w:p>
        </w:tc>
        <w:tc>
          <w:tcPr>
            <w:tcW w:w="1055" w:type="dxa"/>
            <w:tcBorders>
              <w:top w:val="nil"/>
              <w:left w:val="nil"/>
              <w:bottom w:val="nil"/>
              <w:right w:val="nil"/>
            </w:tcBorders>
            <w:shd w:val="clear" w:color="auto" w:fill="auto"/>
            <w:noWrap/>
          </w:tcPr>
          <w:p w:rsidRPr="00710F73" w:rsidR="00710F73" w:rsidP="00710F73" w:rsidRDefault="00710F73" w14:paraId="167A8265" w14:textId="2E5C2798">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74E92C43" w14:textId="48AA7185">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05402CC" w14:textId="03DA4901">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21FC1AB6" w14:textId="7AEC0012">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F998059" w14:textId="00D79454">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1EDDB412" w14:textId="73F021BA">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A51D2EF" w14:textId="7538D563">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7015DDBC" w14:textId="7CD4C0D2">
            <w:pPr>
              <w:tabs>
                <w:tab w:val="decimal" w:pos="363"/>
              </w:tabs>
              <w:jc w:val="right"/>
              <w:rPr>
                <w:sz w:val="16"/>
                <w:szCs w:val="16"/>
              </w:rPr>
            </w:pPr>
            <w:r w:rsidRPr="00710F73">
              <w:rPr>
                <w:sz w:val="16"/>
                <w:szCs w:val="16"/>
              </w:rPr>
              <w:t>0.0%</w:t>
            </w:r>
          </w:p>
        </w:tc>
      </w:tr>
      <w:tr w:rsidRPr="00720B8B" w:rsidR="00710F73" w:rsidTr="00702569" w14:paraId="4EC3AEBA"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195E95CF" w14:textId="66FC4173">
            <w:pPr>
              <w:jc w:val="right"/>
              <w:rPr>
                <w:sz w:val="16"/>
                <w:szCs w:val="16"/>
              </w:rPr>
            </w:pPr>
            <w:r w:rsidRPr="00710F73">
              <w:rPr>
                <w:color w:val="000000"/>
                <w:sz w:val="16"/>
                <w:szCs w:val="16"/>
              </w:rPr>
              <w:t>January 1, 2041</w:t>
            </w:r>
          </w:p>
        </w:tc>
        <w:tc>
          <w:tcPr>
            <w:tcW w:w="270" w:type="dxa"/>
            <w:tcBorders>
              <w:top w:val="nil"/>
              <w:left w:val="nil"/>
              <w:bottom w:val="nil"/>
              <w:right w:val="nil"/>
            </w:tcBorders>
            <w:shd w:val="clear" w:color="auto" w:fill="auto"/>
            <w:noWrap/>
            <w:vAlign w:val="bottom"/>
          </w:tcPr>
          <w:p w:rsidRPr="00710F73" w:rsidR="00710F73" w:rsidP="00710F73" w:rsidRDefault="00710F73" w14:paraId="5CA5F4DF"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65B00492" w14:textId="0624A794">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2CAC5505" w14:textId="20312D13">
            <w:pPr>
              <w:tabs>
                <w:tab w:val="decimal" w:pos="450"/>
              </w:tabs>
              <w:jc w:val="right"/>
              <w:rPr>
                <w:sz w:val="16"/>
                <w:szCs w:val="16"/>
              </w:rPr>
            </w:pPr>
            <w:r w:rsidRPr="00710F73">
              <w:rPr>
                <w:sz w:val="16"/>
                <w:szCs w:val="16"/>
              </w:rPr>
              <w:t>27.4%</w:t>
            </w:r>
          </w:p>
        </w:tc>
        <w:tc>
          <w:tcPr>
            <w:tcW w:w="1055" w:type="dxa"/>
            <w:tcBorders>
              <w:top w:val="nil"/>
              <w:left w:val="nil"/>
              <w:bottom w:val="nil"/>
              <w:right w:val="nil"/>
            </w:tcBorders>
            <w:shd w:val="clear" w:color="auto" w:fill="auto"/>
            <w:noWrap/>
          </w:tcPr>
          <w:p w:rsidRPr="00710F73" w:rsidR="00710F73" w:rsidP="00710F73" w:rsidRDefault="00710F73" w14:paraId="6A465D95" w14:textId="6AAE5A3F">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288102E2" w14:textId="66D2CC5B">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78586533" w14:textId="7487E7E0">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722F5235" w14:textId="11714FEA">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1C719EB0" w14:textId="5BD60D7C">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DE17AE9" w14:textId="79FAEE91">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E352697" w14:textId="380EDA51">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381668EA" w14:textId="47D5C693">
            <w:pPr>
              <w:tabs>
                <w:tab w:val="decimal" w:pos="363"/>
              </w:tabs>
              <w:jc w:val="right"/>
              <w:rPr>
                <w:sz w:val="16"/>
                <w:szCs w:val="16"/>
              </w:rPr>
            </w:pPr>
            <w:r w:rsidRPr="00710F73">
              <w:rPr>
                <w:sz w:val="16"/>
                <w:szCs w:val="16"/>
              </w:rPr>
              <w:t>0.0%</w:t>
            </w:r>
          </w:p>
        </w:tc>
      </w:tr>
      <w:tr w:rsidRPr="00720B8B" w:rsidR="00710F73" w:rsidTr="00702569" w14:paraId="2668F75B"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4412E79E" w14:textId="19C39CF7">
            <w:pPr>
              <w:jc w:val="right"/>
              <w:rPr>
                <w:sz w:val="16"/>
                <w:szCs w:val="16"/>
              </w:rPr>
            </w:pPr>
            <w:r w:rsidRPr="00710F73">
              <w:rPr>
                <w:color w:val="000000"/>
                <w:sz w:val="16"/>
                <w:szCs w:val="16"/>
              </w:rPr>
              <w:t>January 1, 2042</w:t>
            </w:r>
          </w:p>
        </w:tc>
        <w:tc>
          <w:tcPr>
            <w:tcW w:w="270" w:type="dxa"/>
            <w:tcBorders>
              <w:top w:val="nil"/>
              <w:left w:val="nil"/>
              <w:bottom w:val="nil"/>
              <w:right w:val="nil"/>
            </w:tcBorders>
            <w:shd w:val="clear" w:color="auto" w:fill="auto"/>
            <w:noWrap/>
            <w:vAlign w:val="bottom"/>
          </w:tcPr>
          <w:p w:rsidRPr="00710F73" w:rsidR="00710F73" w:rsidP="00710F73" w:rsidRDefault="00710F73" w14:paraId="244C6E45"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232F06B0" w14:textId="6529C445">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5E205B90" w14:textId="669391CC">
            <w:pPr>
              <w:tabs>
                <w:tab w:val="decimal" w:pos="450"/>
              </w:tabs>
              <w:jc w:val="right"/>
              <w:rPr>
                <w:sz w:val="16"/>
                <w:szCs w:val="16"/>
              </w:rPr>
            </w:pPr>
            <w:r w:rsidRPr="00710F73">
              <w:rPr>
                <w:sz w:val="16"/>
                <w:szCs w:val="16"/>
              </w:rPr>
              <w:t>26.9%</w:t>
            </w:r>
          </w:p>
        </w:tc>
        <w:tc>
          <w:tcPr>
            <w:tcW w:w="1055" w:type="dxa"/>
            <w:tcBorders>
              <w:top w:val="nil"/>
              <w:left w:val="nil"/>
              <w:bottom w:val="nil"/>
              <w:right w:val="nil"/>
            </w:tcBorders>
            <w:shd w:val="clear" w:color="auto" w:fill="auto"/>
            <w:noWrap/>
          </w:tcPr>
          <w:p w:rsidRPr="00710F73" w:rsidR="00710F73" w:rsidP="00710F73" w:rsidRDefault="00710F73" w14:paraId="1A65840C" w14:textId="1BA83B91">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438786F1" w14:textId="036E28C2">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150A970" w14:textId="0762752E">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4E80F804" w14:textId="2428B8D1">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4B7927C" w14:textId="3E9D0A9C">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17B8180" w14:textId="643BC5CD">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A23FF45" w14:textId="3FF785BC">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22049F88" w14:textId="41546C2A">
            <w:pPr>
              <w:tabs>
                <w:tab w:val="decimal" w:pos="363"/>
              </w:tabs>
              <w:jc w:val="right"/>
              <w:rPr>
                <w:sz w:val="16"/>
                <w:szCs w:val="16"/>
              </w:rPr>
            </w:pPr>
            <w:r w:rsidRPr="00710F73">
              <w:rPr>
                <w:sz w:val="16"/>
                <w:szCs w:val="16"/>
              </w:rPr>
              <w:t>0.0%</w:t>
            </w:r>
          </w:p>
        </w:tc>
      </w:tr>
      <w:tr w:rsidRPr="00720B8B" w:rsidR="00710F73" w:rsidTr="00702569" w14:paraId="7AFC64DE"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23E61475" w14:textId="796B6610">
            <w:pPr>
              <w:jc w:val="right"/>
              <w:rPr>
                <w:sz w:val="16"/>
                <w:szCs w:val="16"/>
              </w:rPr>
            </w:pPr>
            <w:r w:rsidRPr="00710F73">
              <w:rPr>
                <w:color w:val="000000"/>
                <w:sz w:val="16"/>
                <w:szCs w:val="16"/>
              </w:rPr>
              <w:t>January 1, 2043</w:t>
            </w:r>
          </w:p>
        </w:tc>
        <w:tc>
          <w:tcPr>
            <w:tcW w:w="270" w:type="dxa"/>
            <w:tcBorders>
              <w:top w:val="nil"/>
              <w:left w:val="nil"/>
              <w:bottom w:val="nil"/>
              <w:right w:val="nil"/>
            </w:tcBorders>
            <w:shd w:val="clear" w:color="auto" w:fill="auto"/>
            <w:noWrap/>
            <w:vAlign w:val="bottom"/>
          </w:tcPr>
          <w:p w:rsidRPr="00710F73" w:rsidR="00710F73" w:rsidP="00710F73" w:rsidRDefault="00710F73" w14:paraId="4CABA166"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6F5B982C" w14:textId="7378C30A">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27E9D330" w14:textId="657D7CA1">
            <w:pPr>
              <w:tabs>
                <w:tab w:val="decimal" w:pos="450"/>
              </w:tabs>
              <w:jc w:val="right"/>
              <w:rPr>
                <w:sz w:val="16"/>
                <w:szCs w:val="16"/>
              </w:rPr>
            </w:pPr>
            <w:r w:rsidRPr="00710F73">
              <w:rPr>
                <w:sz w:val="16"/>
                <w:szCs w:val="16"/>
              </w:rPr>
              <w:t>26.7%</w:t>
            </w:r>
          </w:p>
        </w:tc>
        <w:tc>
          <w:tcPr>
            <w:tcW w:w="1055" w:type="dxa"/>
            <w:tcBorders>
              <w:top w:val="nil"/>
              <w:left w:val="nil"/>
              <w:bottom w:val="nil"/>
              <w:right w:val="nil"/>
            </w:tcBorders>
            <w:shd w:val="clear" w:color="auto" w:fill="auto"/>
            <w:noWrap/>
          </w:tcPr>
          <w:p w:rsidRPr="00710F73" w:rsidR="00710F73" w:rsidP="00710F73" w:rsidRDefault="00710F73" w14:paraId="50578E03" w14:textId="4CCD9527">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49EFDE0F" w14:textId="776C7CDC">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1226BE8B" w14:textId="2CB89819">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73688CD8" w14:textId="32876F93">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CF03D12" w14:textId="1B1586DE">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7763A617" w14:textId="7007042E">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4E7B64B" w14:textId="052DB562">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0849317E" w14:textId="5CD4A07C">
            <w:pPr>
              <w:tabs>
                <w:tab w:val="decimal" w:pos="363"/>
              </w:tabs>
              <w:jc w:val="right"/>
              <w:rPr>
                <w:sz w:val="16"/>
                <w:szCs w:val="16"/>
              </w:rPr>
            </w:pPr>
            <w:r w:rsidRPr="00710F73">
              <w:rPr>
                <w:sz w:val="16"/>
                <w:szCs w:val="16"/>
              </w:rPr>
              <w:t>0.0%</w:t>
            </w:r>
          </w:p>
        </w:tc>
      </w:tr>
      <w:tr w:rsidRPr="00720B8B" w:rsidR="00710F73" w:rsidTr="00702569" w14:paraId="42F99AD1"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3FB69E65" w14:textId="5C3ED4CD">
            <w:pPr>
              <w:jc w:val="right"/>
              <w:rPr>
                <w:sz w:val="16"/>
                <w:szCs w:val="16"/>
              </w:rPr>
            </w:pPr>
            <w:r w:rsidRPr="00710F73">
              <w:rPr>
                <w:color w:val="000000"/>
                <w:sz w:val="16"/>
                <w:szCs w:val="16"/>
              </w:rPr>
              <w:t>January 1, 2044</w:t>
            </w:r>
          </w:p>
        </w:tc>
        <w:tc>
          <w:tcPr>
            <w:tcW w:w="270" w:type="dxa"/>
            <w:tcBorders>
              <w:top w:val="nil"/>
              <w:left w:val="nil"/>
              <w:bottom w:val="nil"/>
              <w:right w:val="nil"/>
            </w:tcBorders>
            <w:shd w:val="clear" w:color="auto" w:fill="auto"/>
            <w:noWrap/>
            <w:vAlign w:val="bottom"/>
          </w:tcPr>
          <w:p w:rsidRPr="00710F73" w:rsidR="00710F73" w:rsidP="00710F73" w:rsidRDefault="00710F73" w14:paraId="5BE76B5F"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580EFDD1" w14:textId="6E826072">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522C20C1" w14:textId="10314E60">
            <w:pPr>
              <w:tabs>
                <w:tab w:val="decimal" w:pos="450"/>
              </w:tabs>
              <w:jc w:val="right"/>
              <w:rPr>
                <w:sz w:val="16"/>
                <w:szCs w:val="16"/>
              </w:rPr>
            </w:pPr>
            <w:r w:rsidRPr="00710F73">
              <w:rPr>
                <w:sz w:val="16"/>
                <w:szCs w:val="16"/>
              </w:rPr>
              <w:t>26.7%</w:t>
            </w:r>
          </w:p>
        </w:tc>
        <w:tc>
          <w:tcPr>
            <w:tcW w:w="1055" w:type="dxa"/>
            <w:tcBorders>
              <w:top w:val="nil"/>
              <w:left w:val="nil"/>
              <w:bottom w:val="nil"/>
              <w:right w:val="nil"/>
            </w:tcBorders>
            <w:shd w:val="clear" w:color="auto" w:fill="auto"/>
            <w:noWrap/>
          </w:tcPr>
          <w:p w:rsidRPr="00710F73" w:rsidR="00710F73" w:rsidP="00710F73" w:rsidRDefault="00710F73" w14:paraId="01F16030" w14:textId="486D6B46">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2403BD46" w14:textId="62E577F0">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E80E3E0" w14:textId="146A87FC">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71B2D0C1" w14:textId="5F731C53">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73FF67C8" w14:textId="093C154C">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283D649C" w14:textId="4D4C9123">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6497F60" w14:textId="08BFFB21">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5CA86362" w14:textId="717AAF18">
            <w:pPr>
              <w:tabs>
                <w:tab w:val="decimal" w:pos="363"/>
              </w:tabs>
              <w:jc w:val="right"/>
              <w:rPr>
                <w:sz w:val="16"/>
                <w:szCs w:val="16"/>
              </w:rPr>
            </w:pPr>
            <w:r w:rsidRPr="00710F73">
              <w:rPr>
                <w:sz w:val="16"/>
                <w:szCs w:val="16"/>
              </w:rPr>
              <w:t>0.0%</w:t>
            </w:r>
          </w:p>
        </w:tc>
      </w:tr>
      <w:tr w:rsidRPr="00720B8B" w:rsidR="00710F73" w:rsidTr="00702569" w14:paraId="35BA4668"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7CB51332" w14:textId="23AFB585">
            <w:pPr>
              <w:jc w:val="right"/>
              <w:rPr>
                <w:sz w:val="16"/>
                <w:szCs w:val="16"/>
              </w:rPr>
            </w:pPr>
            <w:r w:rsidRPr="00710F73">
              <w:rPr>
                <w:color w:val="000000"/>
                <w:sz w:val="16"/>
                <w:szCs w:val="16"/>
              </w:rPr>
              <w:t>January 1, 2045</w:t>
            </w:r>
          </w:p>
        </w:tc>
        <w:tc>
          <w:tcPr>
            <w:tcW w:w="270" w:type="dxa"/>
            <w:tcBorders>
              <w:top w:val="nil"/>
              <w:left w:val="nil"/>
              <w:bottom w:val="nil"/>
              <w:right w:val="nil"/>
            </w:tcBorders>
            <w:shd w:val="clear" w:color="auto" w:fill="auto"/>
            <w:noWrap/>
            <w:vAlign w:val="bottom"/>
          </w:tcPr>
          <w:p w:rsidRPr="00710F73" w:rsidR="00710F73" w:rsidP="00710F73" w:rsidRDefault="00710F73" w14:paraId="49AE6C1C"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43764D42" w14:textId="1BA93C0F">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2C7EA3B6" w14:textId="18A18EA3">
            <w:pPr>
              <w:tabs>
                <w:tab w:val="decimal" w:pos="450"/>
              </w:tabs>
              <w:jc w:val="right"/>
              <w:rPr>
                <w:sz w:val="16"/>
                <w:szCs w:val="16"/>
              </w:rPr>
            </w:pPr>
            <w:r w:rsidRPr="00710F73">
              <w:rPr>
                <w:sz w:val="16"/>
                <w:szCs w:val="16"/>
              </w:rPr>
              <w:t>26.7%</w:t>
            </w:r>
          </w:p>
        </w:tc>
        <w:tc>
          <w:tcPr>
            <w:tcW w:w="1055" w:type="dxa"/>
            <w:tcBorders>
              <w:top w:val="nil"/>
              <w:left w:val="nil"/>
              <w:bottom w:val="nil"/>
              <w:right w:val="nil"/>
            </w:tcBorders>
            <w:shd w:val="clear" w:color="auto" w:fill="auto"/>
            <w:noWrap/>
          </w:tcPr>
          <w:p w:rsidRPr="00710F73" w:rsidR="00710F73" w:rsidP="00710F73" w:rsidRDefault="00710F73" w14:paraId="115B4294" w14:textId="0BEF74FF">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7515E9D9" w14:textId="425EF8C3">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64B931FA" w14:textId="7B1197E1">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2FBF1F4F" w14:textId="2DE65899">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220EB38" w14:textId="02B0DB01">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3ECB529" w14:textId="6928E255">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AEEBC5D" w14:textId="1F9C9E25">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73BD06C9" w14:textId="7CF5A245">
            <w:pPr>
              <w:tabs>
                <w:tab w:val="decimal" w:pos="363"/>
              </w:tabs>
              <w:jc w:val="right"/>
              <w:rPr>
                <w:sz w:val="16"/>
                <w:szCs w:val="16"/>
              </w:rPr>
            </w:pPr>
            <w:r w:rsidRPr="00710F73">
              <w:rPr>
                <w:sz w:val="16"/>
                <w:szCs w:val="16"/>
              </w:rPr>
              <w:t>0.0%</w:t>
            </w:r>
          </w:p>
        </w:tc>
      </w:tr>
      <w:tr w:rsidRPr="00720B8B" w:rsidR="00710F73" w:rsidTr="00702569" w14:paraId="130DDDD2"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462BC126" w14:textId="3B84E62A">
            <w:pPr>
              <w:jc w:val="right"/>
              <w:rPr>
                <w:sz w:val="16"/>
                <w:szCs w:val="16"/>
              </w:rPr>
            </w:pPr>
            <w:r w:rsidRPr="00710F73">
              <w:rPr>
                <w:color w:val="000000"/>
                <w:sz w:val="16"/>
                <w:szCs w:val="16"/>
              </w:rPr>
              <w:t>January 1, 2046</w:t>
            </w:r>
          </w:p>
        </w:tc>
        <w:tc>
          <w:tcPr>
            <w:tcW w:w="270" w:type="dxa"/>
            <w:tcBorders>
              <w:top w:val="nil"/>
              <w:left w:val="nil"/>
              <w:bottom w:val="nil"/>
              <w:right w:val="nil"/>
            </w:tcBorders>
            <w:shd w:val="clear" w:color="auto" w:fill="auto"/>
            <w:noWrap/>
            <w:vAlign w:val="bottom"/>
          </w:tcPr>
          <w:p w:rsidRPr="00710F73" w:rsidR="00710F73" w:rsidP="00710F73" w:rsidRDefault="00710F73" w14:paraId="179D9F95"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14FFC344" w14:textId="398D3011">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32F2BAA8" w14:textId="76281CB5">
            <w:pPr>
              <w:tabs>
                <w:tab w:val="decimal" w:pos="450"/>
              </w:tabs>
              <w:jc w:val="right"/>
              <w:rPr>
                <w:sz w:val="16"/>
                <w:szCs w:val="16"/>
              </w:rPr>
            </w:pPr>
            <w:r w:rsidRPr="00710F73">
              <w:rPr>
                <w:sz w:val="16"/>
                <w:szCs w:val="16"/>
              </w:rPr>
              <w:t>26.7%</w:t>
            </w:r>
          </w:p>
        </w:tc>
        <w:tc>
          <w:tcPr>
            <w:tcW w:w="1055" w:type="dxa"/>
            <w:tcBorders>
              <w:top w:val="nil"/>
              <w:left w:val="nil"/>
              <w:bottom w:val="nil"/>
              <w:right w:val="nil"/>
            </w:tcBorders>
            <w:shd w:val="clear" w:color="auto" w:fill="auto"/>
            <w:noWrap/>
          </w:tcPr>
          <w:p w:rsidRPr="00710F73" w:rsidR="00710F73" w:rsidP="00710F73" w:rsidRDefault="00710F73" w14:paraId="24EF864A" w14:textId="31B15CF6">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13FF94C2" w14:textId="754507E4">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EFAA214" w14:textId="3B9A3D8E">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0028BDAC" w14:textId="32C32958">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601323F" w14:textId="56552571">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66F16EA8" w14:textId="2326171F">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72F0E1A" w14:textId="64D6666A">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433CEAF0" w14:textId="4D4C4DFF">
            <w:pPr>
              <w:tabs>
                <w:tab w:val="decimal" w:pos="363"/>
              </w:tabs>
              <w:jc w:val="right"/>
              <w:rPr>
                <w:sz w:val="16"/>
                <w:szCs w:val="16"/>
              </w:rPr>
            </w:pPr>
            <w:r w:rsidRPr="00710F73">
              <w:rPr>
                <w:sz w:val="16"/>
                <w:szCs w:val="16"/>
              </w:rPr>
              <w:t>0.0%</w:t>
            </w:r>
          </w:p>
        </w:tc>
      </w:tr>
      <w:tr w:rsidRPr="00720B8B" w:rsidR="00710F73" w:rsidTr="00702569" w14:paraId="204A95E1"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16037298" w14:textId="0AA2156D">
            <w:pPr>
              <w:jc w:val="right"/>
              <w:rPr>
                <w:sz w:val="16"/>
                <w:szCs w:val="16"/>
              </w:rPr>
            </w:pPr>
            <w:r w:rsidRPr="00710F73">
              <w:rPr>
                <w:color w:val="000000"/>
                <w:sz w:val="16"/>
                <w:szCs w:val="16"/>
              </w:rPr>
              <w:t>January 1, 2047</w:t>
            </w:r>
          </w:p>
        </w:tc>
        <w:tc>
          <w:tcPr>
            <w:tcW w:w="270" w:type="dxa"/>
            <w:tcBorders>
              <w:top w:val="nil"/>
              <w:left w:val="nil"/>
              <w:bottom w:val="nil"/>
              <w:right w:val="nil"/>
            </w:tcBorders>
            <w:shd w:val="clear" w:color="auto" w:fill="auto"/>
            <w:noWrap/>
            <w:vAlign w:val="bottom"/>
          </w:tcPr>
          <w:p w:rsidRPr="00710F73" w:rsidR="00710F73" w:rsidP="00710F73" w:rsidRDefault="00710F73" w14:paraId="1D4FF8A1"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2001EFF0" w14:textId="71EEE9FC">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055E8D8D" w14:textId="323AAA1A">
            <w:pPr>
              <w:tabs>
                <w:tab w:val="decimal" w:pos="450"/>
              </w:tabs>
              <w:jc w:val="right"/>
              <w:rPr>
                <w:sz w:val="16"/>
                <w:szCs w:val="16"/>
              </w:rPr>
            </w:pPr>
            <w:r w:rsidRPr="00710F73">
              <w:rPr>
                <w:sz w:val="16"/>
                <w:szCs w:val="16"/>
              </w:rPr>
              <w:t>26.7%</w:t>
            </w:r>
          </w:p>
        </w:tc>
        <w:tc>
          <w:tcPr>
            <w:tcW w:w="1055" w:type="dxa"/>
            <w:tcBorders>
              <w:top w:val="nil"/>
              <w:left w:val="nil"/>
              <w:bottom w:val="nil"/>
              <w:right w:val="nil"/>
            </w:tcBorders>
            <w:shd w:val="clear" w:color="auto" w:fill="auto"/>
            <w:noWrap/>
          </w:tcPr>
          <w:p w:rsidRPr="00710F73" w:rsidR="00710F73" w:rsidP="00710F73" w:rsidRDefault="00710F73" w14:paraId="17691904" w14:textId="01FBE07D">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35F16A2C" w14:textId="436CA800">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982EAE9" w14:textId="58431CD1">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7E7AA6B6" w14:textId="4913BC6A">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25A8B8E" w14:textId="6C3C0CD7">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26A88EBE" w14:textId="74841045">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2B78E5CB" w14:textId="51EB9731">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58145D42" w14:textId="5E1B345F">
            <w:pPr>
              <w:tabs>
                <w:tab w:val="decimal" w:pos="363"/>
              </w:tabs>
              <w:jc w:val="right"/>
              <w:rPr>
                <w:sz w:val="16"/>
                <w:szCs w:val="16"/>
              </w:rPr>
            </w:pPr>
            <w:r w:rsidRPr="00710F73">
              <w:rPr>
                <w:sz w:val="16"/>
                <w:szCs w:val="16"/>
              </w:rPr>
              <w:t>0.0%</w:t>
            </w:r>
          </w:p>
        </w:tc>
      </w:tr>
      <w:tr w:rsidRPr="00720B8B" w:rsidR="00710F73" w:rsidTr="00702569" w14:paraId="54BA3B48"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6864979A" w14:textId="420E512A">
            <w:pPr>
              <w:jc w:val="right"/>
              <w:rPr>
                <w:sz w:val="16"/>
                <w:szCs w:val="16"/>
              </w:rPr>
            </w:pPr>
            <w:r w:rsidRPr="00710F73">
              <w:rPr>
                <w:color w:val="000000"/>
                <w:sz w:val="16"/>
                <w:szCs w:val="16"/>
              </w:rPr>
              <w:t>January 1, 2048</w:t>
            </w:r>
          </w:p>
        </w:tc>
        <w:tc>
          <w:tcPr>
            <w:tcW w:w="270" w:type="dxa"/>
            <w:tcBorders>
              <w:top w:val="nil"/>
              <w:left w:val="nil"/>
              <w:bottom w:val="nil"/>
              <w:right w:val="nil"/>
            </w:tcBorders>
            <w:shd w:val="clear" w:color="auto" w:fill="auto"/>
            <w:noWrap/>
            <w:vAlign w:val="bottom"/>
          </w:tcPr>
          <w:p w:rsidRPr="00710F73" w:rsidR="00710F73" w:rsidP="00710F73" w:rsidRDefault="00710F73" w14:paraId="7618D7FE"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32231E70" w14:textId="2548C95F">
            <w:pPr>
              <w:tabs>
                <w:tab w:val="decimal" w:pos="448"/>
              </w:tabs>
              <w:jc w:val="right"/>
              <w:rPr>
                <w:sz w:val="16"/>
                <w:szCs w:val="16"/>
              </w:rPr>
            </w:pPr>
            <w:r w:rsidRPr="00710F73">
              <w:rPr>
                <w:sz w:val="16"/>
                <w:szCs w:val="16"/>
              </w:rPr>
              <w:t>100.0%</w:t>
            </w:r>
          </w:p>
        </w:tc>
        <w:tc>
          <w:tcPr>
            <w:tcW w:w="1170" w:type="dxa"/>
            <w:tcBorders>
              <w:top w:val="nil"/>
              <w:left w:val="nil"/>
              <w:bottom w:val="nil"/>
              <w:right w:val="nil"/>
            </w:tcBorders>
            <w:shd w:val="clear" w:color="auto" w:fill="auto"/>
            <w:noWrap/>
          </w:tcPr>
          <w:p w:rsidRPr="00710F73" w:rsidR="00710F73" w:rsidP="00710F73" w:rsidRDefault="00710F73" w14:paraId="08538F93" w14:textId="6DBB372C">
            <w:pPr>
              <w:tabs>
                <w:tab w:val="decimal" w:pos="450"/>
              </w:tabs>
              <w:jc w:val="right"/>
              <w:rPr>
                <w:sz w:val="16"/>
                <w:szCs w:val="16"/>
              </w:rPr>
            </w:pPr>
            <w:r w:rsidRPr="00710F73">
              <w:rPr>
                <w:sz w:val="16"/>
                <w:szCs w:val="16"/>
              </w:rPr>
              <w:t>26.7%</w:t>
            </w:r>
          </w:p>
        </w:tc>
        <w:tc>
          <w:tcPr>
            <w:tcW w:w="1055" w:type="dxa"/>
            <w:tcBorders>
              <w:top w:val="nil"/>
              <w:left w:val="nil"/>
              <w:bottom w:val="nil"/>
              <w:right w:val="nil"/>
            </w:tcBorders>
            <w:shd w:val="clear" w:color="auto" w:fill="auto"/>
            <w:noWrap/>
          </w:tcPr>
          <w:p w:rsidRPr="00710F73" w:rsidR="00710F73" w:rsidP="00710F73" w:rsidRDefault="00710F73" w14:paraId="08B7A890" w14:textId="4266E9AB">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08CA4B99" w14:textId="2075463E">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3C2D14C" w14:textId="021566F1">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73E42A98" w14:textId="45357258">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13430F32" w14:textId="2C703257">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EAA9BF4" w14:textId="5277DD3D">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22D8841" w14:textId="5A9B7349">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67D0EA52" w14:textId="3335DF7D">
            <w:pPr>
              <w:tabs>
                <w:tab w:val="decimal" w:pos="363"/>
              </w:tabs>
              <w:jc w:val="right"/>
              <w:rPr>
                <w:sz w:val="16"/>
                <w:szCs w:val="16"/>
              </w:rPr>
            </w:pPr>
            <w:r w:rsidRPr="00710F73">
              <w:rPr>
                <w:sz w:val="16"/>
                <w:szCs w:val="16"/>
              </w:rPr>
              <w:t>0.0%</w:t>
            </w:r>
          </w:p>
        </w:tc>
      </w:tr>
      <w:tr w:rsidRPr="00720B8B" w:rsidR="00710F73" w:rsidTr="00702569" w14:paraId="1BB3422B"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07811DCA" w14:textId="7D585210">
            <w:pPr>
              <w:jc w:val="right"/>
              <w:rPr>
                <w:sz w:val="16"/>
                <w:szCs w:val="16"/>
              </w:rPr>
            </w:pPr>
            <w:r w:rsidRPr="00710F73">
              <w:rPr>
                <w:color w:val="000000"/>
                <w:sz w:val="16"/>
                <w:szCs w:val="16"/>
              </w:rPr>
              <w:t>January 1, 2049</w:t>
            </w:r>
          </w:p>
        </w:tc>
        <w:tc>
          <w:tcPr>
            <w:tcW w:w="270" w:type="dxa"/>
            <w:tcBorders>
              <w:top w:val="nil"/>
              <w:left w:val="nil"/>
              <w:bottom w:val="nil"/>
              <w:right w:val="nil"/>
            </w:tcBorders>
            <w:shd w:val="clear" w:color="auto" w:fill="auto"/>
            <w:noWrap/>
            <w:vAlign w:val="bottom"/>
          </w:tcPr>
          <w:p w:rsidRPr="00710F73" w:rsidR="00710F73" w:rsidP="00710F73" w:rsidRDefault="00710F73" w14:paraId="7F607FAF"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340F4A58" w14:textId="049227E1">
            <w:pPr>
              <w:tabs>
                <w:tab w:val="decimal" w:pos="448"/>
              </w:tabs>
              <w:jc w:val="right"/>
              <w:rPr>
                <w:sz w:val="16"/>
                <w:szCs w:val="16"/>
              </w:rPr>
            </w:pPr>
            <w:r w:rsidRPr="00710F73">
              <w:rPr>
                <w:sz w:val="16"/>
                <w:szCs w:val="16"/>
              </w:rPr>
              <w:t>92.4%</w:t>
            </w:r>
          </w:p>
        </w:tc>
        <w:tc>
          <w:tcPr>
            <w:tcW w:w="1170" w:type="dxa"/>
            <w:tcBorders>
              <w:top w:val="nil"/>
              <w:left w:val="nil"/>
              <w:bottom w:val="nil"/>
              <w:right w:val="nil"/>
            </w:tcBorders>
            <w:shd w:val="clear" w:color="auto" w:fill="auto"/>
            <w:noWrap/>
          </w:tcPr>
          <w:p w:rsidRPr="00710F73" w:rsidR="00710F73" w:rsidP="00710F73" w:rsidRDefault="00710F73" w14:paraId="49A3EFDB" w14:textId="73A201B2">
            <w:pPr>
              <w:tabs>
                <w:tab w:val="decimal" w:pos="450"/>
              </w:tabs>
              <w:jc w:val="right"/>
              <w:rPr>
                <w:sz w:val="16"/>
                <w:szCs w:val="16"/>
              </w:rPr>
            </w:pPr>
            <w:r w:rsidRPr="00710F73">
              <w:rPr>
                <w:sz w:val="16"/>
                <w:szCs w:val="16"/>
              </w:rPr>
              <w:t>22.0%</w:t>
            </w:r>
          </w:p>
        </w:tc>
        <w:tc>
          <w:tcPr>
            <w:tcW w:w="1055" w:type="dxa"/>
            <w:tcBorders>
              <w:top w:val="nil"/>
              <w:left w:val="nil"/>
              <w:bottom w:val="nil"/>
              <w:right w:val="nil"/>
            </w:tcBorders>
            <w:shd w:val="clear" w:color="auto" w:fill="auto"/>
            <w:noWrap/>
          </w:tcPr>
          <w:p w:rsidRPr="00710F73" w:rsidR="00710F73" w:rsidP="00710F73" w:rsidRDefault="00710F73" w14:paraId="31356EE4" w14:textId="7DFE7330">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69EBDB7F" w14:textId="0511A1AC">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18507998" w14:textId="4B3DB3E5">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6255899E" w14:textId="2756A3A9">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68D6498" w14:textId="161C64B5">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7958C7CC" w14:textId="536A8CA9">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DF5E03B" w14:textId="3FF0A599">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3CA832D7" w14:textId="3D4F5117">
            <w:pPr>
              <w:tabs>
                <w:tab w:val="decimal" w:pos="363"/>
              </w:tabs>
              <w:jc w:val="right"/>
              <w:rPr>
                <w:sz w:val="16"/>
                <w:szCs w:val="16"/>
              </w:rPr>
            </w:pPr>
            <w:r w:rsidRPr="00710F73">
              <w:rPr>
                <w:sz w:val="16"/>
                <w:szCs w:val="16"/>
              </w:rPr>
              <w:t>0.0%</w:t>
            </w:r>
          </w:p>
        </w:tc>
      </w:tr>
      <w:tr w:rsidRPr="00720B8B" w:rsidR="00710F73" w:rsidTr="00702569" w14:paraId="4DA6FAA3"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7CC20871" w14:textId="7CCB9FCA">
            <w:pPr>
              <w:jc w:val="right"/>
              <w:rPr>
                <w:color w:val="000000"/>
                <w:sz w:val="16"/>
                <w:szCs w:val="16"/>
              </w:rPr>
            </w:pPr>
            <w:r w:rsidRPr="00710F73">
              <w:rPr>
                <w:color w:val="000000"/>
                <w:sz w:val="16"/>
                <w:szCs w:val="16"/>
              </w:rPr>
              <w:t>January 1, 2050</w:t>
            </w:r>
          </w:p>
        </w:tc>
        <w:tc>
          <w:tcPr>
            <w:tcW w:w="270" w:type="dxa"/>
            <w:tcBorders>
              <w:top w:val="nil"/>
              <w:left w:val="nil"/>
              <w:bottom w:val="nil"/>
              <w:right w:val="nil"/>
            </w:tcBorders>
            <w:shd w:val="clear" w:color="auto" w:fill="auto"/>
            <w:noWrap/>
            <w:vAlign w:val="bottom"/>
          </w:tcPr>
          <w:p w:rsidRPr="00710F73" w:rsidR="00710F73" w:rsidP="00710F73" w:rsidRDefault="00710F73" w14:paraId="3ACACE7D"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11605992" w14:textId="5634217C">
            <w:pPr>
              <w:tabs>
                <w:tab w:val="decimal" w:pos="448"/>
              </w:tabs>
              <w:jc w:val="right"/>
              <w:rPr>
                <w:color w:val="000000"/>
                <w:sz w:val="16"/>
                <w:szCs w:val="16"/>
              </w:rPr>
            </w:pPr>
            <w:r w:rsidRPr="00710F73">
              <w:rPr>
                <w:sz w:val="16"/>
                <w:szCs w:val="16"/>
              </w:rPr>
              <w:t>76.5%</w:t>
            </w:r>
          </w:p>
        </w:tc>
        <w:tc>
          <w:tcPr>
            <w:tcW w:w="1170" w:type="dxa"/>
            <w:tcBorders>
              <w:top w:val="nil"/>
              <w:left w:val="nil"/>
              <w:bottom w:val="nil"/>
              <w:right w:val="nil"/>
            </w:tcBorders>
            <w:shd w:val="clear" w:color="auto" w:fill="auto"/>
            <w:noWrap/>
          </w:tcPr>
          <w:p w:rsidRPr="00710F73" w:rsidR="00710F73" w:rsidP="00710F73" w:rsidRDefault="00710F73" w14:paraId="3858E672" w14:textId="6A8651A5">
            <w:pPr>
              <w:tabs>
                <w:tab w:val="decimal" w:pos="450"/>
              </w:tabs>
              <w:jc w:val="right"/>
              <w:rPr>
                <w:color w:val="000000"/>
                <w:sz w:val="16"/>
                <w:szCs w:val="16"/>
              </w:rPr>
            </w:pPr>
            <w:r w:rsidRPr="00710F73">
              <w:rPr>
                <w:sz w:val="16"/>
                <w:szCs w:val="16"/>
              </w:rPr>
              <w:t>15.6%</w:t>
            </w:r>
          </w:p>
        </w:tc>
        <w:tc>
          <w:tcPr>
            <w:tcW w:w="1055" w:type="dxa"/>
            <w:tcBorders>
              <w:top w:val="nil"/>
              <w:left w:val="nil"/>
              <w:bottom w:val="nil"/>
              <w:right w:val="nil"/>
            </w:tcBorders>
            <w:shd w:val="clear" w:color="auto" w:fill="auto"/>
            <w:noWrap/>
          </w:tcPr>
          <w:p w:rsidRPr="00710F73" w:rsidR="00710F73" w:rsidP="00710F73" w:rsidRDefault="00710F73" w14:paraId="458D63ED" w14:textId="48672482">
            <w:pPr>
              <w:tabs>
                <w:tab w:val="decimal" w:pos="361"/>
              </w:tabs>
              <w:jc w:val="right"/>
              <w:rPr>
                <w:color w:val="000000"/>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5C3F63FF" w14:textId="1DDE98A2">
            <w:pPr>
              <w:tabs>
                <w:tab w:val="decimal" w:pos="355"/>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6EC12DE" w14:textId="298450F4">
            <w:pPr>
              <w:tabs>
                <w:tab w:val="decimal" w:pos="361"/>
              </w:tabs>
              <w:jc w:val="right"/>
              <w:rPr>
                <w:color w:val="000000"/>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299C9156" w14:textId="46353B39">
            <w:pPr>
              <w:tabs>
                <w:tab w:val="decimal" w:pos="428"/>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76805D0A" w14:textId="0FB7B7EE">
            <w:pPr>
              <w:tabs>
                <w:tab w:val="decimal" w:pos="366"/>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57E4FCE" w14:textId="2F992D72">
            <w:pPr>
              <w:tabs>
                <w:tab w:val="decimal" w:pos="363"/>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9C85F63" w14:textId="6C27B73A">
            <w:pPr>
              <w:tabs>
                <w:tab w:val="decimal" w:pos="353"/>
              </w:tabs>
              <w:jc w:val="right"/>
              <w:rPr>
                <w:color w:val="000000"/>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270032BB" w14:textId="6DC80AEF">
            <w:pPr>
              <w:tabs>
                <w:tab w:val="decimal" w:pos="363"/>
              </w:tabs>
              <w:jc w:val="right"/>
              <w:rPr>
                <w:color w:val="000000"/>
                <w:sz w:val="16"/>
                <w:szCs w:val="16"/>
              </w:rPr>
            </w:pPr>
            <w:r w:rsidRPr="00710F73">
              <w:rPr>
                <w:sz w:val="16"/>
                <w:szCs w:val="16"/>
              </w:rPr>
              <w:t>0.0%</w:t>
            </w:r>
          </w:p>
        </w:tc>
      </w:tr>
      <w:tr w:rsidRPr="00720B8B" w:rsidR="00710F73" w:rsidTr="00702569" w14:paraId="691EA154"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6A1FB2B1" w14:textId="105BDB39">
            <w:pPr>
              <w:jc w:val="right"/>
              <w:rPr>
                <w:color w:val="000000"/>
                <w:sz w:val="16"/>
                <w:szCs w:val="16"/>
              </w:rPr>
            </w:pPr>
            <w:r w:rsidRPr="00710F73">
              <w:rPr>
                <w:color w:val="000000"/>
                <w:sz w:val="16"/>
                <w:szCs w:val="16"/>
              </w:rPr>
              <w:t>January 1, 2051</w:t>
            </w:r>
          </w:p>
        </w:tc>
        <w:tc>
          <w:tcPr>
            <w:tcW w:w="270" w:type="dxa"/>
            <w:tcBorders>
              <w:top w:val="nil"/>
              <w:left w:val="nil"/>
              <w:bottom w:val="nil"/>
              <w:right w:val="nil"/>
            </w:tcBorders>
            <w:shd w:val="clear" w:color="auto" w:fill="auto"/>
            <w:noWrap/>
            <w:vAlign w:val="bottom"/>
          </w:tcPr>
          <w:p w:rsidRPr="00710F73" w:rsidR="00710F73" w:rsidP="00710F73" w:rsidRDefault="00710F73" w14:paraId="5D1710F5"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58F26CFB" w14:textId="29B5D441">
            <w:pPr>
              <w:tabs>
                <w:tab w:val="decimal" w:pos="448"/>
              </w:tabs>
              <w:jc w:val="right"/>
              <w:rPr>
                <w:color w:val="000000"/>
                <w:sz w:val="16"/>
                <w:szCs w:val="16"/>
              </w:rPr>
            </w:pPr>
            <w:r w:rsidRPr="00710F73">
              <w:rPr>
                <w:sz w:val="16"/>
                <w:szCs w:val="16"/>
              </w:rPr>
              <w:t>59.3%</w:t>
            </w:r>
          </w:p>
        </w:tc>
        <w:tc>
          <w:tcPr>
            <w:tcW w:w="1170" w:type="dxa"/>
            <w:tcBorders>
              <w:top w:val="nil"/>
              <w:left w:val="nil"/>
              <w:bottom w:val="nil"/>
              <w:right w:val="nil"/>
            </w:tcBorders>
            <w:shd w:val="clear" w:color="auto" w:fill="auto"/>
            <w:noWrap/>
          </w:tcPr>
          <w:p w:rsidRPr="00710F73" w:rsidR="00710F73" w:rsidP="00710F73" w:rsidRDefault="00710F73" w14:paraId="674BBB30" w14:textId="71391A08">
            <w:pPr>
              <w:tabs>
                <w:tab w:val="decimal" w:pos="450"/>
              </w:tabs>
              <w:jc w:val="right"/>
              <w:rPr>
                <w:color w:val="000000"/>
                <w:sz w:val="16"/>
                <w:szCs w:val="16"/>
              </w:rPr>
            </w:pPr>
            <w:r w:rsidRPr="00710F73">
              <w:rPr>
                <w:sz w:val="16"/>
                <w:szCs w:val="16"/>
              </w:rPr>
              <w:t>12.1%</w:t>
            </w:r>
          </w:p>
        </w:tc>
        <w:tc>
          <w:tcPr>
            <w:tcW w:w="1055" w:type="dxa"/>
            <w:tcBorders>
              <w:top w:val="nil"/>
              <w:left w:val="nil"/>
              <w:bottom w:val="nil"/>
              <w:right w:val="nil"/>
            </w:tcBorders>
            <w:shd w:val="clear" w:color="auto" w:fill="auto"/>
            <w:noWrap/>
          </w:tcPr>
          <w:p w:rsidRPr="00710F73" w:rsidR="00710F73" w:rsidP="00710F73" w:rsidRDefault="00710F73" w14:paraId="5F5910C1" w14:textId="7E011E6E">
            <w:pPr>
              <w:tabs>
                <w:tab w:val="decimal" w:pos="361"/>
              </w:tabs>
              <w:jc w:val="right"/>
              <w:rPr>
                <w:color w:val="000000"/>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76E4A0AA" w14:textId="7A544A46">
            <w:pPr>
              <w:tabs>
                <w:tab w:val="decimal" w:pos="355"/>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BF490D2" w14:textId="6A6ACE6C">
            <w:pPr>
              <w:tabs>
                <w:tab w:val="decimal" w:pos="361"/>
              </w:tabs>
              <w:jc w:val="right"/>
              <w:rPr>
                <w:color w:val="000000"/>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306493E5" w14:textId="63391024">
            <w:pPr>
              <w:tabs>
                <w:tab w:val="decimal" w:pos="428"/>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1D8A763C" w14:textId="242B3F4A">
            <w:pPr>
              <w:tabs>
                <w:tab w:val="decimal" w:pos="366"/>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63E69E8E" w14:textId="4F5D9227">
            <w:pPr>
              <w:tabs>
                <w:tab w:val="decimal" w:pos="363"/>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215DA7B9" w14:textId="0CB03171">
            <w:pPr>
              <w:tabs>
                <w:tab w:val="decimal" w:pos="353"/>
              </w:tabs>
              <w:jc w:val="right"/>
              <w:rPr>
                <w:color w:val="000000"/>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20F81A88" w14:textId="75ECEEC5">
            <w:pPr>
              <w:tabs>
                <w:tab w:val="decimal" w:pos="363"/>
              </w:tabs>
              <w:jc w:val="right"/>
              <w:rPr>
                <w:color w:val="000000"/>
                <w:sz w:val="16"/>
                <w:szCs w:val="16"/>
              </w:rPr>
            </w:pPr>
            <w:r w:rsidRPr="00710F73">
              <w:rPr>
                <w:sz w:val="16"/>
                <w:szCs w:val="16"/>
              </w:rPr>
              <w:t>0.0%</w:t>
            </w:r>
          </w:p>
        </w:tc>
      </w:tr>
      <w:tr w:rsidRPr="00720B8B" w:rsidR="00710F73" w:rsidTr="00702569" w14:paraId="452C6C2B"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245F030A" w14:textId="5D9BEBCC">
            <w:pPr>
              <w:jc w:val="right"/>
              <w:rPr>
                <w:color w:val="000000"/>
                <w:sz w:val="16"/>
                <w:szCs w:val="16"/>
              </w:rPr>
            </w:pPr>
            <w:r w:rsidRPr="00710F73">
              <w:rPr>
                <w:color w:val="000000"/>
                <w:sz w:val="16"/>
                <w:szCs w:val="16"/>
              </w:rPr>
              <w:t>January 1, 2052</w:t>
            </w:r>
          </w:p>
        </w:tc>
        <w:tc>
          <w:tcPr>
            <w:tcW w:w="270" w:type="dxa"/>
            <w:tcBorders>
              <w:top w:val="nil"/>
              <w:left w:val="nil"/>
              <w:bottom w:val="nil"/>
              <w:right w:val="nil"/>
            </w:tcBorders>
            <w:shd w:val="clear" w:color="auto" w:fill="auto"/>
            <w:noWrap/>
            <w:vAlign w:val="bottom"/>
          </w:tcPr>
          <w:p w:rsidRPr="00710F73" w:rsidR="00710F73" w:rsidP="00710F73" w:rsidRDefault="00710F73" w14:paraId="6C0460A9"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7EFD1EEA" w14:textId="604195BA">
            <w:pPr>
              <w:tabs>
                <w:tab w:val="decimal" w:pos="448"/>
              </w:tabs>
              <w:jc w:val="right"/>
              <w:rPr>
                <w:color w:val="000000"/>
                <w:sz w:val="16"/>
                <w:szCs w:val="16"/>
              </w:rPr>
            </w:pPr>
            <w:r w:rsidRPr="00710F73">
              <w:rPr>
                <w:sz w:val="16"/>
                <w:szCs w:val="16"/>
              </w:rPr>
              <w:t>40.8%</w:t>
            </w:r>
          </w:p>
        </w:tc>
        <w:tc>
          <w:tcPr>
            <w:tcW w:w="1170" w:type="dxa"/>
            <w:tcBorders>
              <w:top w:val="nil"/>
              <w:left w:val="nil"/>
              <w:bottom w:val="nil"/>
              <w:right w:val="nil"/>
            </w:tcBorders>
            <w:shd w:val="clear" w:color="auto" w:fill="auto"/>
            <w:noWrap/>
          </w:tcPr>
          <w:p w:rsidRPr="00710F73" w:rsidR="00710F73" w:rsidP="00710F73" w:rsidRDefault="00710F73" w14:paraId="4F97EA06" w14:textId="31327968">
            <w:pPr>
              <w:tabs>
                <w:tab w:val="decimal" w:pos="450"/>
              </w:tabs>
              <w:jc w:val="right"/>
              <w:rPr>
                <w:color w:val="000000"/>
                <w:sz w:val="16"/>
                <w:szCs w:val="16"/>
              </w:rPr>
            </w:pPr>
            <w:r w:rsidRPr="00710F73">
              <w:rPr>
                <w:sz w:val="16"/>
                <w:szCs w:val="16"/>
              </w:rPr>
              <w:t>8.3%</w:t>
            </w:r>
          </w:p>
        </w:tc>
        <w:tc>
          <w:tcPr>
            <w:tcW w:w="1055" w:type="dxa"/>
            <w:tcBorders>
              <w:top w:val="nil"/>
              <w:left w:val="nil"/>
              <w:bottom w:val="nil"/>
              <w:right w:val="nil"/>
            </w:tcBorders>
            <w:shd w:val="clear" w:color="auto" w:fill="auto"/>
            <w:noWrap/>
          </w:tcPr>
          <w:p w:rsidRPr="00710F73" w:rsidR="00710F73" w:rsidP="00710F73" w:rsidRDefault="00710F73" w14:paraId="11F9BB21" w14:textId="586493DF">
            <w:pPr>
              <w:tabs>
                <w:tab w:val="decimal" w:pos="361"/>
              </w:tabs>
              <w:jc w:val="right"/>
              <w:rPr>
                <w:color w:val="000000"/>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348C9763" w14:textId="2FB4C34C">
            <w:pPr>
              <w:tabs>
                <w:tab w:val="decimal" w:pos="355"/>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109885DD" w14:textId="6F716D62">
            <w:pPr>
              <w:tabs>
                <w:tab w:val="decimal" w:pos="361"/>
              </w:tabs>
              <w:jc w:val="right"/>
              <w:rPr>
                <w:color w:val="000000"/>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46541B0B" w14:textId="1C15CE20">
            <w:pPr>
              <w:tabs>
                <w:tab w:val="decimal" w:pos="428"/>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239E51D6" w14:textId="652F2D70">
            <w:pPr>
              <w:tabs>
                <w:tab w:val="decimal" w:pos="366"/>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BB6343F" w14:textId="374D9806">
            <w:pPr>
              <w:tabs>
                <w:tab w:val="decimal" w:pos="363"/>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67FEFC86" w14:textId="12E51534">
            <w:pPr>
              <w:tabs>
                <w:tab w:val="decimal" w:pos="353"/>
              </w:tabs>
              <w:jc w:val="right"/>
              <w:rPr>
                <w:color w:val="000000"/>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3C2A7DE4" w14:textId="1F54172A">
            <w:pPr>
              <w:tabs>
                <w:tab w:val="decimal" w:pos="363"/>
              </w:tabs>
              <w:jc w:val="right"/>
              <w:rPr>
                <w:color w:val="000000"/>
                <w:sz w:val="16"/>
                <w:szCs w:val="16"/>
              </w:rPr>
            </w:pPr>
            <w:r w:rsidRPr="00710F73">
              <w:rPr>
                <w:sz w:val="16"/>
                <w:szCs w:val="16"/>
              </w:rPr>
              <w:t>0.0%</w:t>
            </w:r>
          </w:p>
        </w:tc>
      </w:tr>
      <w:tr w:rsidRPr="00720B8B" w:rsidR="00710F73" w:rsidTr="00702569" w14:paraId="1AC1BB71"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391DCB79" w14:textId="1D95A700">
            <w:pPr>
              <w:jc w:val="right"/>
              <w:rPr>
                <w:color w:val="000000"/>
                <w:sz w:val="16"/>
                <w:szCs w:val="16"/>
              </w:rPr>
            </w:pPr>
            <w:r w:rsidRPr="00710F73">
              <w:rPr>
                <w:color w:val="000000"/>
                <w:sz w:val="16"/>
                <w:szCs w:val="16"/>
              </w:rPr>
              <w:t>January 1, 2053</w:t>
            </w:r>
          </w:p>
        </w:tc>
        <w:tc>
          <w:tcPr>
            <w:tcW w:w="270" w:type="dxa"/>
            <w:tcBorders>
              <w:top w:val="nil"/>
              <w:left w:val="nil"/>
              <w:bottom w:val="nil"/>
              <w:right w:val="nil"/>
            </w:tcBorders>
            <w:shd w:val="clear" w:color="auto" w:fill="auto"/>
            <w:noWrap/>
            <w:vAlign w:val="bottom"/>
          </w:tcPr>
          <w:p w:rsidRPr="00710F73" w:rsidR="00710F73" w:rsidP="00710F73" w:rsidRDefault="00710F73" w14:paraId="4713B39A"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59DE0232" w14:textId="23CB20F5">
            <w:pPr>
              <w:tabs>
                <w:tab w:val="decimal" w:pos="448"/>
              </w:tabs>
              <w:jc w:val="right"/>
              <w:rPr>
                <w:color w:val="000000"/>
                <w:sz w:val="16"/>
                <w:szCs w:val="16"/>
              </w:rPr>
            </w:pPr>
            <w:r w:rsidRPr="00710F73">
              <w:rPr>
                <w:sz w:val="16"/>
                <w:szCs w:val="16"/>
              </w:rPr>
              <w:t>21.0%</w:t>
            </w:r>
          </w:p>
        </w:tc>
        <w:tc>
          <w:tcPr>
            <w:tcW w:w="1170" w:type="dxa"/>
            <w:tcBorders>
              <w:top w:val="nil"/>
              <w:left w:val="nil"/>
              <w:bottom w:val="nil"/>
              <w:right w:val="nil"/>
            </w:tcBorders>
            <w:shd w:val="clear" w:color="auto" w:fill="auto"/>
            <w:noWrap/>
          </w:tcPr>
          <w:p w:rsidRPr="00710F73" w:rsidR="00710F73" w:rsidP="00710F73" w:rsidRDefault="00710F73" w14:paraId="35071D8B" w14:textId="441B94A6">
            <w:pPr>
              <w:tabs>
                <w:tab w:val="decimal" w:pos="450"/>
              </w:tabs>
              <w:jc w:val="right"/>
              <w:rPr>
                <w:color w:val="000000"/>
                <w:sz w:val="16"/>
                <w:szCs w:val="16"/>
              </w:rPr>
            </w:pPr>
            <w:r w:rsidRPr="00710F73">
              <w:rPr>
                <w:sz w:val="16"/>
                <w:szCs w:val="16"/>
              </w:rPr>
              <w:t>4.3%</w:t>
            </w:r>
          </w:p>
        </w:tc>
        <w:tc>
          <w:tcPr>
            <w:tcW w:w="1055" w:type="dxa"/>
            <w:tcBorders>
              <w:top w:val="nil"/>
              <w:left w:val="nil"/>
              <w:bottom w:val="nil"/>
              <w:right w:val="nil"/>
            </w:tcBorders>
            <w:shd w:val="clear" w:color="auto" w:fill="auto"/>
            <w:noWrap/>
          </w:tcPr>
          <w:p w:rsidRPr="00710F73" w:rsidR="00710F73" w:rsidP="00710F73" w:rsidRDefault="00710F73" w14:paraId="6D052E1E" w14:textId="5103BD7F">
            <w:pPr>
              <w:tabs>
                <w:tab w:val="decimal" w:pos="361"/>
              </w:tabs>
              <w:jc w:val="right"/>
              <w:rPr>
                <w:color w:val="000000"/>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7AC71FD1" w14:textId="121B70B4">
            <w:pPr>
              <w:tabs>
                <w:tab w:val="decimal" w:pos="355"/>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441C9CEC" w14:textId="662F38C0">
            <w:pPr>
              <w:tabs>
                <w:tab w:val="decimal" w:pos="361"/>
              </w:tabs>
              <w:jc w:val="right"/>
              <w:rPr>
                <w:color w:val="000000"/>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18BCD74A" w14:textId="0680AAF2">
            <w:pPr>
              <w:tabs>
                <w:tab w:val="decimal" w:pos="428"/>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1F9BE549" w14:textId="2E2B4D9B">
            <w:pPr>
              <w:tabs>
                <w:tab w:val="decimal" w:pos="366"/>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AB7EC39" w14:textId="7BD349EC">
            <w:pPr>
              <w:tabs>
                <w:tab w:val="decimal" w:pos="363"/>
              </w:tabs>
              <w:jc w:val="right"/>
              <w:rPr>
                <w:color w:val="000000"/>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3CEE2438" w14:textId="57459854">
            <w:pPr>
              <w:tabs>
                <w:tab w:val="decimal" w:pos="353"/>
              </w:tabs>
              <w:jc w:val="right"/>
              <w:rPr>
                <w:color w:val="000000"/>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16F04632" w14:textId="0AEB24AE">
            <w:pPr>
              <w:tabs>
                <w:tab w:val="decimal" w:pos="363"/>
              </w:tabs>
              <w:jc w:val="right"/>
              <w:rPr>
                <w:color w:val="000000"/>
                <w:sz w:val="16"/>
                <w:szCs w:val="16"/>
              </w:rPr>
            </w:pPr>
            <w:r w:rsidRPr="00710F73">
              <w:rPr>
                <w:sz w:val="16"/>
                <w:szCs w:val="16"/>
              </w:rPr>
              <w:t>0.0%</w:t>
            </w:r>
          </w:p>
        </w:tc>
      </w:tr>
      <w:tr w:rsidRPr="00720B8B" w:rsidR="00710F73" w:rsidTr="00702569" w14:paraId="651D5952"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46FE19DA" w14:textId="41DFE318">
            <w:pPr>
              <w:jc w:val="right"/>
              <w:rPr>
                <w:sz w:val="16"/>
                <w:szCs w:val="16"/>
              </w:rPr>
            </w:pPr>
            <w:r w:rsidRPr="00710F73">
              <w:rPr>
                <w:color w:val="000000"/>
                <w:sz w:val="16"/>
                <w:szCs w:val="16"/>
              </w:rPr>
              <w:t>January 1, 2054</w:t>
            </w:r>
          </w:p>
        </w:tc>
        <w:tc>
          <w:tcPr>
            <w:tcW w:w="270" w:type="dxa"/>
            <w:tcBorders>
              <w:top w:val="nil"/>
              <w:left w:val="nil"/>
              <w:bottom w:val="nil"/>
              <w:right w:val="nil"/>
            </w:tcBorders>
            <w:shd w:val="clear" w:color="auto" w:fill="auto"/>
            <w:noWrap/>
            <w:vAlign w:val="bottom"/>
          </w:tcPr>
          <w:p w:rsidRPr="00710F73" w:rsidR="00710F73" w:rsidP="00710F73" w:rsidRDefault="00710F73" w14:paraId="1D329CCF"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39B67828" w14:textId="3EE40197">
            <w:pPr>
              <w:tabs>
                <w:tab w:val="decimal" w:pos="448"/>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282C70E6" w14:textId="303355FA">
            <w:pPr>
              <w:tabs>
                <w:tab w:val="decimal" w:pos="450"/>
              </w:tabs>
              <w:jc w:val="right"/>
              <w:rPr>
                <w:sz w:val="16"/>
                <w:szCs w:val="16"/>
              </w:rPr>
            </w:pPr>
            <w:r w:rsidRPr="00710F73">
              <w:rPr>
                <w:sz w:val="16"/>
                <w:szCs w:val="16"/>
              </w:rPr>
              <w:t>0.0%</w:t>
            </w:r>
          </w:p>
        </w:tc>
        <w:tc>
          <w:tcPr>
            <w:tcW w:w="1055" w:type="dxa"/>
            <w:tcBorders>
              <w:top w:val="nil"/>
              <w:left w:val="nil"/>
              <w:bottom w:val="nil"/>
              <w:right w:val="nil"/>
            </w:tcBorders>
            <w:shd w:val="clear" w:color="auto" w:fill="auto"/>
            <w:noWrap/>
          </w:tcPr>
          <w:p w:rsidRPr="00710F73" w:rsidR="00710F73" w:rsidP="00710F73" w:rsidRDefault="00710F73" w14:paraId="4BF3DD47" w14:textId="18BBA75A">
            <w:pPr>
              <w:tabs>
                <w:tab w:val="decimal" w:pos="361"/>
              </w:tabs>
              <w:jc w:val="right"/>
              <w:rPr>
                <w:sz w:val="16"/>
                <w:szCs w:val="16"/>
              </w:rPr>
            </w:pPr>
            <w:r w:rsidRPr="00710F73">
              <w:rPr>
                <w:sz w:val="16"/>
                <w:szCs w:val="16"/>
              </w:rPr>
              <w:t>0.0%</w:t>
            </w:r>
          </w:p>
        </w:tc>
        <w:tc>
          <w:tcPr>
            <w:tcW w:w="1128" w:type="dxa"/>
            <w:tcBorders>
              <w:top w:val="nil"/>
              <w:left w:val="nil"/>
              <w:bottom w:val="nil"/>
              <w:right w:val="nil"/>
            </w:tcBorders>
            <w:shd w:val="clear" w:color="auto" w:fill="auto"/>
            <w:noWrap/>
          </w:tcPr>
          <w:p w:rsidRPr="00710F73" w:rsidR="00710F73" w:rsidP="00710F73" w:rsidRDefault="00710F73" w14:paraId="657CCFB2" w14:textId="66C2285C">
            <w:pPr>
              <w:tabs>
                <w:tab w:val="decimal" w:pos="355"/>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0038D6E1" w14:textId="488A5D02">
            <w:pPr>
              <w:tabs>
                <w:tab w:val="decimal" w:pos="361"/>
              </w:tabs>
              <w:jc w:val="right"/>
              <w:rPr>
                <w:sz w:val="16"/>
                <w:szCs w:val="16"/>
              </w:rPr>
            </w:pPr>
            <w:r w:rsidRPr="00710F73">
              <w:rPr>
                <w:sz w:val="16"/>
                <w:szCs w:val="16"/>
              </w:rPr>
              <w:t>0.0%</w:t>
            </w:r>
          </w:p>
        </w:tc>
        <w:tc>
          <w:tcPr>
            <w:tcW w:w="1170" w:type="dxa"/>
            <w:tcBorders>
              <w:top w:val="nil"/>
              <w:left w:val="nil"/>
              <w:bottom w:val="nil"/>
              <w:right w:val="nil"/>
            </w:tcBorders>
            <w:shd w:val="clear" w:color="auto" w:fill="auto"/>
            <w:noWrap/>
          </w:tcPr>
          <w:p w:rsidRPr="00710F73" w:rsidR="00710F73" w:rsidP="00710F73" w:rsidRDefault="00710F73" w14:paraId="1F9828D7" w14:textId="613B1AF3">
            <w:pPr>
              <w:tabs>
                <w:tab w:val="decimal" w:pos="428"/>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2B63954D" w14:textId="2D96D854">
            <w:pPr>
              <w:tabs>
                <w:tab w:val="decimal" w:pos="366"/>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266380FE" w14:textId="08111D11">
            <w:pPr>
              <w:tabs>
                <w:tab w:val="decimal" w:pos="363"/>
              </w:tabs>
              <w:jc w:val="right"/>
              <w:rPr>
                <w:sz w:val="16"/>
                <w:szCs w:val="16"/>
              </w:rPr>
            </w:pPr>
            <w:r w:rsidRPr="00710F73">
              <w:rPr>
                <w:sz w:val="16"/>
                <w:szCs w:val="16"/>
              </w:rPr>
              <w:t>0.0%</w:t>
            </w:r>
          </w:p>
        </w:tc>
        <w:tc>
          <w:tcPr>
            <w:tcW w:w="1080" w:type="dxa"/>
            <w:tcBorders>
              <w:top w:val="nil"/>
              <w:left w:val="nil"/>
              <w:bottom w:val="nil"/>
              <w:right w:val="nil"/>
            </w:tcBorders>
            <w:shd w:val="clear" w:color="auto" w:fill="auto"/>
            <w:noWrap/>
          </w:tcPr>
          <w:p w:rsidRPr="00710F73" w:rsidR="00710F73" w:rsidP="00710F73" w:rsidRDefault="00710F73" w14:paraId="525857D4" w14:textId="4CFC8AAF">
            <w:pPr>
              <w:tabs>
                <w:tab w:val="decimal" w:pos="353"/>
              </w:tabs>
              <w:jc w:val="right"/>
              <w:rPr>
                <w:sz w:val="16"/>
                <w:szCs w:val="16"/>
              </w:rPr>
            </w:pPr>
            <w:r w:rsidRPr="00710F73">
              <w:rPr>
                <w:sz w:val="16"/>
                <w:szCs w:val="16"/>
              </w:rPr>
              <w:t>0.0%</w:t>
            </w:r>
          </w:p>
        </w:tc>
        <w:tc>
          <w:tcPr>
            <w:tcW w:w="1199" w:type="dxa"/>
            <w:tcBorders>
              <w:top w:val="nil"/>
              <w:left w:val="nil"/>
              <w:bottom w:val="nil"/>
              <w:right w:val="nil"/>
            </w:tcBorders>
            <w:shd w:val="clear" w:color="auto" w:fill="auto"/>
            <w:noWrap/>
          </w:tcPr>
          <w:p w:rsidRPr="00710F73" w:rsidR="00710F73" w:rsidP="00710F73" w:rsidRDefault="00710F73" w14:paraId="222E4BC4" w14:textId="22A38EA5">
            <w:pPr>
              <w:tabs>
                <w:tab w:val="decimal" w:pos="363"/>
              </w:tabs>
              <w:jc w:val="right"/>
              <w:rPr>
                <w:sz w:val="16"/>
                <w:szCs w:val="16"/>
              </w:rPr>
            </w:pPr>
            <w:r w:rsidRPr="00710F73">
              <w:rPr>
                <w:sz w:val="16"/>
                <w:szCs w:val="16"/>
              </w:rPr>
              <w:t>0.0%</w:t>
            </w:r>
          </w:p>
        </w:tc>
      </w:tr>
      <w:tr w:rsidRPr="00720B8B" w:rsidR="00710F73" w:rsidTr="009523F7" w14:paraId="4F1CF434"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31F039D3" w14:textId="77777777">
            <w:pPr>
              <w:ind w:left="-14"/>
              <w:jc w:val="right"/>
              <w:rPr>
                <w:sz w:val="16"/>
                <w:szCs w:val="16"/>
              </w:rPr>
            </w:pPr>
          </w:p>
        </w:tc>
        <w:tc>
          <w:tcPr>
            <w:tcW w:w="270" w:type="dxa"/>
            <w:tcBorders>
              <w:top w:val="nil"/>
              <w:left w:val="nil"/>
              <w:bottom w:val="nil"/>
              <w:right w:val="nil"/>
            </w:tcBorders>
            <w:shd w:val="clear" w:color="auto" w:fill="auto"/>
            <w:noWrap/>
            <w:vAlign w:val="bottom"/>
          </w:tcPr>
          <w:p w:rsidRPr="00710F73" w:rsidR="00710F73" w:rsidP="00710F73" w:rsidRDefault="00710F73" w14:paraId="67E725FF" w14:textId="77777777">
            <w:pP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29A99961" w14:textId="77777777">
            <w:pP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6A6DEDBC" w14:textId="77777777">
            <w:pPr>
              <w:rPr>
                <w:sz w:val="16"/>
                <w:szCs w:val="16"/>
              </w:rPr>
            </w:pPr>
          </w:p>
        </w:tc>
        <w:tc>
          <w:tcPr>
            <w:tcW w:w="1055" w:type="dxa"/>
            <w:tcBorders>
              <w:top w:val="nil"/>
              <w:left w:val="nil"/>
              <w:bottom w:val="nil"/>
              <w:right w:val="nil"/>
            </w:tcBorders>
            <w:shd w:val="clear" w:color="auto" w:fill="auto"/>
            <w:noWrap/>
            <w:vAlign w:val="bottom"/>
          </w:tcPr>
          <w:p w:rsidRPr="00710F73" w:rsidR="00710F73" w:rsidP="00710F73" w:rsidRDefault="00710F73" w14:paraId="16463ACA" w14:textId="77777777">
            <w:pPr>
              <w:pStyle w:val="BalloonText"/>
              <w:rPr>
                <w:rFonts w:ascii="Times New Roman" w:hAnsi="Times New Roman" w:cs="Times New Roman"/>
              </w:rPr>
            </w:pPr>
          </w:p>
        </w:tc>
        <w:tc>
          <w:tcPr>
            <w:tcW w:w="1128" w:type="dxa"/>
            <w:tcBorders>
              <w:top w:val="nil"/>
              <w:left w:val="nil"/>
              <w:bottom w:val="nil"/>
              <w:right w:val="nil"/>
            </w:tcBorders>
            <w:shd w:val="clear" w:color="auto" w:fill="auto"/>
            <w:noWrap/>
            <w:vAlign w:val="bottom"/>
          </w:tcPr>
          <w:p w:rsidRPr="00710F73" w:rsidR="00710F73" w:rsidP="00710F73" w:rsidRDefault="00710F73" w14:paraId="1F4A03AB"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757B7802" w14:textId="77777777">
            <w:pP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1CB7CA1B"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51D13E81"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6357CCC1"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3A56E58D" w14:textId="77777777">
            <w:pPr>
              <w:rPr>
                <w:sz w:val="16"/>
                <w:szCs w:val="16"/>
              </w:rPr>
            </w:pPr>
          </w:p>
        </w:tc>
        <w:tc>
          <w:tcPr>
            <w:tcW w:w="1199" w:type="dxa"/>
            <w:tcBorders>
              <w:top w:val="nil"/>
              <w:left w:val="nil"/>
              <w:bottom w:val="nil"/>
              <w:right w:val="nil"/>
            </w:tcBorders>
            <w:shd w:val="clear" w:color="auto" w:fill="auto"/>
            <w:noWrap/>
            <w:vAlign w:val="bottom"/>
          </w:tcPr>
          <w:p w:rsidRPr="00710F73" w:rsidR="00710F73" w:rsidP="00710F73" w:rsidRDefault="00710F73" w14:paraId="32B1191B" w14:textId="77777777">
            <w:pPr>
              <w:rPr>
                <w:sz w:val="16"/>
                <w:szCs w:val="16"/>
              </w:rPr>
            </w:pPr>
          </w:p>
        </w:tc>
      </w:tr>
      <w:tr w:rsidRPr="00720B8B" w:rsidR="00710F73" w:rsidTr="00702569" w14:paraId="442C40C8"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24D14F1A" w14:textId="6A017318">
            <w:pPr>
              <w:jc w:val="right"/>
              <w:rPr>
                <w:b/>
                <w:sz w:val="16"/>
                <w:szCs w:val="16"/>
              </w:rPr>
            </w:pPr>
            <w:r w:rsidRPr="00710F73">
              <w:rPr>
                <w:b/>
                <w:sz w:val="16"/>
                <w:szCs w:val="16"/>
              </w:rPr>
              <w:t>First Payment or Redemption Date</w:t>
            </w:r>
          </w:p>
        </w:tc>
        <w:tc>
          <w:tcPr>
            <w:tcW w:w="270" w:type="dxa"/>
            <w:tcBorders>
              <w:top w:val="nil"/>
              <w:left w:val="nil"/>
              <w:bottom w:val="nil"/>
              <w:right w:val="nil"/>
            </w:tcBorders>
            <w:shd w:val="clear" w:color="auto" w:fill="auto"/>
            <w:noWrap/>
            <w:vAlign w:val="bottom"/>
          </w:tcPr>
          <w:p w:rsidRPr="00710F73" w:rsidR="00710F73" w:rsidP="00710F73" w:rsidRDefault="00710F73" w14:paraId="0CD4549E"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48BEDF67" w14:textId="7CAFE1FF">
            <w:pPr>
              <w:jc w:val="right"/>
              <w:rPr>
                <w:sz w:val="16"/>
                <w:szCs w:val="16"/>
              </w:rPr>
            </w:pPr>
            <w:r w:rsidRPr="00710F73">
              <w:rPr>
                <w:sz w:val="16"/>
                <w:szCs w:val="16"/>
              </w:rPr>
              <w:t>7/1/2045</w:t>
            </w:r>
          </w:p>
        </w:tc>
        <w:tc>
          <w:tcPr>
            <w:tcW w:w="1170" w:type="dxa"/>
            <w:tcBorders>
              <w:top w:val="nil"/>
              <w:left w:val="nil"/>
              <w:bottom w:val="nil"/>
              <w:right w:val="nil"/>
            </w:tcBorders>
            <w:shd w:val="clear" w:color="auto" w:fill="auto"/>
            <w:noWrap/>
          </w:tcPr>
          <w:p w:rsidRPr="00710F73" w:rsidR="00710F73" w:rsidP="00710F73" w:rsidRDefault="00710F73" w14:paraId="5D8D607C" w14:textId="323D30AB">
            <w:pPr>
              <w:jc w:val="right"/>
              <w:rPr>
                <w:sz w:val="16"/>
                <w:szCs w:val="16"/>
              </w:rPr>
            </w:pPr>
            <w:r w:rsidRPr="00710F73">
              <w:rPr>
                <w:sz w:val="16"/>
                <w:szCs w:val="16"/>
              </w:rPr>
              <w:t>7/1/2025</w:t>
            </w:r>
          </w:p>
        </w:tc>
        <w:tc>
          <w:tcPr>
            <w:tcW w:w="1055" w:type="dxa"/>
            <w:tcBorders>
              <w:top w:val="nil"/>
              <w:left w:val="nil"/>
              <w:bottom w:val="nil"/>
              <w:right w:val="nil"/>
            </w:tcBorders>
            <w:shd w:val="clear" w:color="auto" w:fill="auto"/>
            <w:noWrap/>
          </w:tcPr>
          <w:p w:rsidRPr="00710F73" w:rsidR="00710F73" w:rsidP="00710F73" w:rsidRDefault="00710F73" w14:paraId="13BB6EBC" w14:textId="1A4965D1">
            <w:pPr>
              <w:jc w:val="right"/>
              <w:rPr>
                <w:sz w:val="16"/>
                <w:szCs w:val="16"/>
              </w:rPr>
            </w:pPr>
            <w:r w:rsidRPr="00710F73">
              <w:rPr>
                <w:sz w:val="16"/>
                <w:szCs w:val="16"/>
              </w:rPr>
              <w:t>7/1/2025</w:t>
            </w:r>
          </w:p>
        </w:tc>
        <w:tc>
          <w:tcPr>
            <w:tcW w:w="1128" w:type="dxa"/>
            <w:tcBorders>
              <w:top w:val="nil"/>
              <w:left w:val="nil"/>
              <w:bottom w:val="nil"/>
              <w:right w:val="nil"/>
            </w:tcBorders>
            <w:shd w:val="clear" w:color="auto" w:fill="auto"/>
            <w:noWrap/>
          </w:tcPr>
          <w:p w:rsidRPr="00710F73" w:rsidR="00710F73" w:rsidP="00710F73" w:rsidRDefault="00710F73" w14:paraId="1893D52D" w14:textId="30FDDF9C">
            <w:pPr>
              <w:jc w:val="right"/>
              <w:rPr>
                <w:sz w:val="16"/>
                <w:szCs w:val="16"/>
              </w:rPr>
            </w:pPr>
            <w:r w:rsidRPr="00710F73">
              <w:rPr>
                <w:sz w:val="16"/>
                <w:szCs w:val="16"/>
              </w:rPr>
              <w:t>7/1/2025</w:t>
            </w:r>
          </w:p>
        </w:tc>
        <w:tc>
          <w:tcPr>
            <w:tcW w:w="1080" w:type="dxa"/>
            <w:tcBorders>
              <w:top w:val="nil"/>
              <w:left w:val="nil"/>
              <w:bottom w:val="nil"/>
              <w:right w:val="nil"/>
            </w:tcBorders>
            <w:shd w:val="clear" w:color="auto" w:fill="auto"/>
            <w:noWrap/>
          </w:tcPr>
          <w:p w:rsidRPr="00710F73" w:rsidR="00710F73" w:rsidP="00710F73" w:rsidRDefault="00710F73" w14:paraId="7A65DFA2" w14:textId="1A8402CE">
            <w:pPr>
              <w:jc w:val="right"/>
              <w:rPr>
                <w:sz w:val="16"/>
                <w:szCs w:val="16"/>
              </w:rPr>
            </w:pPr>
            <w:r w:rsidRPr="00710F73">
              <w:rPr>
                <w:sz w:val="16"/>
                <w:szCs w:val="16"/>
              </w:rPr>
              <w:t>7/1/2025</w:t>
            </w:r>
          </w:p>
        </w:tc>
        <w:tc>
          <w:tcPr>
            <w:tcW w:w="1170" w:type="dxa"/>
            <w:tcBorders>
              <w:top w:val="nil"/>
              <w:left w:val="nil"/>
              <w:bottom w:val="nil"/>
              <w:right w:val="nil"/>
            </w:tcBorders>
            <w:shd w:val="clear" w:color="auto" w:fill="auto"/>
            <w:noWrap/>
          </w:tcPr>
          <w:p w:rsidRPr="00710F73" w:rsidR="00710F73" w:rsidP="00710F73" w:rsidRDefault="00710F73" w14:paraId="31414436" w14:textId="36B86ABC">
            <w:pPr>
              <w:jc w:val="right"/>
              <w:rPr>
                <w:sz w:val="16"/>
                <w:szCs w:val="16"/>
              </w:rPr>
            </w:pPr>
            <w:r w:rsidRPr="00710F73">
              <w:rPr>
                <w:sz w:val="16"/>
                <w:szCs w:val="16"/>
              </w:rPr>
              <w:t>7/1/2025</w:t>
            </w:r>
          </w:p>
        </w:tc>
        <w:tc>
          <w:tcPr>
            <w:tcW w:w="1080" w:type="dxa"/>
            <w:tcBorders>
              <w:top w:val="nil"/>
              <w:left w:val="nil"/>
              <w:bottom w:val="nil"/>
              <w:right w:val="nil"/>
            </w:tcBorders>
            <w:shd w:val="clear" w:color="auto" w:fill="auto"/>
            <w:noWrap/>
          </w:tcPr>
          <w:p w:rsidRPr="00710F73" w:rsidR="00710F73" w:rsidP="00710F73" w:rsidRDefault="00710F73" w14:paraId="2FE296EC" w14:textId="42D9392A">
            <w:pPr>
              <w:jc w:val="right"/>
              <w:rPr>
                <w:sz w:val="16"/>
                <w:szCs w:val="16"/>
              </w:rPr>
            </w:pPr>
            <w:r w:rsidRPr="00710F73">
              <w:rPr>
                <w:sz w:val="16"/>
                <w:szCs w:val="16"/>
              </w:rPr>
              <w:t>7/1/2025</w:t>
            </w:r>
          </w:p>
        </w:tc>
        <w:tc>
          <w:tcPr>
            <w:tcW w:w="1080" w:type="dxa"/>
            <w:tcBorders>
              <w:top w:val="nil"/>
              <w:left w:val="nil"/>
              <w:bottom w:val="nil"/>
              <w:right w:val="nil"/>
            </w:tcBorders>
            <w:shd w:val="clear" w:color="auto" w:fill="auto"/>
            <w:noWrap/>
          </w:tcPr>
          <w:p w:rsidRPr="00710F73" w:rsidR="00710F73" w:rsidP="00710F73" w:rsidRDefault="00710F73" w14:paraId="22C4A444" w14:textId="29095B12">
            <w:pPr>
              <w:jc w:val="right"/>
              <w:rPr>
                <w:sz w:val="16"/>
                <w:szCs w:val="16"/>
              </w:rPr>
            </w:pPr>
            <w:r w:rsidRPr="00710F73">
              <w:rPr>
                <w:sz w:val="16"/>
                <w:szCs w:val="16"/>
              </w:rPr>
              <w:t>7/1/2025</w:t>
            </w:r>
          </w:p>
        </w:tc>
        <w:tc>
          <w:tcPr>
            <w:tcW w:w="1080" w:type="dxa"/>
            <w:tcBorders>
              <w:top w:val="nil"/>
              <w:left w:val="nil"/>
              <w:bottom w:val="nil"/>
              <w:right w:val="nil"/>
            </w:tcBorders>
            <w:shd w:val="clear" w:color="auto" w:fill="auto"/>
            <w:noWrap/>
          </w:tcPr>
          <w:p w:rsidRPr="00710F73" w:rsidR="00710F73" w:rsidP="00710F73" w:rsidRDefault="00710F73" w14:paraId="6CDE97F2" w14:textId="3F5F1FF8">
            <w:pPr>
              <w:jc w:val="right"/>
              <w:rPr>
                <w:sz w:val="16"/>
                <w:szCs w:val="16"/>
              </w:rPr>
            </w:pPr>
            <w:r w:rsidRPr="00710F73">
              <w:rPr>
                <w:sz w:val="16"/>
                <w:szCs w:val="16"/>
              </w:rPr>
              <w:t>7/1/2025</w:t>
            </w:r>
          </w:p>
        </w:tc>
        <w:tc>
          <w:tcPr>
            <w:tcW w:w="1199" w:type="dxa"/>
            <w:tcBorders>
              <w:top w:val="nil"/>
              <w:left w:val="nil"/>
              <w:bottom w:val="nil"/>
              <w:right w:val="nil"/>
            </w:tcBorders>
            <w:shd w:val="clear" w:color="auto" w:fill="auto"/>
            <w:noWrap/>
          </w:tcPr>
          <w:p w:rsidRPr="00710F73" w:rsidR="00710F73" w:rsidP="00710F73" w:rsidRDefault="00710F73" w14:paraId="3278178D" w14:textId="04BF17BE">
            <w:pPr>
              <w:jc w:val="right"/>
              <w:rPr>
                <w:sz w:val="16"/>
                <w:szCs w:val="16"/>
              </w:rPr>
            </w:pPr>
            <w:r w:rsidRPr="00710F73">
              <w:rPr>
                <w:sz w:val="16"/>
                <w:szCs w:val="16"/>
              </w:rPr>
              <w:t>7/1/2025</w:t>
            </w:r>
          </w:p>
        </w:tc>
      </w:tr>
      <w:tr w:rsidRPr="00720B8B" w:rsidR="00710F73" w:rsidTr="00702569" w14:paraId="791719DA"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70BE1A36" w14:textId="0CA6CAEB">
            <w:pPr>
              <w:jc w:val="right"/>
              <w:rPr>
                <w:b/>
                <w:sz w:val="16"/>
                <w:szCs w:val="16"/>
              </w:rPr>
            </w:pPr>
            <w:r w:rsidRPr="00710F73">
              <w:rPr>
                <w:b/>
                <w:sz w:val="16"/>
                <w:szCs w:val="16"/>
              </w:rPr>
              <w:t>Last Payment or Redemption Date</w:t>
            </w:r>
          </w:p>
        </w:tc>
        <w:tc>
          <w:tcPr>
            <w:tcW w:w="270" w:type="dxa"/>
            <w:tcBorders>
              <w:top w:val="nil"/>
              <w:left w:val="nil"/>
              <w:bottom w:val="nil"/>
              <w:right w:val="nil"/>
            </w:tcBorders>
            <w:shd w:val="clear" w:color="auto" w:fill="auto"/>
            <w:noWrap/>
            <w:vAlign w:val="bottom"/>
          </w:tcPr>
          <w:p w:rsidRPr="00710F73" w:rsidR="00710F73" w:rsidP="00710F73" w:rsidRDefault="00710F73" w14:paraId="4800767D"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54CE7067" w14:textId="5F1A8181">
            <w:pPr>
              <w:jc w:val="right"/>
              <w:rPr>
                <w:sz w:val="16"/>
                <w:szCs w:val="16"/>
              </w:rPr>
            </w:pPr>
            <w:r w:rsidRPr="00710F73">
              <w:rPr>
                <w:sz w:val="16"/>
                <w:szCs w:val="16"/>
              </w:rPr>
              <w:t>1/1/2054</w:t>
            </w:r>
          </w:p>
        </w:tc>
        <w:tc>
          <w:tcPr>
            <w:tcW w:w="1170" w:type="dxa"/>
            <w:tcBorders>
              <w:top w:val="nil"/>
              <w:left w:val="nil"/>
              <w:bottom w:val="nil"/>
              <w:right w:val="nil"/>
            </w:tcBorders>
            <w:shd w:val="clear" w:color="auto" w:fill="auto"/>
            <w:noWrap/>
          </w:tcPr>
          <w:p w:rsidRPr="00710F73" w:rsidR="00710F73" w:rsidP="00710F73" w:rsidRDefault="00710F73" w14:paraId="0EBAF4D7" w14:textId="3B53AC0F">
            <w:pPr>
              <w:jc w:val="right"/>
              <w:rPr>
                <w:sz w:val="16"/>
                <w:szCs w:val="16"/>
              </w:rPr>
            </w:pPr>
            <w:r w:rsidRPr="00710F73">
              <w:rPr>
                <w:sz w:val="16"/>
                <w:szCs w:val="16"/>
              </w:rPr>
              <w:t>1/1/2054</w:t>
            </w:r>
          </w:p>
        </w:tc>
        <w:tc>
          <w:tcPr>
            <w:tcW w:w="1055" w:type="dxa"/>
            <w:tcBorders>
              <w:top w:val="nil"/>
              <w:left w:val="nil"/>
              <w:bottom w:val="nil"/>
              <w:right w:val="nil"/>
            </w:tcBorders>
            <w:shd w:val="clear" w:color="auto" w:fill="auto"/>
            <w:noWrap/>
          </w:tcPr>
          <w:p w:rsidRPr="00710F73" w:rsidR="00710F73" w:rsidP="00710F73" w:rsidRDefault="00710F73" w14:paraId="354F9248" w14:textId="5C59C528">
            <w:pPr>
              <w:jc w:val="right"/>
              <w:rPr>
                <w:sz w:val="16"/>
                <w:szCs w:val="16"/>
              </w:rPr>
            </w:pPr>
            <w:r w:rsidRPr="00710F73">
              <w:rPr>
                <w:sz w:val="16"/>
                <w:szCs w:val="16"/>
              </w:rPr>
              <w:t>7/1/2033</w:t>
            </w:r>
          </w:p>
        </w:tc>
        <w:tc>
          <w:tcPr>
            <w:tcW w:w="1128" w:type="dxa"/>
            <w:tcBorders>
              <w:top w:val="nil"/>
              <w:left w:val="nil"/>
              <w:bottom w:val="nil"/>
              <w:right w:val="nil"/>
            </w:tcBorders>
            <w:shd w:val="clear" w:color="auto" w:fill="auto"/>
            <w:noWrap/>
          </w:tcPr>
          <w:p w:rsidRPr="00710F73" w:rsidR="00710F73" w:rsidP="00710F73" w:rsidRDefault="00710F73" w14:paraId="48AB9425" w14:textId="02DE9CF2">
            <w:pPr>
              <w:jc w:val="right"/>
              <w:rPr>
                <w:sz w:val="16"/>
                <w:szCs w:val="16"/>
              </w:rPr>
            </w:pPr>
            <w:r w:rsidRPr="00710F73">
              <w:rPr>
                <w:sz w:val="16"/>
                <w:szCs w:val="16"/>
              </w:rPr>
              <w:t>7/1/2033</w:t>
            </w:r>
          </w:p>
        </w:tc>
        <w:tc>
          <w:tcPr>
            <w:tcW w:w="1080" w:type="dxa"/>
            <w:tcBorders>
              <w:top w:val="nil"/>
              <w:left w:val="nil"/>
              <w:bottom w:val="nil"/>
              <w:right w:val="nil"/>
            </w:tcBorders>
            <w:shd w:val="clear" w:color="auto" w:fill="auto"/>
            <w:noWrap/>
          </w:tcPr>
          <w:p w:rsidRPr="00710F73" w:rsidR="00710F73" w:rsidP="00710F73" w:rsidRDefault="00710F73" w14:paraId="795F2DEC" w14:textId="3BBB2513">
            <w:pPr>
              <w:jc w:val="right"/>
              <w:rPr>
                <w:sz w:val="16"/>
                <w:szCs w:val="16"/>
              </w:rPr>
            </w:pPr>
            <w:r w:rsidRPr="00710F73">
              <w:rPr>
                <w:sz w:val="16"/>
                <w:szCs w:val="16"/>
              </w:rPr>
              <w:t>7/1/2033</w:t>
            </w:r>
          </w:p>
        </w:tc>
        <w:tc>
          <w:tcPr>
            <w:tcW w:w="1170" w:type="dxa"/>
            <w:tcBorders>
              <w:top w:val="nil"/>
              <w:left w:val="nil"/>
              <w:bottom w:val="nil"/>
              <w:right w:val="nil"/>
            </w:tcBorders>
            <w:shd w:val="clear" w:color="auto" w:fill="auto"/>
            <w:noWrap/>
          </w:tcPr>
          <w:p w:rsidRPr="00710F73" w:rsidR="00710F73" w:rsidP="00710F73" w:rsidRDefault="00710F73" w14:paraId="5371B8CF" w14:textId="70DA5290">
            <w:pPr>
              <w:jc w:val="right"/>
              <w:rPr>
                <w:sz w:val="16"/>
                <w:szCs w:val="16"/>
              </w:rPr>
            </w:pPr>
            <w:r w:rsidRPr="00710F73">
              <w:rPr>
                <w:sz w:val="16"/>
                <w:szCs w:val="16"/>
              </w:rPr>
              <w:t>7/1/2033</w:t>
            </w:r>
          </w:p>
        </w:tc>
        <w:tc>
          <w:tcPr>
            <w:tcW w:w="1080" w:type="dxa"/>
            <w:tcBorders>
              <w:top w:val="nil"/>
              <w:left w:val="nil"/>
              <w:bottom w:val="nil"/>
              <w:right w:val="nil"/>
            </w:tcBorders>
            <w:shd w:val="clear" w:color="auto" w:fill="auto"/>
            <w:noWrap/>
          </w:tcPr>
          <w:p w:rsidRPr="00710F73" w:rsidR="00710F73" w:rsidP="00710F73" w:rsidRDefault="00710F73" w14:paraId="4CCBC3A0" w14:textId="0D470630">
            <w:pPr>
              <w:jc w:val="right"/>
              <w:rPr>
                <w:sz w:val="16"/>
                <w:szCs w:val="16"/>
              </w:rPr>
            </w:pPr>
            <w:r w:rsidRPr="00710F73">
              <w:rPr>
                <w:sz w:val="16"/>
                <w:szCs w:val="16"/>
              </w:rPr>
              <w:t>7/1/2033</w:t>
            </w:r>
          </w:p>
        </w:tc>
        <w:tc>
          <w:tcPr>
            <w:tcW w:w="1080" w:type="dxa"/>
            <w:tcBorders>
              <w:top w:val="nil"/>
              <w:left w:val="nil"/>
              <w:bottom w:val="nil"/>
              <w:right w:val="nil"/>
            </w:tcBorders>
            <w:shd w:val="clear" w:color="auto" w:fill="auto"/>
            <w:noWrap/>
          </w:tcPr>
          <w:p w:rsidRPr="00710F73" w:rsidR="00710F73" w:rsidP="00710F73" w:rsidRDefault="00710F73" w14:paraId="401CB694" w14:textId="3CEC12BB">
            <w:pPr>
              <w:jc w:val="right"/>
              <w:rPr>
                <w:sz w:val="16"/>
                <w:szCs w:val="16"/>
              </w:rPr>
            </w:pPr>
            <w:r w:rsidRPr="00710F73">
              <w:rPr>
                <w:sz w:val="16"/>
                <w:szCs w:val="16"/>
              </w:rPr>
              <w:t>7/1/2033</w:t>
            </w:r>
          </w:p>
        </w:tc>
        <w:tc>
          <w:tcPr>
            <w:tcW w:w="1080" w:type="dxa"/>
            <w:tcBorders>
              <w:top w:val="nil"/>
              <w:left w:val="nil"/>
              <w:bottom w:val="nil"/>
              <w:right w:val="nil"/>
            </w:tcBorders>
            <w:shd w:val="clear" w:color="auto" w:fill="auto"/>
            <w:noWrap/>
          </w:tcPr>
          <w:p w:rsidRPr="00710F73" w:rsidR="00710F73" w:rsidP="00710F73" w:rsidRDefault="00710F73" w14:paraId="2895235C" w14:textId="18654FB9">
            <w:pPr>
              <w:jc w:val="right"/>
              <w:rPr>
                <w:sz w:val="16"/>
                <w:szCs w:val="16"/>
              </w:rPr>
            </w:pPr>
            <w:r w:rsidRPr="00710F73">
              <w:rPr>
                <w:sz w:val="16"/>
                <w:szCs w:val="16"/>
              </w:rPr>
              <w:t>7/1/2033</w:t>
            </w:r>
          </w:p>
        </w:tc>
        <w:tc>
          <w:tcPr>
            <w:tcW w:w="1199" w:type="dxa"/>
            <w:tcBorders>
              <w:top w:val="nil"/>
              <w:left w:val="nil"/>
              <w:bottom w:val="nil"/>
              <w:right w:val="nil"/>
            </w:tcBorders>
            <w:shd w:val="clear" w:color="auto" w:fill="auto"/>
            <w:noWrap/>
          </w:tcPr>
          <w:p w:rsidRPr="00710F73" w:rsidR="00710F73" w:rsidP="00710F73" w:rsidRDefault="00710F73" w14:paraId="7C7A40DB" w14:textId="5E7CBA12">
            <w:pPr>
              <w:jc w:val="right"/>
              <w:rPr>
                <w:sz w:val="16"/>
                <w:szCs w:val="16"/>
              </w:rPr>
            </w:pPr>
            <w:r w:rsidRPr="00710F73">
              <w:rPr>
                <w:sz w:val="16"/>
                <w:szCs w:val="16"/>
              </w:rPr>
              <w:t>7/1/2033</w:t>
            </w:r>
          </w:p>
        </w:tc>
      </w:tr>
      <w:tr w:rsidRPr="00720B8B" w:rsidR="00710F73" w:rsidTr="009523F7" w14:paraId="33B0472E"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0647A9A0" w14:textId="77777777">
            <w:pPr>
              <w:jc w:val="right"/>
              <w:rPr>
                <w:b/>
                <w:sz w:val="16"/>
                <w:szCs w:val="16"/>
              </w:rPr>
            </w:pPr>
          </w:p>
        </w:tc>
        <w:tc>
          <w:tcPr>
            <w:tcW w:w="270" w:type="dxa"/>
            <w:tcBorders>
              <w:top w:val="nil"/>
              <w:left w:val="nil"/>
              <w:bottom w:val="nil"/>
              <w:right w:val="nil"/>
            </w:tcBorders>
            <w:shd w:val="clear" w:color="auto" w:fill="auto"/>
            <w:noWrap/>
            <w:vAlign w:val="bottom"/>
          </w:tcPr>
          <w:p w:rsidRPr="00710F73" w:rsidR="00710F73" w:rsidP="00710F73" w:rsidRDefault="00710F73" w14:paraId="0643021F" w14:textId="77777777">
            <w:pP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53B50C11" w14:textId="77777777">
            <w:pPr>
              <w:jc w:val="right"/>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639CD9D7" w14:textId="77777777">
            <w:pPr>
              <w:jc w:val="right"/>
              <w:rPr>
                <w:sz w:val="16"/>
                <w:szCs w:val="16"/>
              </w:rPr>
            </w:pPr>
          </w:p>
        </w:tc>
        <w:tc>
          <w:tcPr>
            <w:tcW w:w="1055" w:type="dxa"/>
            <w:tcBorders>
              <w:top w:val="nil"/>
              <w:left w:val="nil"/>
              <w:bottom w:val="nil"/>
              <w:right w:val="nil"/>
            </w:tcBorders>
            <w:shd w:val="clear" w:color="auto" w:fill="auto"/>
            <w:noWrap/>
            <w:vAlign w:val="bottom"/>
          </w:tcPr>
          <w:p w:rsidRPr="00710F73" w:rsidR="00710F73" w:rsidP="00710F73" w:rsidRDefault="00710F73" w14:paraId="135DFC01" w14:textId="77777777">
            <w:pPr>
              <w:jc w:val="right"/>
              <w:rPr>
                <w:sz w:val="16"/>
                <w:szCs w:val="16"/>
              </w:rPr>
            </w:pPr>
          </w:p>
        </w:tc>
        <w:tc>
          <w:tcPr>
            <w:tcW w:w="1128" w:type="dxa"/>
            <w:tcBorders>
              <w:top w:val="nil"/>
              <w:left w:val="nil"/>
              <w:bottom w:val="nil"/>
              <w:right w:val="nil"/>
            </w:tcBorders>
            <w:shd w:val="clear" w:color="auto" w:fill="auto"/>
            <w:noWrap/>
            <w:vAlign w:val="bottom"/>
          </w:tcPr>
          <w:p w:rsidRPr="00710F73" w:rsidR="00710F73" w:rsidP="00710F73" w:rsidRDefault="00710F73" w14:paraId="17995F40" w14:textId="77777777">
            <w:pPr>
              <w:jc w:val="right"/>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71E7C628" w14:textId="77777777">
            <w:pPr>
              <w:jc w:val="right"/>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63A9D74D" w14:textId="77777777">
            <w:pPr>
              <w:jc w:val="right"/>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05B59F09" w14:textId="77777777">
            <w:pPr>
              <w:jc w:val="right"/>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23A2CBA0" w14:textId="77777777">
            <w:pPr>
              <w:jc w:val="right"/>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376A8B2C" w14:textId="77777777">
            <w:pPr>
              <w:jc w:val="right"/>
              <w:rPr>
                <w:sz w:val="16"/>
                <w:szCs w:val="16"/>
              </w:rPr>
            </w:pPr>
          </w:p>
        </w:tc>
        <w:tc>
          <w:tcPr>
            <w:tcW w:w="1199" w:type="dxa"/>
            <w:tcBorders>
              <w:top w:val="nil"/>
              <w:left w:val="nil"/>
              <w:bottom w:val="nil"/>
              <w:right w:val="nil"/>
            </w:tcBorders>
            <w:shd w:val="clear" w:color="auto" w:fill="auto"/>
            <w:noWrap/>
            <w:vAlign w:val="bottom"/>
          </w:tcPr>
          <w:p w:rsidRPr="00710F73" w:rsidR="00710F73" w:rsidP="00710F73" w:rsidRDefault="00710F73" w14:paraId="0D69ECDB" w14:textId="77777777">
            <w:pPr>
              <w:jc w:val="right"/>
              <w:rPr>
                <w:sz w:val="16"/>
                <w:szCs w:val="16"/>
              </w:rPr>
            </w:pPr>
          </w:p>
        </w:tc>
      </w:tr>
      <w:tr w:rsidRPr="00720B8B" w:rsidR="00710F73" w:rsidTr="009523F7" w14:paraId="215083D1"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0CA77D57" w14:textId="4B1C88A7">
            <w:pPr>
              <w:jc w:val="right"/>
              <w:rPr>
                <w:b/>
                <w:sz w:val="16"/>
                <w:szCs w:val="16"/>
              </w:rPr>
            </w:pPr>
            <w:r w:rsidRPr="00710F73">
              <w:rPr>
                <w:b/>
                <w:sz w:val="16"/>
                <w:szCs w:val="16"/>
              </w:rPr>
              <w:t>Weighted Average Life (years)</w:t>
            </w:r>
          </w:p>
        </w:tc>
        <w:tc>
          <w:tcPr>
            <w:tcW w:w="270" w:type="dxa"/>
            <w:tcBorders>
              <w:top w:val="nil"/>
              <w:left w:val="nil"/>
              <w:bottom w:val="nil"/>
              <w:right w:val="nil"/>
            </w:tcBorders>
            <w:shd w:val="clear" w:color="auto" w:fill="auto"/>
            <w:noWrap/>
            <w:vAlign w:val="bottom"/>
          </w:tcPr>
          <w:p w:rsidRPr="00710F73" w:rsidR="00710F73" w:rsidP="00710F73" w:rsidRDefault="00710F73" w14:paraId="10802CFA" w14:textId="77777777">
            <w:pP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204A3968" w14:textId="77777777">
            <w:pPr>
              <w:tabs>
                <w:tab w:val="decimal" w:pos="489"/>
              </w:tabs>
              <w:jc w:val="right"/>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5A89024D" w14:textId="77777777">
            <w:pPr>
              <w:tabs>
                <w:tab w:val="decimal" w:pos="476"/>
              </w:tabs>
              <w:jc w:val="right"/>
              <w:rPr>
                <w:sz w:val="16"/>
                <w:szCs w:val="16"/>
              </w:rPr>
            </w:pPr>
          </w:p>
        </w:tc>
        <w:tc>
          <w:tcPr>
            <w:tcW w:w="1055" w:type="dxa"/>
            <w:tcBorders>
              <w:top w:val="nil"/>
              <w:left w:val="nil"/>
              <w:bottom w:val="nil"/>
              <w:right w:val="nil"/>
            </w:tcBorders>
            <w:shd w:val="clear" w:color="auto" w:fill="auto"/>
            <w:noWrap/>
            <w:vAlign w:val="bottom"/>
          </w:tcPr>
          <w:p w:rsidRPr="00710F73" w:rsidR="00710F73" w:rsidP="00710F73" w:rsidRDefault="00710F73" w14:paraId="552A34AA" w14:textId="77777777">
            <w:pPr>
              <w:tabs>
                <w:tab w:val="decimal" w:pos="451"/>
              </w:tabs>
              <w:jc w:val="right"/>
              <w:rPr>
                <w:sz w:val="16"/>
                <w:szCs w:val="16"/>
              </w:rPr>
            </w:pPr>
          </w:p>
        </w:tc>
        <w:tc>
          <w:tcPr>
            <w:tcW w:w="1128" w:type="dxa"/>
            <w:tcBorders>
              <w:top w:val="nil"/>
              <w:left w:val="nil"/>
              <w:bottom w:val="nil"/>
              <w:right w:val="nil"/>
            </w:tcBorders>
            <w:shd w:val="clear" w:color="auto" w:fill="auto"/>
            <w:noWrap/>
            <w:vAlign w:val="bottom"/>
          </w:tcPr>
          <w:p w:rsidRPr="00710F73" w:rsidR="00710F73" w:rsidP="00710F73" w:rsidRDefault="00710F73" w14:paraId="4F333ECA" w14:textId="77777777">
            <w:pPr>
              <w:jc w:val="right"/>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7BFCADD6" w14:textId="77777777">
            <w:pPr>
              <w:tabs>
                <w:tab w:val="decimal" w:pos="407"/>
              </w:tabs>
              <w:jc w:val="right"/>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27A5DE82" w14:textId="77777777">
            <w:pPr>
              <w:jc w:val="right"/>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2155ED22" w14:textId="77777777">
            <w:pPr>
              <w:jc w:val="right"/>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7876E4E6" w14:textId="77777777">
            <w:pPr>
              <w:jc w:val="right"/>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04384A90" w14:textId="77777777">
            <w:pPr>
              <w:jc w:val="right"/>
              <w:rPr>
                <w:sz w:val="16"/>
                <w:szCs w:val="16"/>
              </w:rPr>
            </w:pPr>
          </w:p>
        </w:tc>
        <w:tc>
          <w:tcPr>
            <w:tcW w:w="1199" w:type="dxa"/>
            <w:tcBorders>
              <w:top w:val="nil"/>
              <w:left w:val="nil"/>
              <w:bottom w:val="nil"/>
              <w:right w:val="nil"/>
            </w:tcBorders>
            <w:shd w:val="clear" w:color="auto" w:fill="auto"/>
            <w:noWrap/>
            <w:vAlign w:val="bottom"/>
          </w:tcPr>
          <w:p w:rsidRPr="00710F73" w:rsidR="00710F73" w:rsidP="00710F73" w:rsidRDefault="00710F73" w14:paraId="7E91254A" w14:textId="77777777">
            <w:pPr>
              <w:jc w:val="right"/>
              <w:rPr>
                <w:sz w:val="16"/>
                <w:szCs w:val="16"/>
              </w:rPr>
            </w:pPr>
          </w:p>
        </w:tc>
      </w:tr>
      <w:tr w:rsidRPr="00720B8B" w:rsidR="00710F73" w:rsidTr="00702569" w14:paraId="00AE4479" w14:textId="77777777">
        <w:tc>
          <w:tcPr>
            <w:tcW w:w="3420" w:type="dxa"/>
            <w:tcBorders>
              <w:top w:val="nil"/>
              <w:left w:val="nil"/>
              <w:bottom w:val="nil"/>
              <w:right w:val="nil"/>
            </w:tcBorders>
            <w:shd w:val="clear" w:color="auto" w:fill="auto"/>
            <w:noWrap/>
            <w:vAlign w:val="bottom"/>
            <w:hideMark/>
          </w:tcPr>
          <w:p w:rsidRPr="00710F73" w:rsidR="00710F73" w:rsidP="00710F73" w:rsidRDefault="00710F73" w14:paraId="28DDAD30" w14:textId="19646FBA">
            <w:pPr>
              <w:jc w:val="right"/>
              <w:rPr>
                <w:b/>
                <w:sz w:val="16"/>
                <w:szCs w:val="16"/>
              </w:rPr>
            </w:pPr>
            <w:r w:rsidRPr="00710F73">
              <w:rPr>
                <w:b/>
                <w:sz w:val="16"/>
                <w:szCs w:val="16"/>
              </w:rPr>
              <w:t>Optional Call Not Exercised</w:t>
            </w:r>
          </w:p>
        </w:tc>
        <w:tc>
          <w:tcPr>
            <w:tcW w:w="270" w:type="dxa"/>
            <w:tcBorders>
              <w:top w:val="nil"/>
              <w:left w:val="nil"/>
              <w:bottom w:val="nil"/>
              <w:right w:val="nil"/>
            </w:tcBorders>
            <w:shd w:val="clear" w:color="auto" w:fill="auto"/>
            <w:noWrap/>
            <w:vAlign w:val="bottom"/>
            <w:hideMark/>
          </w:tcPr>
          <w:p w:rsidRPr="00710F73" w:rsidR="00710F73" w:rsidP="00710F73" w:rsidRDefault="00710F73" w14:paraId="5B49D01F"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39C20C41" w14:textId="6965BE3F">
            <w:pPr>
              <w:tabs>
                <w:tab w:val="decimal" w:pos="489"/>
              </w:tabs>
              <w:jc w:val="right"/>
              <w:rPr>
                <w:sz w:val="16"/>
                <w:szCs w:val="16"/>
              </w:rPr>
            </w:pPr>
            <w:r w:rsidRPr="00710F73">
              <w:rPr>
                <w:sz w:val="16"/>
                <w:szCs w:val="16"/>
              </w:rPr>
              <w:t>27.0</w:t>
            </w:r>
          </w:p>
        </w:tc>
        <w:tc>
          <w:tcPr>
            <w:tcW w:w="1170" w:type="dxa"/>
            <w:tcBorders>
              <w:top w:val="nil"/>
              <w:left w:val="nil"/>
              <w:bottom w:val="nil"/>
              <w:right w:val="nil"/>
            </w:tcBorders>
            <w:shd w:val="clear" w:color="auto" w:fill="auto"/>
            <w:noWrap/>
          </w:tcPr>
          <w:p w:rsidRPr="00710F73" w:rsidR="00710F73" w:rsidP="00710F73" w:rsidRDefault="00710F73" w14:paraId="645CEF08" w14:textId="66EC019D">
            <w:pPr>
              <w:tabs>
                <w:tab w:val="decimal" w:pos="476"/>
              </w:tabs>
              <w:jc w:val="right"/>
              <w:rPr>
                <w:sz w:val="16"/>
                <w:szCs w:val="16"/>
              </w:rPr>
            </w:pPr>
            <w:r w:rsidRPr="00710F73">
              <w:rPr>
                <w:sz w:val="16"/>
                <w:szCs w:val="16"/>
              </w:rPr>
              <w:t>12.2</w:t>
            </w:r>
          </w:p>
        </w:tc>
        <w:tc>
          <w:tcPr>
            <w:tcW w:w="1055" w:type="dxa"/>
            <w:tcBorders>
              <w:top w:val="nil"/>
              <w:left w:val="nil"/>
              <w:bottom w:val="nil"/>
              <w:right w:val="nil"/>
            </w:tcBorders>
            <w:shd w:val="clear" w:color="auto" w:fill="auto"/>
            <w:noWrap/>
          </w:tcPr>
          <w:p w:rsidRPr="00710F73" w:rsidR="00710F73" w:rsidP="00710F73" w:rsidRDefault="00710F73" w14:paraId="5C4AE271" w14:textId="297E02BD">
            <w:pPr>
              <w:tabs>
                <w:tab w:val="decimal" w:pos="451"/>
              </w:tabs>
              <w:jc w:val="right"/>
              <w:rPr>
                <w:sz w:val="16"/>
                <w:szCs w:val="16"/>
              </w:rPr>
            </w:pPr>
            <w:r w:rsidRPr="00710F73">
              <w:rPr>
                <w:sz w:val="16"/>
                <w:szCs w:val="16"/>
              </w:rPr>
              <w:t>5.0</w:t>
            </w:r>
          </w:p>
        </w:tc>
        <w:tc>
          <w:tcPr>
            <w:tcW w:w="1128" w:type="dxa"/>
            <w:tcBorders>
              <w:top w:val="nil"/>
              <w:left w:val="nil"/>
              <w:bottom w:val="nil"/>
              <w:right w:val="nil"/>
            </w:tcBorders>
            <w:shd w:val="clear" w:color="auto" w:fill="auto"/>
            <w:noWrap/>
          </w:tcPr>
          <w:p w:rsidRPr="00710F73" w:rsidR="00710F73" w:rsidP="00710F73" w:rsidRDefault="00710F73" w14:paraId="3FDDEF67" w14:textId="2ABC7F93">
            <w:pPr>
              <w:tabs>
                <w:tab w:val="decimal" w:pos="355"/>
              </w:tabs>
              <w:jc w:val="right"/>
              <w:rPr>
                <w:sz w:val="16"/>
                <w:szCs w:val="16"/>
              </w:rPr>
            </w:pPr>
            <w:r w:rsidRPr="00710F73">
              <w:rPr>
                <w:sz w:val="16"/>
                <w:szCs w:val="16"/>
              </w:rPr>
              <w:t>5.0</w:t>
            </w:r>
          </w:p>
        </w:tc>
        <w:tc>
          <w:tcPr>
            <w:tcW w:w="1080" w:type="dxa"/>
            <w:tcBorders>
              <w:top w:val="nil"/>
              <w:left w:val="nil"/>
              <w:bottom w:val="nil"/>
              <w:right w:val="nil"/>
            </w:tcBorders>
            <w:shd w:val="clear" w:color="auto" w:fill="auto"/>
            <w:noWrap/>
          </w:tcPr>
          <w:p w:rsidRPr="00710F73" w:rsidR="00710F73" w:rsidP="00710F73" w:rsidRDefault="00710F73" w14:paraId="403620E7" w14:textId="1D0D0EA5">
            <w:pPr>
              <w:tabs>
                <w:tab w:val="decimal" w:pos="361"/>
              </w:tabs>
              <w:jc w:val="right"/>
              <w:rPr>
                <w:sz w:val="16"/>
                <w:szCs w:val="16"/>
              </w:rPr>
            </w:pPr>
            <w:r w:rsidRPr="00710F73">
              <w:rPr>
                <w:sz w:val="16"/>
                <w:szCs w:val="16"/>
              </w:rPr>
              <w:t>5.0</w:t>
            </w:r>
          </w:p>
        </w:tc>
        <w:tc>
          <w:tcPr>
            <w:tcW w:w="1170" w:type="dxa"/>
            <w:tcBorders>
              <w:top w:val="nil"/>
              <w:left w:val="nil"/>
              <w:bottom w:val="nil"/>
              <w:right w:val="nil"/>
            </w:tcBorders>
            <w:shd w:val="clear" w:color="auto" w:fill="auto"/>
            <w:noWrap/>
          </w:tcPr>
          <w:p w:rsidRPr="00710F73" w:rsidR="00710F73" w:rsidP="00710F73" w:rsidRDefault="00710F73" w14:paraId="779919A1" w14:textId="6E7E833E">
            <w:pPr>
              <w:tabs>
                <w:tab w:val="decimal" w:pos="428"/>
              </w:tabs>
              <w:jc w:val="right"/>
              <w:rPr>
                <w:sz w:val="16"/>
                <w:szCs w:val="16"/>
              </w:rPr>
            </w:pPr>
            <w:r w:rsidRPr="00710F73">
              <w:rPr>
                <w:sz w:val="16"/>
                <w:szCs w:val="16"/>
              </w:rPr>
              <w:t>5.0</w:t>
            </w:r>
          </w:p>
        </w:tc>
        <w:tc>
          <w:tcPr>
            <w:tcW w:w="1080" w:type="dxa"/>
            <w:tcBorders>
              <w:top w:val="nil"/>
              <w:left w:val="nil"/>
              <w:bottom w:val="nil"/>
              <w:right w:val="nil"/>
            </w:tcBorders>
            <w:shd w:val="clear" w:color="auto" w:fill="auto"/>
            <w:noWrap/>
          </w:tcPr>
          <w:p w:rsidRPr="00710F73" w:rsidR="00710F73" w:rsidP="00710F73" w:rsidRDefault="00710F73" w14:paraId="47791BEA" w14:textId="23978D5B">
            <w:pPr>
              <w:tabs>
                <w:tab w:val="decimal" w:pos="356"/>
              </w:tabs>
              <w:jc w:val="right"/>
              <w:rPr>
                <w:sz w:val="16"/>
                <w:szCs w:val="16"/>
              </w:rPr>
            </w:pPr>
            <w:r w:rsidRPr="00710F73">
              <w:rPr>
                <w:sz w:val="16"/>
                <w:szCs w:val="16"/>
              </w:rPr>
              <w:t>5.0</w:t>
            </w:r>
          </w:p>
        </w:tc>
        <w:tc>
          <w:tcPr>
            <w:tcW w:w="1080" w:type="dxa"/>
            <w:tcBorders>
              <w:top w:val="nil"/>
              <w:left w:val="nil"/>
              <w:bottom w:val="nil"/>
              <w:right w:val="nil"/>
            </w:tcBorders>
            <w:shd w:val="clear" w:color="auto" w:fill="auto"/>
            <w:noWrap/>
          </w:tcPr>
          <w:p w:rsidRPr="00710F73" w:rsidR="00710F73" w:rsidP="00710F73" w:rsidRDefault="00710F73" w14:paraId="0C30C58A" w14:textId="6A052D75">
            <w:pPr>
              <w:tabs>
                <w:tab w:val="decimal" w:pos="407"/>
              </w:tabs>
              <w:jc w:val="right"/>
              <w:rPr>
                <w:sz w:val="16"/>
                <w:szCs w:val="16"/>
              </w:rPr>
            </w:pPr>
            <w:r w:rsidRPr="00710F73">
              <w:rPr>
                <w:sz w:val="16"/>
                <w:szCs w:val="16"/>
              </w:rPr>
              <w:t>5.0</w:t>
            </w:r>
          </w:p>
        </w:tc>
        <w:tc>
          <w:tcPr>
            <w:tcW w:w="1080" w:type="dxa"/>
            <w:tcBorders>
              <w:top w:val="nil"/>
              <w:left w:val="nil"/>
              <w:bottom w:val="nil"/>
              <w:right w:val="nil"/>
            </w:tcBorders>
            <w:shd w:val="clear" w:color="auto" w:fill="auto"/>
            <w:noWrap/>
          </w:tcPr>
          <w:p w:rsidRPr="00710F73" w:rsidR="00710F73" w:rsidP="00710F73" w:rsidRDefault="00710F73" w14:paraId="4616F754" w14:textId="1ED8A407">
            <w:pPr>
              <w:tabs>
                <w:tab w:val="decimal" w:pos="394"/>
              </w:tabs>
              <w:jc w:val="right"/>
              <w:rPr>
                <w:sz w:val="16"/>
                <w:szCs w:val="16"/>
              </w:rPr>
            </w:pPr>
            <w:r w:rsidRPr="00710F73">
              <w:rPr>
                <w:sz w:val="16"/>
                <w:szCs w:val="16"/>
              </w:rPr>
              <w:t>5.0</w:t>
            </w:r>
          </w:p>
        </w:tc>
        <w:tc>
          <w:tcPr>
            <w:tcW w:w="1199" w:type="dxa"/>
            <w:tcBorders>
              <w:top w:val="nil"/>
              <w:left w:val="nil"/>
              <w:bottom w:val="nil"/>
              <w:right w:val="nil"/>
            </w:tcBorders>
            <w:shd w:val="clear" w:color="auto" w:fill="auto"/>
            <w:noWrap/>
          </w:tcPr>
          <w:p w:rsidRPr="00710F73" w:rsidR="00710F73" w:rsidP="00710F73" w:rsidRDefault="00710F73" w14:paraId="7A1B3431" w14:textId="7E4EBA45">
            <w:pPr>
              <w:tabs>
                <w:tab w:val="decimal" w:pos="407"/>
              </w:tabs>
              <w:jc w:val="right"/>
              <w:rPr>
                <w:sz w:val="16"/>
                <w:szCs w:val="16"/>
              </w:rPr>
            </w:pPr>
            <w:r w:rsidRPr="00710F73">
              <w:rPr>
                <w:sz w:val="16"/>
                <w:szCs w:val="16"/>
              </w:rPr>
              <w:t>5.0</w:t>
            </w:r>
          </w:p>
        </w:tc>
      </w:tr>
      <w:tr w:rsidRPr="00720B8B" w:rsidR="00710F73" w:rsidTr="00702569" w14:paraId="0FC55F44"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3885956C" w14:textId="7A6A1023">
            <w:pPr>
              <w:jc w:val="right"/>
              <w:rPr>
                <w:b/>
                <w:sz w:val="16"/>
                <w:szCs w:val="16"/>
              </w:rPr>
            </w:pPr>
            <w:r w:rsidRPr="00710F73">
              <w:rPr>
                <w:b/>
                <w:sz w:val="16"/>
                <w:szCs w:val="16"/>
              </w:rPr>
              <w:t>Optional Call at 01/01/2033 Exercised</w:t>
            </w:r>
          </w:p>
        </w:tc>
        <w:tc>
          <w:tcPr>
            <w:tcW w:w="270" w:type="dxa"/>
            <w:tcBorders>
              <w:top w:val="nil"/>
              <w:left w:val="nil"/>
              <w:bottom w:val="nil"/>
              <w:right w:val="nil"/>
            </w:tcBorders>
            <w:shd w:val="clear" w:color="auto" w:fill="auto"/>
            <w:noWrap/>
            <w:vAlign w:val="bottom"/>
          </w:tcPr>
          <w:p w:rsidRPr="00710F73" w:rsidR="00710F73" w:rsidP="00710F73" w:rsidRDefault="00710F73" w14:paraId="77C2244D"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6DF7A1FE" w14:textId="01B37831">
            <w:pPr>
              <w:tabs>
                <w:tab w:val="decimal" w:pos="489"/>
              </w:tabs>
              <w:jc w:val="right"/>
              <w:rPr>
                <w:sz w:val="16"/>
                <w:szCs w:val="16"/>
              </w:rPr>
            </w:pPr>
            <w:r w:rsidRPr="00710F73">
              <w:rPr>
                <w:sz w:val="16"/>
                <w:szCs w:val="16"/>
              </w:rPr>
              <w:t>8.4</w:t>
            </w:r>
          </w:p>
        </w:tc>
        <w:tc>
          <w:tcPr>
            <w:tcW w:w="1170" w:type="dxa"/>
            <w:tcBorders>
              <w:top w:val="nil"/>
              <w:left w:val="nil"/>
              <w:bottom w:val="nil"/>
              <w:right w:val="nil"/>
            </w:tcBorders>
            <w:shd w:val="clear" w:color="auto" w:fill="auto"/>
            <w:noWrap/>
          </w:tcPr>
          <w:p w:rsidRPr="00710F73" w:rsidR="00710F73" w:rsidP="00710F73" w:rsidRDefault="00710F73" w14:paraId="500E8F93" w14:textId="4A34B8F0">
            <w:pPr>
              <w:tabs>
                <w:tab w:val="decimal" w:pos="476"/>
              </w:tabs>
              <w:jc w:val="right"/>
              <w:rPr>
                <w:sz w:val="16"/>
                <w:szCs w:val="16"/>
              </w:rPr>
            </w:pPr>
            <w:r w:rsidRPr="00710F73">
              <w:rPr>
                <w:sz w:val="16"/>
                <w:szCs w:val="16"/>
              </w:rPr>
              <w:t>6.6</w:t>
            </w:r>
          </w:p>
        </w:tc>
        <w:tc>
          <w:tcPr>
            <w:tcW w:w="1055" w:type="dxa"/>
            <w:tcBorders>
              <w:top w:val="nil"/>
              <w:left w:val="nil"/>
              <w:bottom w:val="nil"/>
              <w:right w:val="nil"/>
            </w:tcBorders>
            <w:shd w:val="clear" w:color="auto" w:fill="auto"/>
            <w:noWrap/>
          </w:tcPr>
          <w:p w:rsidRPr="00710F73" w:rsidR="00710F73" w:rsidP="00710F73" w:rsidRDefault="00710F73" w14:paraId="59A6CF72" w14:textId="3428AAE7">
            <w:pPr>
              <w:tabs>
                <w:tab w:val="decimal" w:pos="451"/>
              </w:tabs>
              <w:jc w:val="right"/>
              <w:rPr>
                <w:sz w:val="16"/>
                <w:szCs w:val="16"/>
              </w:rPr>
            </w:pPr>
            <w:r w:rsidRPr="00710F73">
              <w:rPr>
                <w:sz w:val="16"/>
                <w:szCs w:val="16"/>
              </w:rPr>
              <w:t>5.0</w:t>
            </w:r>
          </w:p>
        </w:tc>
        <w:tc>
          <w:tcPr>
            <w:tcW w:w="1128" w:type="dxa"/>
            <w:tcBorders>
              <w:top w:val="nil"/>
              <w:left w:val="nil"/>
              <w:bottom w:val="nil"/>
              <w:right w:val="nil"/>
            </w:tcBorders>
            <w:shd w:val="clear" w:color="auto" w:fill="auto"/>
            <w:noWrap/>
          </w:tcPr>
          <w:p w:rsidRPr="00710F73" w:rsidR="00710F73" w:rsidP="00710F73" w:rsidRDefault="00710F73" w14:paraId="6F712878" w14:textId="5550E6DB">
            <w:pPr>
              <w:tabs>
                <w:tab w:val="decimal" w:pos="355"/>
              </w:tabs>
              <w:jc w:val="right"/>
              <w:rPr>
                <w:sz w:val="16"/>
                <w:szCs w:val="16"/>
              </w:rPr>
            </w:pPr>
            <w:r w:rsidRPr="00710F73">
              <w:rPr>
                <w:sz w:val="16"/>
                <w:szCs w:val="16"/>
              </w:rPr>
              <w:t>5.0</w:t>
            </w:r>
          </w:p>
        </w:tc>
        <w:tc>
          <w:tcPr>
            <w:tcW w:w="1080" w:type="dxa"/>
            <w:tcBorders>
              <w:top w:val="nil"/>
              <w:left w:val="nil"/>
              <w:bottom w:val="nil"/>
              <w:right w:val="nil"/>
            </w:tcBorders>
            <w:shd w:val="clear" w:color="auto" w:fill="auto"/>
            <w:noWrap/>
          </w:tcPr>
          <w:p w:rsidRPr="00710F73" w:rsidR="00710F73" w:rsidP="00710F73" w:rsidRDefault="00710F73" w14:paraId="632A7E8D" w14:textId="148FB6E6">
            <w:pPr>
              <w:tabs>
                <w:tab w:val="decimal" w:pos="361"/>
              </w:tabs>
              <w:jc w:val="right"/>
              <w:rPr>
                <w:sz w:val="16"/>
                <w:szCs w:val="16"/>
              </w:rPr>
            </w:pPr>
            <w:r w:rsidRPr="00710F73">
              <w:rPr>
                <w:sz w:val="16"/>
                <w:szCs w:val="16"/>
              </w:rPr>
              <w:t>5.0</w:t>
            </w:r>
          </w:p>
        </w:tc>
        <w:tc>
          <w:tcPr>
            <w:tcW w:w="1170" w:type="dxa"/>
            <w:tcBorders>
              <w:top w:val="nil"/>
              <w:left w:val="nil"/>
              <w:bottom w:val="nil"/>
              <w:right w:val="nil"/>
            </w:tcBorders>
            <w:shd w:val="clear" w:color="auto" w:fill="auto"/>
            <w:noWrap/>
          </w:tcPr>
          <w:p w:rsidRPr="00710F73" w:rsidR="00710F73" w:rsidP="00710F73" w:rsidRDefault="00710F73" w14:paraId="7045C3E8" w14:textId="05DD3187">
            <w:pPr>
              <w:tabs>
                <w:tab w:val="decimal" w:pos="428"/>
              </w:tabs>
              <w:jc w:val="right"/>
              <w:rPr>
                <w:sz w:val="16"/>
                <w:szCs w:val="16"/>
              </w:rPr>
            </w:pPr>
            <w:r w:rsidRPr="00710F73">
              <w:rPr>
                <w:sz w:val="16"/>
                <w:szCs w:val="16"/>
              </w:rPr>
              <w:t>5.0</w:t>
            </w:r>
          </w:p>
        </w:tc>
        <w:tc>
          <w:tcPr>
            <w:tcW w:w="1080" w:type="dxa"/>
            <w:tcBorders>
              <w:top w:val="nil"/>
              <w:left w:val="nil"/>
              <w:bottom w:val="nil"/>
              <w:right w:val="nil"/>
            </w:tcBorders>
            <w:shd w:val="clear" w:color="auto" w:fill="auto"/>
            <w:noWrap/>
          </w:tcPr>
          <w:p w:rsidRPr="00710F73" w:rsidR="00710F73" w:rsidP="00710F73" w:rsidRDefault="00710F73" w14:paraId="3F798F92" w14:textId="504F2E78">
            <w:pPr>
              <w:tabs>
                <w:tab w:val="decimal" w:pos="356"/>
              </w:tabs>
              <w:jc w:val="right"/>
              <w:rPr>
                <w:sz w:val="16"/>
                <w:szCs w:val="16"/>
              </w:rPr>
            </w:pPr>
            <w:r w:rsidRPr="00710F73">
              <w:rPr>
                <w:sz w:val="16"/>
                <w:szCs w:val="16"/>
              </w:rPr>
              <w:t>5.0</w:t>
            </w:r>
          </w:p>
        </w:tc>
        <w:tc>
          <w:tcPr>
            <w:tcW w:w="1080" w:type="dxa"/>
            <w:tcBorders>
              <w:top w:val="nil"/>
              <w:left w:val="nil"/>
              <w:bottom w:val="nil"/>
              <w:right w:val="nil"/>
            </w:tcBorders>
            <w:shd w:val="clear" w:color="auto" w:fill="auto"/>
            <w:noWrap/>
          </w:tcPr>
          <w:p w:rsidRPr="00710F73" w:rsidR="00710F73" w:rsidP="00710F73" w:rsidRDefault="00710F73" w14:paraId="3585AA48" w14:textId="61460E02">
            <w:pPr>
              <w:tabs>
                <w:tab w:val="decimal" w:pos="407"/>
              </w:tabs>
              <w:jc w:val="right"/>
              <w:rPr>
                <w:sz w:val="16"/>
                <w:szCs w:val="16"/>
              </w:rPr>
            </w:pPr>
            <w:r w:rsidRPr="00710F73">
              <w:rPr>
                <w:sz w:val="16"/>
                <w:szCs w:val="16"/>
              </w:rPr>
              <w:t>5.0</w:t>
            </w:r>
          </w:p>
        </w:tc>
        <w:tc>
          <w:tcPr>
            <w:tcW w:w="1080" w:type="dxa"/>
            <w:tcBorders>
              <w:top w:val="nil"/>
              <w:left w:val="nil"/>
              <w:bottom w:val="nil"/>
              <w:right w:val="nil"/>
            </w:tcBorders>
            <w:shd w:val="clear" w:color="auto" w:fill="auto"/>
            <w:noWrap/>
          </w:tcPr>
          <w:p w:rsidRPr="00710F73" w:rsidR="00710F73" w:rsidP="00710F73" w:rsidRDefault="00710F73" w14:paraId="63E2689E" w14:textId="6E6B46C2">
            <w:pPr>
              <w:tabs>
                <w:tab w:val="decimal" w:pos="394"/>
              </w:tabs>
              <w:jc w:val="right"/>
              <w:rPr>
                <w:sz w:val="16"/>
                <w:szCs w:val="16"/>
              </w:rPr>
            </w:pPr>
            <w:r w:rsidRPr="00710F73">
              <w:rPr>
                <w:sz w:val="16"/>
                <w:szCs w:val="16"/>
              </w:rPr>
              <w:t>5.0</w:t>
            </w:r>
          </w:p>
        </w:tc>
        <w:tc>
          <w:tcPr>
            <w:tcW w:w="1199" w:type="dxa"/>
            <w:tcBorders>
              <w:top w:val="nil"/>
              <w:left w:val="nil"/>
              <w:bottom w:val="nil"/>
              <w:right w:val="nil"/>
            </w:tcBorders>
            <w:shd w:val="clear" w:color="auto" w:fill="auto"/>
            <w:noWrap/>
          </w:tcPr>
          <w:p w:rsidRPr="00710F73" w:rsidR="00710F73" w:rsidP="00710F73" w:rsidRDefault="00710F73" w14:paraId="7FD454C7" w14:textId="53714E15">
            <w:pPr>
              <w:tabs>
                <w:tab w:val="decimal" w:pos="407"/>
              </w:tabs>
              <w:jc w:val="right"/>
              <w:rPr>
                <w:sz w:val="16"/>
                <w:szCs w:val="16"/>
              </w:rPr>
            </w:pPr>
            <w:r w:rsidRPr="00710F73">
              <w:rPr>
                <w:sz w:val="16"/>
                <w:szCs w:val="16"/>
              </w:rPr>
              <w:t>5.0</w:t>
            </w:r>
          </w:p>
        </w:tc>
      </w:tr>
      <w:tr w:rsidRPr="00720B8B" w:rsidR="00710F73" w:rsidTr="009523F7" w14:paraId="5115B197"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21E468AE" w14:textId="77777777">
            <w:pPr>
              <w:jc w:val="right"/>
              <w:rPr>
                <w:b/>
                <w:sz w:val="16"/>
                <w:szCs w:val="16"/>
              </w:rPr>
            </w:pPr>
          </w:p>
        </w:tc>
        <w:tc>
          <w:tcPr>
            <w:tcW w:w="270" w:type="dxa"/>
            <w:tcBorders>
              <w:top w:val="nil"/>
              <w:left w:val="nil"/>
              <w:bottom w:val="nil"/>
              <w:right w:val="nil"/>
            </w:tcBorders>
            <w:shd w:val="clear" w:color="auto" w:fill="auto"/>
            <w:noWrap/>
            <w:vAlign w:val="bottom"/>
          </w:tcPr>
          <w:p w:rsidRPr="00710F73" w:rsidR="00710F73" w:rsidP="00710F73" w:rsidRDefault="00710F73" w14:paraId="52909ECC" w14:textId="77777777">
            <w:pP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1128CBCF" w14:textId="77777777">
            <w:pPr>
              <w:jc w:val="cente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651F738D" w14:textId="77777777">
            <w:pPr>
              <w:jc w:val="center"/>
              <w:rPr>
                <w:sz w:val="16"/>
                <w:szCs w:val="16"/>
              </w:rPr>
            </w:pPr>
          </w:p>
        </w:tc>
        <w:tc>
          <w:tcPr>
            <w:tcW w:w="1055" w:type="dxa"/>
            <w:tcBorders>
              <w:top w:val="nil"/>
              <w:left w:val="nil"/>
              <w:bottom w:val="nil"/>
              <w:right w:val="nil"/>
            </w:tcBorders>
            <w:shd w:val="clear" w:color="auto" w:fill="auto"/>
            <w:noWrap/>
            <w:vAlign w:val="bottom"/>
          </w:tcPr>
          <w:p w:rsidRPr="00710F73" w:rsidR="00710F73" w:rsidP="00710F73" w:rsidRDefault="00710F73" w14:paraId="02A0E0A3" w14:textId="77777777">
            <w:pPr>
              <w:jc w:val="center"/>
              <w:rPr>
                <w:sz w:val="16"/>
                <w:szCs w:val="16"/>
              </w:rPr>
            </w:pPr>
          </w:p>
        </w:tc>
        <w:tc>
          <w:tcPr>
            <w:tcW w:w="1128" w:type="dxa"/>
            <w:tcBorders>
              <w:top w:val="nil"/>
              <w:left w:val="nil"/>
              <w:bottom w:val="nil"/>
              <w:right w:val="nil"/>
            </w:tcBorders>
            <w:shd w:val="clear" w:color="auto" w:fill="auto"/>
            <w:noWrap/>
            <w:vAlign w:val="bottom"/>
          </w:tcPr>
          <w:p w:rsidRPr="00710F73" w:rsidR="00710F73" w:rsidP="00710F73" w:rsidRDefault="00710F73" w14:paraId="70D67CB7"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6F7B7ED4" w14:textId="77777777">
            <w:pP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6FBD6FA4"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5170E4AF" w14:textId="77777777">
            <w:pPr>
              <w:pStyle w:val="BalloonText"/>
              <w:rPr>
                <w:rFonts w:ascii="Times New Roman" w:hAnsi="Times New Roman" w:cs="Times New Roman"/>
              </w:rPr>
            </w:pPr>
          </w:p>
        </w:tc>
        <w:tc>
          <w:tcPr>
            <w:tcW w:w="1080" w:type="dxa"/>
            <w:tcBorders>
              <w:top w:val="nil"/>
              <w:left w:val="nil"/>
              <w:bottom w:val="nil"/>
              <w:right w:val="nil"/>
            </w:tcBorders>
            <w:shd w:val="clear" w:color="auto" w:fill="auto"/>
            <w:noWrap/>
            <w:vAlign w:val="bottom"/>
          </w:tcPr>
          <w:p w:rsidRPr="00710F73" w:rsidR="00710F73" w:rsidP="00710F73" w:rsidRDefault="00710F73" w14:paraId="7301DC05"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2962B2D7" w14:textId="77777777">
            <w:pPr>
              <w:rPr>
                <w:sz w:val="16"/>
                <w:szCs w:val="16"/>
              </w:rPr>
            </w:pPr>
          </w:p>
        </w:tc>
        <w:tc>
          <w:tcPr>
            <w:tcW w:w="1199" w:type="dxa"/>
            <w:tcBorders>
              <w:top w:val="nil"/>
              <w:left w:val="nil"/>
              <w:bottom w:val="nil"/>
              <w:right w:val="nil"/>
            </w:tcBorders>
            <w:shd w:val="clear" w:color="auto" w:fill="auto"/>
            <w:noWrap/>
            <w:vAlign w:val="bottom"/>
          </w:tcPr>
          <w:p w:rsidRPr="00710F73" w:rsidR="00710F73" w:rsidP="00710F73" w:rsidRDefault="00710F73" w14:paraId="4A73A1DE" w14:textId="77777777">
            <w:pPr>
              <w:rPr>
                <w:sz w:val="16"/>
                <w:szCs w:val="16"/>
              </w:rPr>
            </w:pPr>
          </w:p>
        </w:tc>
      </w:tr>
      <w:tr w:rsidRPr="00720B8B" w:rsidR="00710F73" w:rsidTr="009523F7" w14:paraId="66A16BCF"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484AD5EE" w14:textId="2E3A7869">
            <w:pPr>
              <w:jc w:val="right"/>
              <w:rPr>
                <w:b/>
                <w:sz w:val="16"/>
                <w:szCs w:val="16"/>
              </w:rPr>
            </w:pPr>
            <w:r w:rsidRPr="00710F73">
              <w:rPr>
                <w:b/>
                <w:sz w:val="16"/>
                <w:szCs w:val="16"/>
              </w:rPr>
              <w:t>Weighted Average Life Date</w:t>
            </w:r>
          </w:p>
        </w:tc>
        <w:tc>
          <w:tcPr>
            <w:tcW w:w="270" w:type="dxa"/>
            <w:tcBorders>
              <w:top w:val="nil"/>
              <w:left w:val="nil"/>
              <w:bottom w:val="nil"/>
              <w:right w:val="nil"/>
            </w:tcBorders>
            <w:shd w:val="clear" w:color="auto" w:fill="auto"/>
            <w:noWrap/>
            <w:vAlign w:val="bottom"/>
          </w:tcPr>
          <w:p w:rsidRPr="00710F73" w:rsidR="00710F73" w:rsidP="00710F73" w:rsidRDefault="00710F73" w14:paraId="79FDF0C3" w14:textId="77777777">
            <w:pP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1E0A58DC" w14:textId="77777777">
            <w:pPr>
              <w:jc w:val="cente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0DFFB8AE" w14:textId="77777777">
            <w:pPr>
              <w:pStyle w:val="OSHeadingnobold"/>
              <w:widowControl w:val="0"/>
              <w:autoSpaceDE w:val="0"/>
              <w:autoSpaceDN w:val="0"/>
              <w:adjustRightInd w:val="0"/>
              <w:spacing w:after="0"/>
              <w:rPr>
                <w:szCs w:val="16"/>
              </w:rPr>
            </w:pPr>
          </w:p>
        </w:tc>
        <w:tc>
          <w:tcPr>
            <w:tcW w:w="1055" w:type="dxa"/>
            <w:tcBorders>
              <w:top w:val="nil"/>
              <w:left w:val="nil"/>
              <w:bottom w:val="nil"/>
              <w:right w:val="nil"/>
            </w:tcBorders>
            <w:shd w:val="clear" w:color="auto" w:fill="auto"/>
            <w:noWrap/>
            <w:vAlign w:val="bottom"/>
          </w:tcPr>
          <w:p w:rsidRPr="00710F73" w:rsidR="00710F73" w:rsidP="00710F73" w:rsidRDefault="00710F73" w14:paraId="265CAD00" w14:textId="77777777">
            <w:pPr>
              <w:jc w:val="center"/>
              <w:rPr>
                <w:sz w:val="16"/>
                <w:szCs w:val="16"/>
              </w:rPr>
            </w:pPr>
          </w:p>
        </w:tc>
        <w:tc>
          <w:tcPr>
            <w:tcW w:w="1128" w:type="dxa"/>
            <w:tcBorders>
              <w:top w:val="nil"/>
              <w:left w:val="nil"/>
              <w:bottom w:val="nil"/>
              <w:right w:val="nil"/>
            </w:tcBorders>
            <w:shd w:val="clear" w:color="auto" w:fill="auto"/>
            <w:noWrap/>
            <w:vAlign w:val="bottom"/>
          </w:tcPr>
          <w:p w:rsidRPr="00710F73" w:rsidR="00710F73" w:rsidP="00710F73" w:rsidRDefault="00710F73" w14:paraId="4C659EE8" w14:textId="77777777">
            <w:pPr>
              <w:pStyle w:val="BalloonText"/>
              <w:rPr>
                <w:rFonts w:ascii="Times New Roman" w:hAnsi="Times New Roman" w:cs="Times New Roman"/>
              </w:rPr>
            </w:pPr>
          </w:p>
        </w:tc>
        <w:tc>
          <w:tcPr>
            <w:tcW w:w="1080" w:type="dxa"/>
            <w:tcBorders>
              <w:top w:val="nil"/>
              <w:left w:val="nil"/>
              <w:bottom w:val="nil"/>
              <w:right w:val="nil"/>
            </w:tcBorders>
            <w:shd w:val="clear" w:color="auto" w:fill="auto"/>
            <w:noWrap/>
            <w:vAlign w:val="bottom"/>
          </w:tcPr>
          <w:p w:rsidRPr="00710F73" w:rsidR="00710F73" w:rsidP="00710F73" w:rsidRDefault="00710F73" w14:paraId="718E162D" w14:textId="77777777">
            <w:pPr>
              <w:rPr>
                <w:sz w:val="16"/>
                <w:szCs w:val="16"/>
              </w:rPr>
            </w:pPr>
          </w:p>
        </w:tc>
        <w:tc>
          <w:tcPr>
            <w:tcW w:w="1170" w:type="dxa"/>
            <w:tcBorders>
              <w:top w:val="nil"/>
              <w:left w:val="nil"/>
              <w:bottom w:val="nil"/>
              <w:right w:val="nil"/>
            </w:tcBorders>
            <w:shd w:val="clear" w:color="auto" w:fill="auto"/>
            <w:noWrap/>
            <w:vAlign w:val="bottom"/>
          </w:tcPr>
          <w:p w:rsidRPr="00710F73" w:rsidR="00710F73" w:rsidP="00710F73" w:rsidRDefault="00710F73" w14:paraId="72F5ABC3"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55CB5BF0"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7592E904" w14:textId="77777777">
            <w:pPr>
              <w:rPr>
                <w:sz w:val="16"/>
                <w:szCs w:val="16"/>
              </w:rPr>
            </w:pPr>
          </w:p>
        </w:tc>
        <w:tc>
          <w:tcPr>
            <w:tcW w:w="1080" w:type="dxa"/>
            <w:tcBorders>
              <w:top w:val="nil"/>
              <w:left w:val="nil"/>
              <w:bottom w:val="nil"/>
              <w:right w:val="nil"/>
            </w:tcBorders>
            <w:shd w:val="clear" w:color="auto" w:fill="auto"/>
            <w:noWrap/>
            <w:vAlign w:val="bottom"/>
          </w:tcPr>
          <w:p w:rsidRPr="00710F73" w:rsidR="00710F73" w:rsidP="00710F73" w:rsidRDefault="00710F73" w14:paraId="20022EB3" w14:textId="77777777">
            <w:pPr>
              <w:rPr>
                <w:sz w:val="16"/>
                <w:szCs w:val="16"/>
              </w:rPr>
            </w:pPr>
          </w:p>
        </w:tc>
        <w:tc>
          <w:tcPr>
            <w:tcW w:w="1199" w:type="dxa"/>
            <w:tcBorders>
              <w:top w:val="nil"/>
              <w:left w:val="nil"/>
              <w:bottom w:val="nil"/>
              <w:right w:val="nil"/>
            </w:tcBorders>
            <w:shd w:val="clear" w:color="auto" w:fill="auto"/>
            <w:noWrap/>
            <w:vAlign w:val="bottom"/>
          </w:tcPr>
          <w:p w:rsidRPr="00710F73" w:rsidR="00710F73" w:rsidP="00710F73" w:rsidRDefault="00710F73" w14:paraId="0EC64067" w14:textId="77777777">
            <w:pPr>
              <w:rPr>
                <w:sz w:val="16"/>
                <w:szCs w:val="16"/>
              </w:rPr>
            </w:pPr>
          </w:p>
        </w:tc>
      </w:tr>
      <w:tr w:rsidRPr="00720B8B" w:rsidR="00710F73" w:rsidTr="00702569" w14:paraId="0FD6B327"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59B1CD79" w14:textId="303E9936">
            <w:pPr>
              <w:jc w:val="right"/>
              <w:rPr>
                <w:b/>
                <w:sz w:val="16"/>
                <w:szCs w:val="16"/>
              </w:rPr>
            </w:pPr>
            <w:r w:rsidRPr="00710F73">
              <w:rPr>
                <w:b/>
                <w:sz w:val="16"/>
                <w:szCs w:val="16"/>
              </w:rPr>
              <w:t>Optional Call Not Exercised</w:t>
            </w:r>
          </w:p>
        </w:tc>
        <w:tc>
          <w:tcPr>
            <w:tcW w:w="270" w:type="dxa"/>
            <w:tcBorders>
              <w:top w:val="nil"/>
              <w:left w:val="nil"/>
              <w:bottom w:val="nil"/>
              <w:right w:val="nil"/>
            </w:tcBorders>
            <w:shd w:val="clear" w:color="auto" w:fill="auto"/>
            <w:noWrap/>
            <w:vAlign w:val="bottom"/>
          </w:tcPr>
          <w:p w:rsidRPr="00710F73" w:rsidR="00710F73" w:rsidP="00710F73" w:rsidRDefault="00710F73" w14:paraId="15247CAB"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33CF5A34" w14:textId="4D4A6049">
            <w:pPr>
              <w:jc w:val="right"/>
              <w:rPr>
                <w:sz w:val="16"/>
                <w:szCs w:val="16"/>
              </w:rPr>
            </w:pPr>
            <w:r w:rsidRPr="00710F73">
              <w:rPr>
                <w:sz w:val="16"/>
                <w:szCs w:val="16"/>
              </w:rPr>
              <w:t>9/2/2051</w:t>
            </w:r>
          </w:p>
        </w:tc>
        <w:tc>
          <w:tcPr>
            <w:tcW w:w="1170" w:type="dxa"/>
            <w:tcBorders>
              <w:top w:val="nil"/>
              <w:left w:val="nil"/>
              <w:bottom w:val="nil"/>
              <w:right w:val="nil"/>
            </w:tcBorders>
            <w:shd w:val="clear" w:color="auto" w:fill="auto"/>
            <w:noWrap/>
          </w:tcPr>
          <w:p w:rsidRPr="00710F73" w:rsidR="00710F73" w:rsidP="00710F73" w:rsidRDefault="00710F73" w14:paraId="34C44B91" w14:textId="35844020">
            <w:pPr>
              <w:jc w:val="right"/>
              <w:rPr>
                <w:sz w:val="16"/>
                <w:szCs w:val="16"/>
              </w:rPr>
            </w:pPr>
            <w:r w:rsidRPr="00710F73">
              <w:rPr>
                <w:sz w:val="16"/>
                <w:szCs w:val="16"/>
              </w:rPr>
              <w:t>10/22/2036</w:t>
            </w:r>
          </w:p>
        </w:tc>
        <w:tc>
          <w:tcPr>
            <w:tcW w:w="1055" w:type="dxa"/>
            <w:tcBorders>
              <w:top w:val="nil"/>
              <w:left w:val="nil"/>
              <w:bottom w:val="nil"/>
              <w:right w:val="nil"/>
            </w:tcBorders>
            <w:shd w:val="clear" w:color="auto" w:fill="auto"/>
            <w:noWrap/>
          </w:tcPr>
          <w:p w:rsidRPr="00710F73" w:rsidR="00710F73" w:rsidP="00710F73" w:rsidRDefault="00710F73" w14:paraId="6993C8DF" w14:textId="76AE9CD0">
            <w:pPr>
              <w:jc w:val="right"/>
              <w:rPr>
                <w:sz w:val="16"/>
                <w:szCs w:val="16"/>
              </w:rPr>
            </w:pPr>
            <w:r w:rsidRPr="00710F73">
              <w:rPr>
                <w:sz w:val="16"/>
                <w:szCs w:val="16"/>
              </w:rPr>
              <w:t>8/20/2029</w:t>
            </w:r>
          </w:p>
        </w:tc>
        <w:tc>
          <w:tcPr>
            <w:tcW w:w="1128" w:type="dxa"/>
            <w:tcBorders>
              <w:top w:val="nil"/>
              <w:left w:val="nil"/>
              <w:bottom w:val="nil"/>
              <w:right w:val="nil"/>
            </w:tcBorders>
            <w:shd w:val="clear" w:color="auto" w:fill="auto"/>
            <w:noWrap/>
          </w:tcPr>
          <w:p w:rsidRPr="00710F73" w:rsidR="00710F73" w:rsidP="00710F73" w:rsidRDefault="00710F73" w14:paraId="658E12FD" w14:textId="0543C74C">
            <w:pPr>
              <w:jc w:val="right"/>
              <w:rPr>
                <w:sz w:val="16"/>
                <w:szCs w:val="16"/>
              </w:rPr>
            </w:pPr>
            <w:r w:rsidRPr="00710F73">
              <w:rPr>
                <w:sz w:val="16"/>
                <w:szCs w:val="16"/>
              </w:rPr>
              <w:t>8/20/2029</w:t>
            </w:r>
          </w:p>
        </w:tc>
        <w:tc>
          <w:tcPr>
            <w:tcW w:w="1080" w:type="dxa"/>
            <w:tcBorders>
              <w:top w:val="nil"/>
              <w:left w:val="nil"/>
              <w:bottom w:val="nil"/>
              <w:right w:val="nil"/>
            </w:tcBorders>
            <w:shd w:val="clear" w:color="auto" w:fill="auto"/>
            <w:noWrap/>
          </w:tcPr>
          <w:p w:rsidRPr="00710F73" w:rsidR="00710F73" w:rsidP="00710F73" w:rsidRDefault="00710F73" w14:paraId="167B570B" w14:textId="2D1A439F">
            <w:pPr>
              <w:jc w:val="right"/>
              <w:rPr>
                <w:sz w:val="16"/>
                <w:szCs w:val="16"/>
              </w:rPr>
            </w:pPr>
            <w:r w:rsidRPr="00710F73">
              <w:rPr>
                <w:sz w:val="16"/>
                <w:szCs w:val="16"/>
              </w:rPr>
              <w:t>8/20/2029</w:t>
            </w:r>
          </w:p>
        </w:tc>
        <w:tc>
          <w:tcPr>
            <w:tcW w:w="1170" w:type="dxa"/>
            <w:tcBorders>
              <w:top w:val="nil"/>
              <w:left w:val="nil"/>
              <w:bottom w:val="nil"/>
              <w:right w:val="nil"/>
            </w:tcBorders>
            <w:shd w:val="clear" w:color="auto" w:fill="auto"/>
            <w:noWrap/>
          </w:tcPr>
          <w:p w:rsidRPr="00710F73" w:rsidR="00710F73" w:rsidP="00710F73" w:rsidRDefault="00710F73" w14:paraId="14C70063" w14:textId="2F6BE576">
            <w:pPr>
              <w:jc w:val="right"/>
              <w:rPr>
                <w:sz w:val="16"/>
                <w:szCs w:val="16"/>
              </w:rPr>
            </w:pPr>
            <w:r w:rsidRPr="00710F73">
              <w:rPr>
                <w:sz w:val="16"/>
                <w:szCs w:val="16"/>
              </w:rPr>
              <w:t>8/20/2029</w:t>
            </w:r>
          </w:p>
        </w:tc>
        <w:tc>
          <w:tcPr>
            <w:tcW w:w="1080" w:type="dxa"/>
            <w:tcBorders>
              <w:top w:val="nil"/>
              <w:left w:val="nil"/>
              <w:bottom w:val="nil"/>
              <w:right w:val="nil"/>
            </w:tcBorders>
            <w:shd w:val="clear" w:color="auto" w:fill="auto"/>
            <w:noWrap/>
          </w:tcPr>
          <w:p w:rsidRPr="00710F73" w:rsidR="00710F73" w:rsidP="00710F73" w:rsidRDefault="00710F73" w14:paraId="3166A311" w14:textId="38CA6DDF">
            <w:pPr>
              <w:jc w:val="right"/>
              <w:rPr>
                <w:sz w:val="16"/>
                <w:szCs w:val="16"/>
              </w:rPr>
            </w:pPr>
            <w:r w:rsidRPr="00710F73">
              <w:rPr>
                <w:sz w:val="16"/>
                <w:szCs w:val="16"/>
              </w:rPr>
              <w:t>8/20/2029</w:t>
            </w:r>
          </w:p>
        </w:tc>
        <w:tc>
          <w:tcPr>
            <w:tcW w:w="1080" w:type="dxa"/>
            <w:tcBorders>
              <w:top w:val="nil"/>
              <w:left w:val="nil"/>
              <w:bottom w:val="nil"/>
              <w:right w:val="nil"/>
            </w:tcBorders>
            <w:shd w:val="clear" w:color="auto" w:fill="auto"/>
            <w:noWrap/>
          </w:tcPr>
          <w:p w:rsidRPr="00710F73" w:rsidR="00710F73" w:rsidP="00710F73" w:rsidRDefault="00710F73" w14:paraId="498A997E" w14:textId="340FB64B">
            <w:pPr>
              <w:jc w:val="right"/>
              <w:rPr>
                <w:sz w:val="16"/>
                <w:szCs w:val="16"/>
              </w:rPr>
            </w:pPr>
            <w:r w:rsidRPr="00710F73">
              <w:rPr>
                <w:sz w:val="16"/>
                <w:szCs w:val="16"/>
              </w:rPr>
              <w:t>8/20/2029</w:t>
            </w:r>
          </w:p>
        </w:tc>
        <w:tc>
          <w:tcPr>
            <w:tcW w:w="1080" w:type="dxa"/>
            <w:tcBorders>
              <w:top w:val="nil"/>
              <w:left w:val="nil"/>
              <w:bottom w:val="nil"/>
              <w:right w:val="nil"/>
            </w:tcBorders>
            <w:shd w:val="clear" w:color="auto" w:fill="auto"/>
            <w:noWrap/>
          </w:tcPr>
          <w:p w:rsidRPr="00710F73" w:rsidR="00710F73" w:rsidP="00710F73" w:rsidRDefault="00710F73" w14:paraId="652F5A34" w14:textId="47CF171B">
            <w:pPr>
              <w:jc w:val="right"/>
              <w:rPr>
                <w:sz w:val="16"/>
                <w:szCs w:val="16"/>
              </w:rPr>
            </w:pPr>
            <w:r w:rsidRPr="00710F73">
              <w:rPr>
                <w:sz w:val="16"/>
                <w:szCs w:val="16"/>
              </w:rPr>
              <w:t>8/20/2029</w:t>
            </w:r>
          </w:p>
        </w:tc>
        <w:tc>
          <w:tcPr>
            <w:tcW w:w="1199" w:type="dxa"/>
            <w:tcBorders>
              <w:top w:val="nil"/>
              <w:left w:val="nil"/>
              <w:bottom w:val="nil"/>
              <w:right w:val="nil"/>
            </w:tcBorders>
            <w:shd w:val="clear" w:color="auto" w:fill="auto"/>
            <w:noWrap/>
          </w:tcPr>
          <w:p w:rsidRPr="00710F73" w:rsidR="00710F73" w:rsidP="00710F73" w:rsidRDefault="00710F73" w14:paraId="64A45827" w14:textId="62873EB5">
            <w:pPr>
              <w:jc w:val="right"/>
              <w:rPr>
                <w:sz w:val="16"/>
                <w:szCs w:val="16"/>
              </w:rPr>
            </w:pPr>
            <w:r w:rsidRPr="00710F73">
              <w:rPr>
                <w:sz w:val="16"/>
                <w:szCs w:val="16"/>
              </w:rPr>
              <w:t>8/20/2029</w:t>
            </w:r>
          </w:p>
        </w:tc>
      </w:tr>
      <w:tr w:rsidRPr="001F720E" w:rsidR="00710F73" w:rsidTr="00702569" w14:paraId="34366138" w14:textId="77777777">
        <w:tc>
          <w:tcPr>
            <w:tcW w:w="3420" w:type="dxa"/>
            <w:tcBorders>
              <w:top w:val="nil"/>
              <w:left w:val="nil"/>
              <w:bottom w:val="nil"/>
              <w:right w:val="nil"/>
            </w:tcBorders>
            <w:shd w:val="clear" w:color="auto" w:fill="auto"/>
            <w:noWrap/>
            <w:vAlign w:val="bottom"/>
          </w:tcPr>
          <w:p w:rsidRPr="00710F73" w:rsidR="00710F73" w:rsidP="00710F73" w:rsidRDefault="00710F73" w14:paraId="3AA3909F" w14:textId="5E7DBCEC">
            <w:pPr>
              <w:jc w:val="right"/>
              <w:rPr>
                <w:b/>
                <w:sz w:val="16"/>
                <w:szCs w:val="16"/>
              </w:rPr>
            </w:pPr>
            <w:r w:rsidRPr="00710F73">
              <w:rPr>
                <w:b/>
                <w:sz w:val="16"/>
                <w:szCs w:val="16"/>
              </w:rPr>
              <w:t>Optional Call at 01/01/2033 Exercised</w:t>
            </w:r>
          </w:p>
        </w:tc>
        <w:tc>
          <w:tcPr>
            <w:tcW w:w="270" w:type="dxa"/>
            <w:tcBorders>
              <w:top w:val="nil"/>
              <w:left w:val="nil"/>
              <w:bottom w:val="nil"/>
              <w:right w:val="nil"/>
            </w:tcBorders>
            <w:shd w:val="clear" w:color="auto" w:fill="auto"/>
            <w:noWrap/>
            <w:vAlign w:val="bottom"/>
          </w:tcPr>
          <w:p w:rsidRPr="00710F73" w:rsidR="00710F73" w:rsidP="00710F73" w:rsidRDefault="00710F73" w14:paraId="2FEFF91B" w14:textId="77777777">
            <w:pPr>
              <w:rPr>
                <w:sz w:val="16"/>
                <w:szCs w:val="16"/>
              </w:rPr>
            </w:pPr>
          </w:p>
        </w:tc>
        <w:tc>
          <w:tcPr>
            <w:tcW w:w="1170" w:type="dxa"/>
            <w:tcBorders>
              <w:top w:val="nil"/>
              <w:left w:val="nil"/>
              <w:bottom w:val="nil"/>
              <w:right w:val="nil"/>
            </w:tcBorders>
            <w:shd w:val="clear" w:color="auto" w:fill="auto"/>
            <w:noWrap/>
          </w:tcPr>
          <w:p w:rsidRPr="00710F73" w:rsidR="00710F73" w:rsidP="00710F73" w:rsidRDefault="00710F73" w14:paraId="24345661" w14:textId="713AB7AF">
            <w:pPr>
              <w:jc w:val="right"/>
              <w:rPr>
                <w:sz w:val="16"/>
                <w:szCs w:val="16"/>
              </w:rPr>
            </w:pPr>
            <w:r w:rsidRPr="00710F73">
              <w:rPr>
                <w:sz w:val="16"/>
                <w:szCs w:val="16"/>
              </w:rPr>
              <w:t>1/1/2033</w:t>
            </w:r>
          </w:p>
        </w:tc>
        <w:tc>
          <w:tcPr>
            <w:tcW w:w="1170" w:type="dxa"/>
            <w:tcBorders>
              <w:top w:val="nil"/>
              <w:left w:val="nil"/>
              <w:bottom w:val="nil"/>
              <w:right w:val="nil"/>
            </w:tcBorders>
            <w:shd w:val="clear" w:color="auto" w:fill="auto"/>
            <w:noWrap/>
          </w:tcPr>
          <w:p w:rsidRPr="00710F73" w:rsidR="00710F73" w:rsidP="00710F73" w:rsidRDefault="00710F73" w14:paraId="06E28B5A" w14:textId="14F53DF5">
            <w:pPr>
              <w:jc w:val="right"/>
              <w:rPr>
                <w:sz w:val="16"/>
                <w:szCs w:val="16"/>
              </w:rPr>
            </w:pPr>
            <w:r w:rsidRPr="00710F73">
              <w:rPr>
                <w:sz w:val="16"/>
                <w:szCs w:val="16"/>
              </w:rPr>
              <w:t>4/11/2031</w:t>
            </w:r>
          </w:p>
        </w:tc>
        <w:tc>
          <w:tcPr>
            <w:tcW w:w="1055" w:type="dxa"/>
            <w:tcBorders>
              <w:top w:val="nil"/>
              <w:left w:val="nil"/>
              <w:bottom w:val="nil"/>
              <w:right w:val="nil"/>
            </w:tcBorders>
            <w:shd w:val="clear" w:color="auto" w:fill="auto"/>
            <w:noWrap/>
          </w:tcPr>
          <w:p w:rsidRPr="00710F73" w:rsidR="00710F73" w:rsidP="00710F73" w:rsidRDefault="00710F73" w14:paraId="3C08B371" w14:textId="5633F510">
            <w:pPr>
              <w:jc w:val="right"/>
              <w:rPr>
                <w:sz w:val="16"/>
                <w:szCs w:val="16"/>
              </w:rPr>
            </w:pPr>
            <w:r w:rsidRPr="00710F73">
              <w:rPr>
                <w:sz w:val="16"/>
                <w:szCs w:val="16"/>
              </w:rPr>
              <w:t>8/16/2029</w:t>
            </w:r>
          </w:p>
        </w:tc>
        <w:tc>
          <w:tcPr>
            <w:tcW w:w="1128" w:type="dxa"/>
            <w:tcBorders>
              <w:top w:val="nil"/>
              <w:left w:val="nil"/>
              <w:bottom w:val="nil"/>
              <w:right w:val="nil"/>
            </w:tcBorders>
            <w:shd w:val="clear" w:color="auto" w:fill="auto"/>
            <w:noWrap/>
          </w:tcPr>
          <w:p w:rsidRPr="00710F73" w:rsidR="00710F73" w:rsidP="00710F73" w:rsidRDefault="00710F73" w14:paraId="34D8D549" w14:textId="0ADDFF83">
            <w:pPr>
              <w:jc w:val="right"/>
              <w:rPr>
                <w:sz w:val="16"/>
                <w:szCs w:val="16"/>
              </w:rPr>
            </w:pPr>
            <w:r w:rsidRPr="00710F73">
              <w:rPr>
                <w:sz w:val="16"/>
                <w:szCs w:val="16"/>
              </w:rPr>
              <w:t>8/16/2029</w:t>
            </w:r>
          </w:p>
        </w:tc>
        <w:tc>
          <w:tcPr>
            <w:tcW w:w="1080" w:type="dxa"/>
            <w:tcBorders>
              <w:top w:val="nil"/>
              <w:left w:val="nil"/>
              <w:bottom w:val="nil"/>
              <w:right w:val="nil"/>
            </w:tcBorders>
            <w:shd w:val="clear" w:color="auto" w:fill="auto"/>
            <w:noWrap/>
          </w:tcPr>
          <w:p w:rsidRPr="00710F73" w:rsidR="00710F73" w:rsidP="00710F73" w:rsidRDefault="00710F73" w14:paraId="7D7B262F" w14:textId="73131DCA">
            <w:pPr>
              <w:jc w:val="right"/>
              <w:rPr>
                <w:sz w:val="16"/>
                <w:szCs w:val="16"/>
              </w:rPr>
            </w:pPr>
            <w:r w:rsidRPr="00710F73">
              <w:rPr>
                <w:sz w:val="16"/>
                <w:szCs w:val="16"/>
              </w:rPr>
              <w:t>8/16/2029</w:t>
            </w:r>
          </w:p>
        </w:tc>
        <w:tc>
          <w:tcPr>
            <w:tcW w:w="1170" w:type="dxa"/>
            <w:tcBorders>
              <w:top w:val="nil"/>
              <w:left w:val="nil"/>
              <w:bottom w:val="nil"/>
              <w:right w:val="nil"/>
            </w:tcBorders>
            <w:shd w:val="clear" w:color="auto" w:fill="auto"/>
            <w:noWrap/>
          </w:tcPr>
          <w:p w:rsidRPr="00710F73" w:rsidR="00710F73" w:rsidP="00710F73" w:rsidRDefault="00710F73" w14:paraId="7874E304" w14:textId="7F8FAD42">
            <w:pPr>
              <w:jc w:val="right"/>
              <w:rPr>
                <w:sz w:val="16"/>
                <w:szCs w:val="16"/>
              </w:rPr>
            </w:pPr>
            <w:r w:rsidRPr="00710F73">
              <w:rPr>
                <w:sz w:val="16"/>
                <w:szCs w:val="16"/>
              </w:rPr>
              <w:t>8/16/2029</w:t>
            </w:r>
          </w:p>
        </w:tc>
        <w:tc>
          <w:tcPr>
            <w:tcW w:w="1080" w:type="dxa"/>
            <w:tcBorders>
              <w:top w:val="nil"/>
              <w:left w:val="nil"/>
              <w:bottom w:val="nil"/>
              <w:right w:val="nil"/>
            </w:tcBorders>
            <w:shd w:val="clear" w:color="auto" w:fill="auto"/>
            <w:noWrap/>
          </w:tcPr>
          <w:p w:rsidRPr="00710F73" w:rsidR="00710F73" w:rsidP="00710F73" w:rsidRDefault="00710F73" w14:paraId="3735F9BA" w14:textId="241DD265">
            <w:pPr>
              <w:jc w:val="right"/>
              <w:rPr>
                <w:sz w:val="16"/>
                <w:szCs w:val="16"/>
              </w:rPr>
            </w:pPr>
            <w:r w:rsidRPr="00710F73">
              <w:rPr>
                <w:sz w:val="16"/>
                <w:szCs w:val="16"/>
              </w:rPr>
              <w:t>8/16/2029</w:t>
            </w:r>
          </w:p>
        </w:tc>
        <w:tc>
          <w:tcPr>
            <w:tcW w:w="1080" w:type="dxa"/>
            <w:tcBorders>
              <w:top w:val="nil"/>
              <w:left w:val="nil"/>
              <w:bottom w:val="nil"/>
              <w:right w:val="nil"/>
            </w:tcBorders>
            <w:shd w:val="clear" w:color="auto" w:fill="auto"/>
            <w:noWrap/>
          </w:tcPr>
          <w:p w:rsidRPr="00710F73" w:rsidR="00710F73" w:rsidP="00710F73" w:rsidRDefault="00710F73" w14:paraId="2CBA365A" w14:textId="27E2CFB2">
            <w:pPr>
              <w:jc w:val="right"/>
              <w:rPr>
                <w:sz w:val="16"/>
                <w:szCs w:val="16"/>
              </w:rPr>
            </w:pPr>
            <w:r w:rsidRPr="00710F73">
              <w:rPr>
                <w:sz w:val="16"/>
                <w:szCs w:val="16"/>
              </w:rPr>
              <w:t>8/16/2029</w:t>
            </w:r>
          </w:p>
        </w:tc>
        <w:tc>
          <w:tcPr>
            <w:tcW w:w="1080" w:type="dxa"/>
            <w:tcBorders>
              <w:top w:val="nil"/>
              <w:left w:val="nil"/>
              <w:bottom w:val="nil"/>
              <w:right w:val="nil"/>
            </w:tcBorders>
            <w:shd w:val="clear" w:color="auto" w:fill="auto"/>
            <w:noWrap/>
          </w:tcPr>
          <w:p w:rsidRPr="00710F73" w:rsidR="00710F73" w:rsidP="00710F73" w:rsidRDefault="00710F73" w14:paraId="7EC3F61B" w14:textId="06427559">
            <w:pPr>
              <w:jc w:val="right"/>
              <w:rPr>
                <w:sz w:val="16"/>
                <w:szCs w:val="16"/>
              </w:rPr>
            </w:pPr>
            <w:r w:rsidRPr="00710F73">
              <w:rPr>
                <w:sz w:val="16"/>
                <w:szCs w:val="16"/>
              </w:rPr>
              <w:t>8/16/2029</w:t>
            </w:r>
          </w:p>
        </w:tc>
        <w:tc>
          <w:tcPr>
            <w:tcW w:w="1199" w:type="dxa"/>
            <w:tcBorders>
              <w:top w:val="nil"/>
              <w:left w:val="nil"/>
              <w:bottom w:val="nil"/>
              <w:right w:val="nil"/>
            </w:tcBorders>
            <w:shd w:val="clear" w:color="auto" w:fill="auto"/>
            <w:noWrap/>
          </w:tcPr>
          <w:p w:rsidRPr="00710F73" w:rsidR="00710F73" w:rsidP="00710F73" w:rsidRDefault="00710F73" w14:paraId="3EC55ABA" w14:textId="168E987C">
            <w:pPr>
              <w:jc w:val="right"/>
              <w:rPr>
                <w:sz w:val="16"/>
                <w:szCs w:val="16"/>
              </w:rPr>
            </w:pPr>
            <w:r w:rsidRPr="00710F73">
              <w:rPr>
                <w:sz w:val="16"/>
                <w:szCs w:val="16"/>
              </w:rPr>
              <w:t>8/16/2029</w:t>
            </w:r>
          </w:p>
        </w:tc>
      </w:tr>
    </w:tbl>
    <w:p w:rsidRPr="00B34407" w:rsidR="00305CCD" w:rsidP="0058506E" w:rsidRDefault="00305CCD" w14:paraId="39113CCD" w14:textId="25CE868A">
      <w:pPr>
        <w:pStyle w:val="BodyTextFirstIndent"/>
        <w:spacing w:after="0"/>
        <w:jc w:val="left"/>
        <w:rPr>
          <w:b/>
        </w:rPr>
        <w:sectPr w:rsidRPr="00B34407" w:rsidR="00305CCD" w:rsidSect="003E3578">
          <w:footnotePr>
            <w:numFmt w:val="chicago"/>
            <w:numRestart w:val="eachSect"/>
          </w:footnotePr>
          <w:pgSz w:w="15840" w:h="12240" w:orient="landscape" w:code="1"/>
          <w:pgMar w:top="346" w:right="288" w:bottom="346" w:left="288" w:header="720" w:footer="576" w:gutter="0"/>
          <w:cols w:space="720"/>
          <w:noEndnote/>
          <w:docGrid w:linePitch="272"/>
        </w:sectPr>
      </w:pPr>
    </w:p>
    <w:p w:rsidRPr="00B34407" w:rsidR="00347524" w:rsidP="00347524" w:rsidRDefault="00347524" w14:paraId="4B3C9BD3" w14:textId="77777777">
      <w:pPr>
        <w:rPr>
          <w:sz w:val="14"/>
        </w:rPr>
      </w:pPr>
      <w:bookmarkStart w:name="ElPgBr98" w:id="1073"/>
      <w:bookmarkEnd w:id="1073"/>
    </w:p>
    <w:p w:rsidRPr="00B34407" w:rsidR="0043681D" w:rsidP="004958B2" w:rsidRDefault="004958B2" w14:paraId="6EA27072" w14:textId="00773545">
      <w:pPr>
        <w:pStyle w:val="aBTRightJustified"/>
        <w:widowControl/>
        <w:tabs>
          <w:tab w:val="left" w:pos="439"/>
          <w:tab w:val="right" w:pos="9720"/>
        </w:tabs>
        <w:ind w:right="936"/>
        <w:jc w:val="left"/>
      </w:pPr>
      <w:r w:rsidRPr="00B34407">
        <w:tab/>
      </w:r>
      <w:r w:rsidRPr="00B34407">
        <w:tab/>
      </w:r>
      <w:r w:rsidRPr="00B34407" w:rsidR="0043681D">
        <w:t>APPENDIX H</w:t>
      </w:r>
    </w:p>
    <w:p w:rsidRPr="00FE04C4" w:rsidR="004958B2" w:rsidP="00F06451" w:rsidRDefault="004958B2" w14:paraId="7E71CB34" w14:textId="33505FCE">
      <w:pPr>
        <w:pStyle w:val="BodyTextFirstIndent"/>
        <w:ind w:left="360" w:right="1080"/>
      </w:pPr>
      <w:r w:rsidRPr="00B34407">
        <w:t xml:space="preserve">The following table presents certain information regarding the interest rate, series, bond type and maturity of the Indiana Housing and Community Development </w:t>
      </w:r>
      <w:r w:rsidRPr="00FE04C4">
        <w:t>Authority Single Family Mortgage Revenue Bonds.</w:t>
      </w:r>
      <w:r w:rsidRPr="00FE04C4" w:rsidR="00BC3B8C">
        <w:t xml:space="preserve"> </w:t>
      </w:r>
    </w:p>
    <w:p w:rsidRPr="00FE04C4" w:rsidR="004958B2" w:rsidP="004958B2" w:rsidRDefault="004958B2" w14:paraId="28106630" w14:textId="2275F170">
      <w:pPr>
        <w:widowControl/>
        <w:jc w:val="center"/>
        <w:rPr>
          <w:b/>
          <w:bCs/>
        </w:rPr>
      </w:pPr>
      <w:r w:rsidRPr="00FE04C4">
        <w:rPr>
          <w:b/>
          <w:bCs/>
        </w:rPr>
        <w:t>BONDS OUTSTANDING AS OF</w:t>
      </w:r>
      <w:r w:rsidRPr="00FE04C4" w:rsidR="009A2D57">
        <w:rPr>
          <w:b/>
          <w:bCs/>
        </w:rPr>
        <w:t xml:space="preserve"> </w:t>
      </w:r>
      <w:r w:rsidR="00C9166F">
        <w:rPr>
          <w:b/>
          <w:bCs/>
        </w:rPr>
        <w:t>JULY</w:t>
      </w:r>
      <w:r w:rsidR="00711D37">
        <w:rPr>
          <w:b/>
          <w:bCs/>
        </w:rPr>
        <w:t xml:space="preserve"> 1, 2024</w:t>
      </w:r>
      <w:r w:rsidRPr="00FE04C4">
        <w:rPr>
          <w:b/>
          <w:bCs/>
        </w:rPr>
        <w:t xml:space="preserve"> </w:t>
      </w:r>
    </w:p>
    <w:p w:rsidRPr="00FE04C4" w:rsidR="0043681D" w:rsidP="0043681D" w:rsidRDefault="0043681D" w14:paraId="7B303853" w14:textId="3D13612A"/>
    <w:tbl>
      <w:tblPr>
        <w:tblW w:w="9180" w:type="dxa"/>
        <w:jc w:val="center"/>
        <w:tblLook w:val="04A0" w:firstRow="1" w:lastRow="0" w:firstColumn="1" w:lastColumn="0" w:noHBand="0" w:noVBand="1"/>
      </w:tblPr>
      <w:tblGrid>
        <w:gridCol w:w="980"/>
        <w:gridCol w:w="1820"/>
        <w:gridCol w:w="1360"/>
        <w:gridCol w:w="1060"/>
        <w:gridCol w:w="1220"/>
        <w:gridCol w:w="1580"/>
        <w:gridCol w:w="1160"/>
      </w:tblGrid>
      <w:tr w:rsidRPr="002F168A" w:rsidR="006833D2" w:rsidTr="00921901" w14:paraId="308F51D2" w14:textId="77777777">
        <w:trPr>
          <w:trHeight w:val="270"/>
          <w:tblHeader/>
          <w:jc w:val="center"/>
        </w:trPr>
        <w:tc>
          <w:tcPr>
            <w:tcW w:w="980" w:type="dxa"/>
            <w:tcBorders>
              <w:top w:val="nil"/>
              <w:left w:val="nil"/>
              <w:bottom w:val="single" w:color="auto" w:sz="8" w:space="0"/>
              <w:right w:val="nil"/>
            </w:tcBorders>
            <w:shd w:val="clear" w:color="auto" w:fill="auto"/>
            <w:noWrap/>
            <w:vAlign w:val="bottom"/>
            <w:hideMark/>
          </w:tcPr>
          <w:p w:rsidRPr="002F168A" w:rsidR="006833D2" w:rsidP="002C56D4" w:rsidRDefault="006833D2" w14:paraId="5D5DBD64" w14:textId="77777777">
            <w:pPr>
              <w:jc w:val="center"/>
              <w:rPr>
                <w:b/>
                <w:bCs/>
              </w:rPr>
            </w:pPr>
            <w:r w:rsidRPr="002F168A">
              <w:rPr>
                <w:b/>
                <w:bCs/>
              </w:rPr>
              <w:t xml:space="preserve">Coupon </w:t>
            </w:r>
          </w:p>
        </w:tc>
        <w:tc>
          <w:tcPr>
            <w:tcW w:w="1820" w:type="dxa"/>
            <w:tcBorders>
              <w:top w:val="nil"/>
              <w:left w:val="nil"/>
              <w:bottom w:val="single" w:color="auto" w:sz="8" w:space="0"/>
              <w:right w:val="nil"/>
            </w:tcBorders>
            <w:shd w:val="clear" w:color="auto" w:fill="auto"/>
            <w:noWrap/>
            <w:vAlign w:val="bottom"/>
            <w:hideMark/>
          </w:tcPr>
          <w:p w:rsidRPr="002F168A" w:rsidR="006833D2" w:rsidP="002C56D4" w:rsidRDefault="006833D2" w14:paraId="70379E09" w14:textId="77777777">
            <w:pPr>
              <w:jc w:val="center"/>
              <w:rPr>
                <w:b/>
                <w:bCs/>
              </w:rPr>
            </w:pPr>
            <w:r w:rsidRPr="002F168A">
              <w:rPr>
                <w:b/>
                <w:bCs/>
              </w:rPr>
              <w:t xml:space="preserve"> Series </w:t>
            </w:r>
          </w:p>
        </w:tc>
        <w:tc>
          <w:tcPr>
            <w:tcW w:w="1360" w:type="dxa"/>
            <w:tcBorders>
              <w:top w:val="nil"/>
              <w:left w:val="nil"/>
              <w:bottom w:val="single" w:color="auto" w:sz="8" w:space="0"/>
              <w:right w:val="nil"/>
            </w:tcBorders>
            <w:shd w:val="clear" w:color="auto" w:fill="auto"/>
            <w:noWrap/>
            <w:vAlign w:val="bottom"/>
            <w:hideMark/>
          </w:tcPr>
          <w:p w:rsidRPr="002F168A" w:rsidR="006833D2" w:rsidP="002C56D4" w:rsidRDefault="006833D2" w14:paraId="20B6B103" w14:textId="77777777">
            <w:pPr>
              <w:jc w:val="center"/>
              <w:rPr>
                <w:b/>
                <w:bCs/>
              </w:rPr>
            </w:pPr>
            <w:r w:rsidRPr="002F168A">
              <w:rPr>
                <w:b/>
                <w:bCs/>
              </w:rPr>
              <w:t xml:space="preserve"> Type</w:t>
            </w:r>
          </w:p>
        </w:tc>
        <w:tc>
          <w:tcPr>
            <w:tcW w:w="1060" w:type="dxa"/>
            <w:tcBorders>
              <w:top w:val="nil"/>
              <w:left w:val="nil"/>
              <w:bottom w:val="single" w:color="auto" w:sz="8" w:space="0"/>
              <w:right w:val="nil"/>
            </w:tcBorders>
            <w:shd w:val="clear" w:color="auto" w:fill="auto"/>
            <w:noWrap/>
            <w:vAlign w:val="bottom"/>
            <w:hideMark/>
          </w:tcPr>
          <w:p w:rsidRPr="002F168A" w:rsidR="006833D2" w:rsidP="002C56D4" w:rsidRDefault="006833D2" w14:paraId="1BB18FBE" w14:textId="77777777">
            <w:pPr>
              <w:jc w:val="center"/>
              <w:rPr>
                <w:b/>
                <w:bCs/>
              </w:rPr>
            </w:pPr>
            <w:r w:rsidRPr="002F168A">
              <w:rPr>
                <w:b/>
                <w:bCs/>
              </w:rPr>
              <w:t xml:space="preserve"> Maturity </w:t>
            </w:r>
          </w:p>
        </w:tc>
        <w:tc>
          <w:tcPr>
            <w:tcW w:w="1220" w:type="dxa"/>
            <w:tcBorders>
              <w:top w:val="nil"/>
              <w:left w:val="nil"/>
              <w:bottom w:val="single" w:color="auto" w:sz="8" w:space="0"/>
              <w:right w:val="nil"/>
            </w:tcBorders>
            <w:shd w:val="clear" w:color="auto" w:fill="auto"/>
            <w:noWrap/>
            <w:vAlign w:val="bottom"/>
            <w:hideMark/>
          </w:tcPr>
          <w:p w:rsidRPr="002F168A" w:rsidR="006833D2" w:rsidP="002C56D4" w:rsidRDefault="006833D2" w14:paraId="05E422BA" w14:textId="77777777">
            <w:pPr>
              <w:jc w:val="center"/>
              <w:rPr>
                <w:b/>
                <w:bCs/>
              </w:rPr>
            </w:pPr>
            <w:r w:rsidRPr="002F168A">
              <w:rPr>
                <w:b/>
                <w:bCs/>
              </w:rPr>
              <w:t xml:space="preserve"> Amount </w:t>
            </w:r>
          </w:p>
        </w:tc>
        <w:tc>
          <w:tcPr>
            <w:tcW w:w="1580" w:type="dxa"/>
            <w:tcBorders>
              <w:top w:val="nil"/>
              <w:left w:val="nil"/>
              <w:bottom w:val="single" w:color="auto" w:sz="8" w:space="0"/>
              <w:right w:val="nil"/>
            </w:tcBorders>
            <w:shd w:val="clear" w:color="auto" w:fill="auto"/>
            <w:noWrap/>
            <w:vAlign w:val="bottom"/>
            <w:hideMark/>
          </w:tcPr>
          <w:p w:rsidRPr="002F168A" w:rsidR="006833D2" w:rsidP="002C56D4" w:rsidRDefault="006833D2" w14:paraId="1C14DD9D" w14:textId="77777777">
            <w:pPr>
              <w:jc w:val="center"/>
              <w:rPr>
                <w:b/>
                <w:bCs/>
              </w:rPr>
            </w:pPr>
            <w:r w:rsidRPr="002F168A">
              <w:rPr>
                <w:b/>
                <w:bCs/>
              </w:rPr>
              <w:t xml:space="preserve"> Cumulative </w:t>
            </w:r>
          </w:p>
        </w:tc>
        <w:tc>
          <w:tcPr>
            <w:tcW w:w="1160" w:type="dxa"/>
            <w:tcBorders>
              <w:top w:val="nil"/>
              <w:left w:val="nil"/>
              <w:bottom w:val="single" w:color="auto" w:sz="8" w:space="0"/>
              <w:right w:val="nil"/>
            </w:tcBorders>
            <w:shd w:val="clear" w:color="auto" w:fill="auto"/>
            <w:noWrap/>
            <w:vAlign w:val="bottom"/>
            <w:hideMark/>
          </w:tcPr>
          <w:p w:rsidRPr="002F168A" w:rsidR="006833D2" w:rsidP="002C56D4" w:rsidRDefault="006833D2" w14:paraId="678691AC" w14:textId="77777777">
            <w:pPr>
              <w:jc w:val="center"/>
              <w:rPr>
                <w:b/>
                <w:bCs/>
              </w:rPr>
            </w:pPr>
            <w:r w:rsidRPr="002F168A">
              <w:rPr>
                <w:b/>
                <w:bCs/>
              </w:rPr>
              <w:t xml:space="preserve"> % of Total </w:t>
            </w:r>
          </w:p>
        </w:tc>
      </w:tr>
      <w:tr w:rsidRPr="002F168A" w:rsidR="006833D2" w:rsidTr="00921901" w14:paraId="06094980" w14:textId="77777777">
        <w:trPr>
          <w:trHeight w:val="255"/>
          <w:tblHeader/>
          <w:jc w:val="center"/>
        </w:trPr>
        <w:tc>
          <w:tcPr>
            <w:tcW w:w="980" w:type="dxa"/>
            <w:tcBorders>
              <w:top w:val="nil"/>
              <w:left w:val="nil"/>
              <w:bottom w:val="nil"/>
              <w:right w:val="nil"/>
            </w:tcBorders>
            <w:shd w:val="clear" w:color="auto" w:fill="auto"/>
            <w:noWrap/>
            <w:vAlign w:val="bottom"/>
            <w:hideMark/>
          </w:tcPr>
          <w:p w:rsidRPr="002F168A" w:rsidR="006833D2" w:rsidP="002C56D4" w:rsidRDefault="006833D2" w14:paraId="0542B312" w14:textId="77777777">
            <w:pPr>
              <w:jc w:val="center"/>
              <w:rPr>
                <w:b/>
                <w:bCs/>
              </w:rPr>
            </w:pPr>
          </w:p>
        </w:tc>
        <w:tc>
          <w:tcPr>
            <w:tcW w:w="1820" w:type="dxa"/>
            <w:tcBorders>
              <w:top w:val="nil"/>
              <w:left w:val="nil"/>
              <w:bottom w:val="nil"/>
              <w:right w:val="nil"/>
            </w:tcBorders>
            <w:shd w:val="clear" w:color="auto" w:fill="auto"/>
            <w:noWrap/>
            <w:vAlign w:val="bottom"/>
            <w:hideMark/>
          </w:tcPr>
          <w:p w:rsidRPr="002F168A" w:rsidR="006833D2" w:rsidP="002C56D4" w:rsidRDefault="006833D2" w14:paraId="6ADC5B7B" w14:textId="77777777">
            <w:pPr>
              <w:jc w:val="left"/>
            </w:pPr>
          </w:p>
        </w:tc>
        <w:tc>
          <w:tcPr>
            <w:tcW w:w="1360" w:type="dxa"/>
            <w:tcBorders>
              <w:top w:val="nil"/>
              <w:left w:val="nil"/>
              <w:bottom w:val="nil"/>
              <w:right w:val="nil"/>
            </w:tcBorders>
            <w:shd w:val="clear" w:color="auto" w:fill="auto"/>
            <w:noWrap/>
            <w:vAlign w:val="bottom"/>
            <w:hideMark/>
          </w:tcPr>
          <w:p w:rsidRPr="002F168A" w:rsidR="006833D2" w:rsidP="002C56D4" w:rsidRDefault="006833D2" w14:paraId="22AE6264" w14:textId="77777777">
            <w:pPr>
              <w:jc w:val="left"/>
            </w:pPr>
          </w:p>
        </w:tc>
        <w:tc>
          <w:tcPr>
            <w:tcW w:w="1060" w:type="dxa"/>
            <w:tcBorders>
              <w:top w:val="nil"/>
              <w:left w:val="nil"/>
              <w:bottom w:val="nil"/>
              <w:right w:val="nil"/>
            </w:tcBorders>
            <w:shd w:val="clear" w:color="auto" w:fill="auto"/>
            <w:noWrap/>
            <w:vAlign w:val="bottom"/>
            <w:hideMark/>
          </w:tcPr>
          <w:p w:rsidRPr="002F168A" w:rsidR="006833D2" w:rsidP="002C56D4" w:rsidRDefault="006833D2" w14:paraId="17014E9A" w14:textId="77777777">
            <w:pPr>
              <w:jc w:val="left"/>
            </w:pPr>
          </w:p>
        </w:tc>
        <w:tc>
          <w:tcPr>
            <w:tcW w:w="1220" w:type="dxa"/>
            <w:tcBorders>
              <w:top w:val="nil"/>
              <w:left w:val="nil"/>
              <w:bottom w:val="nil"/>
              <w:right w:val="nil"/>
            </w:tcBorders>
            <w:shd w:val="clear" w:color="auto" w:fill="auto"/>
            <w:noWrap/>
            <w:vAlign w:val="bottom"/>
            <w:hideMark/>
          </w:tcPr>
          <w:p w:rsidRPr="002F168A" w:rsidR="006833D2" w:rsidP="002C56D4" w:rsidRDefault="006833D2" w14:paraId="28312D3C" w14:textId="77777777">
            <w:pPr>
              <w:jc w:val="left"/>
            </w:pPr>
          </w:p>
        </w:tc>
        <w:tc>
          <w:tcPr>
            <w:tcW w:w="1580" w:type="dxa"/>
            <w:tcBorders>
              <w:top w:val="nil"/>
              <w:left w:val="nil"/>
              <w:bottom w:val="nil"/>
              <w:right w:val="nil"/>
            </w:tcBorders>
            <w:shd w:val="clear" w:color="auto" w:fill="auto"/>
            <w:noWrap/>
            <w:vAlign w:val="bottom"/>
            <w:hideMark/>
          </w:tcPr>
          <w:p w:rsidRPr="002F168A" w:rsidR="006833D2" w:rsidP="002C56D4" w:rsidRDefault="006833D2" w14:paraId="01A10E9F" w14:textId="77777777">
            <w:pPr>
              <w:jc w:val="left"/>
            </w:pPr>
          </w:p>
        </w:tc>
        <w:tc>
          <w:tcPr>
            <w:tcW w:w="1160" w:type="dxa"/>
            <w:tcBorders>
              <w:top w:val="nil"/>
              <w:left w:val="nil"/>
              <w:bottom w:val="nil"/>
              <w:right w:val="nil"/>
            </w:tcBorders>
            <w:shd w:val="clear" w:color="auto" w:fill="auto"/>
            <w:vAlign w:val="bottom"/>
            <w:hideMark/>
          </w:tcPr>
          <w:p w:rsidRPr="002F168A" w:rsidR="006833D2" w:rsidP="002C56D4" w:rsidRDefault="006833D2" w14:paraId="1ABAA99A" w14:textId="77777777">
            <w:pPr>
              <w:jc w:val="left"/>
            </w:pPr>
          </w:p>
        </w:tc>
      </w:tr>
      <w:tr w:rsidRPr="002F168A" w:rsidR="000F68B8" w:rsidTr="00921901" w14:paraId="2ED1995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D55563B" w14:textId="2633A1DD">
            <w:pPr>
              <w:tabs>
                <w:tab w:val="decimal" w:pos="255"/>
              </w:tabs>
              <w:jc w:val="right"/>
            </w:pPr>
            <w:r w:rsidRPr="000F68B8">
              <w:rPr>
                <w:color w:val="000000"/>
              </w:rPr>
              <w:t xml:space="preserve">6.500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DD9E366" w14:textId="7DB06E62">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AF58699" w14:textId="19AD1567">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8398920" w14:textId="009D17F3">
            <w:pPr>
              <w:jc w:val="center"/>
            </w:pPr>
            <w:r w:rsidRPr="000F68B8">
              <w:rPr>
                <w:color w:val="000000"/>
              </w:rPr>
              <w:t>7/1/2054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24E800C" w14:textId="40CBA8A5">
            <w:pPr>
              <w:tabs>
                <w:tab w:val="decimal" w:pos="975"/>
              </w:tabs>
              <w:jc w:val="left"/>
            </w:pPr>
            <w:r w:rsidRPr="000F68B8">
              <w:rPr>
                <w:color w:val="000000"/>
              </w:rPr>
              <w:t xml:space="preserve">14,980,000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89303A9" w14:textId="1CC06E48">
            <w:pPr>
              <w:tabs>
                <w:tab w:val="decimal" w:pos="1185"/>
              </w:tabs>
              <w:jc w:val="left"/>
            </w:pPr>
            <w:r w:rsidRPr="000F68B8">
              <w:rPr>
                <w:color w:val="000000"/>
              </w:rPr>
              <w:t xml:space="preserve">14,980,000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B001FD2" w14:textId="3A2825BA">
            <w:pPr>
              <w:pStyle w:val="E-mailSignature"/>
              <w:tabs>
                <w:tab w:val="decimal" w:pos="330"/>
              </w:tabs>
            </w:pPr>
            <w:r w:rsidRPr="000F68B8">
              <w:rPr>
                <w:color w:val="000000"/>
              </w:rPr>
              <w:t>0.956%</w:t>
            </w:r>
          </w:p>
        </w:tc>
      </w:tr>
      <w:tr w:rsidRPr="002F168A" w:rsidR="000F68B8" w:rsidTr="00921901" w14:paraId="3E057EA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9F3DD6B" w14:textId="081AE863">
            <w:pPr>
              <w:tabs>
                <w:tab w:val="decimal" w:pos="255"/>
              </w:tabs>
              <w:jc w:val="right"/>
            </w:pPr>
            <w:r w:rsidRPr="000F68B8">
              <w:rPr>
                <w:color w:val="000000"/>
              </w:rPr>
              <w:t xml:space="preserve">6.400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B822AA9" w14:textId="114734BA">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BAB789A" w14:textId="40217F9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C3E724D" w14:textId="639BC18E">
            <w:pPr>
              <w:jc w:val="center"/>
            </w:pPr>
            <w:r w:rsidRPr="000F68B8">
              <w:rPr>
                <w:color w:val="000000"/>
              </w:rPr>
              <w:t>7/1/2053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2B3E351" w14:textId="27C6C5A9">
            <w:pPr>
              <w:tabs>
                <w:tab w:val="decimal" w:pos="975"/>
              </w:tabs>
              <w:jc w:val="left"/>
            </w:pPr>
            <w:r w:rsidRPr="000F68B8">
              <w:rPr>
                <w:color w:val="000000"/>
              </w:rPr>
              <w:t xml:space="preserve">12,060,000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A247145" w14:textId="1549B652">
            <w:pPr>
              <w:tabs>
                <w:tab w:val="decimal" w:pos="1185"/>
              </w:tabs>
              <w:jc w:val="left"/>
            </w:pPr>
            <w:r w:rsidRPr="000F68B8">
              <w:rPr>
                <w:color w:val="000000"/>
              </w:rPr>
              <w:t xml:space="preserve">27,040,000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31A2B8D" w14:textId="6B8D1751">
            <w:pPr>
              <w:tabs>
                <w:tab w:val="decimal" w:pos="330"/>
              </w:tabs>
              <w:jc w:val="left"/>
            </w:pPr>
            <w:r w:rsidRPr="000F68B8">
              <w:rPr>
                <w:color w:val="000000"/>
              </w:rPr>
              <w:t>1.725%</w:t>
            </w:r>
          </w:p>
        </w:tc>
      </w:tr>
      <w:tr w:rsidRPr="002F168A" w:rsidR="000F68B8" w:rsidTr="00921901" w14:paraId="234C81C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3D818D1" w14:textId="5EF91568">
            <w:pPr>
              <w:tabs>
                <w:tab w:val="decimal" w:pos="255"/>
              </w:tabs>
              <w:jc w:val="right"/>
            </w:pPr>
            <w:r w:rsidRPr="000F68B8">
              <w:rPr>
                <w:color w:val="000000"/>
              </w:rPr>
              <w:t xml:space="preserve">6.370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43CEF74" w14:textId="6D515460">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0BB13C6" w14:textId="2F00903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3F27C94" w14:textId="398E1908">
            <w:pPr>
              <w:jc w:val="center"/>
            </w:pPr>
            <w:r w:rsidRPr="000F68B8">
              <w:rPr>
                <w:color w:val="000000"/>
              </w:rPr>
              <w:t>7/1/2048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8A2181A" w14:textId="16893F46">
            <w:pPr>
              <w:tabs>
                <w:tab w:val="decimal" w:pos="975"/>
              </w:tabs>
              <w:jc w:val="left"/>
            </w:pPr>
            <w:r w:rsidRPr="000F68B8">
              <w:rPr>
                <w:color w:val="000000"/>
              </w:rPr>
              <w:t xml:space="preserve">14,330,000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D836B39" w14:textId="69B6C050">
            <w:pPr>
              <w:tabs>
                <w:tab w:val="decimal" w:pos="1185"/>
              </w:tabs>
              <w:jc w:val="left"/>
            </w:pPr>
            <w:r w:rsidRPr="000F68B8">
              <w:rPr>
                <w:color w:val="000000"/>
              </w:rPr>
              <w:t xml:space="preserve">41,370,000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5B53203" w14:textId="6EBCEBF6">
            <w:pPr>
              <w:tabs>
                <w:tab w:val="decimal" w:pos="330"/>
              </w:tabs>
              <w:jc w:val="left"/>
            </w:pPr>
            <w:r w:rsidRPr="000F68B8">
              <w:rPr>
                <w:color w:val="000000"/>
              </w:rPr>
              <w:t>2.639%</w:t>
            </w:r>
          </w:p>
        </w:tc>
      </w:tr>
      <w:tr w:rsidRPr="002F168A" w:rsidR="000F68B8" w:rsidTr="00921901" w14:paraId="1CDC488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91C2761" w14:textId="529480ED">
            <w:pPr>
              <w:tabs>
                <w:tab w:val="decimal" w:pos="255"/>
              </w:tabs>
              <w:jc w:val="right"/>
            </w:pPr>
            <w:r w:rsidRPr="000F68B8">
              <w:rPr>
                <w:color w:val="000000"/>
              </w:rPr>
              <w:t xml:space="preserve">6.270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81F9DE3" w14:textId="0B8BF5F4">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FF8EBA6" w14:textId="71BC8A0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B752582" w14:textId="41A89560">
            <w:pPr>
              <w:jc w:val="center"/>
            </w:pPr>
            <w:r w:rsidRPr="000F68B8">
              <w:rPr>
                <w:color w:val="000000"/>
              </w:rPr>
              <w:t>7/1/2043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82CBCC5" w14:textId="53B3B9DC">
            <w:pPr>
              <w:tabs>
                <w:tab w:val="decimal" w:pos="975"/>
              </w:tabs>
              <w:jc w:val="left"/>
            </w:pPr>
            <w:r w:rsidRPr="000F68B8">
              <w:rPr>
                <w:color w:val="000000"/>
              </w:rPr>
              <w:t xml:space="preserve">5,405,000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752DBE2" w14:textId="36A2F738">
            <w:pPr>
              <w:tabs>
                <w:tab w:val="decimal" w:pos="1185"/>
              </w:tabs>
              <w:jc w:val="left"/>
            </w:pPr>
            <w:r w:rsidRPr="000F68B8">
              <w:rPr>
                <w:color w:val="000000"/>
              </w:rPr>
              <w:t xml:space="preserve">46,775,000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0CA52ED" w14:textId="24AD95AE">
            <w:pPr>
              <w:tabs>
                <w:tab w:val="decimal" w:pos="330"/>
              </w:tabs>
              <w:jc w:val="left"/>
            </w:pPr>
            <w:r w:rsidRPr="000F68B8">
              <w:rPr>
                <w:color w:val="000000"/>
              </w:rPr>
              <w:t>2.984%</w:t>
            </w:r>
          </w:p>
        </w:tc>
      </w:tr>
      <w:tr w:rsidRPr="002F168A" w:rsidR="000F68B8" w:rsidTr="00921901" w14:paraId="449C364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9D75BC1" w14:textId="24D0F908">
            <w:pPr>
              <w:tabs>
                <w:tab w:val="decimal" w:pos="255"/>
              </w:tabs>
              <w:jc w:val="right"/>
            </w:pPr>
            <w:r w:rsidRPr="000F68B8">
              <w:rPr>
                <w:color w:val="000000"/>
              </w:rPr>
              <w:t xml:space="preserve">6.250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5E7C67D" w14:textId="7D856E0A">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7B69F47" w14:textId="63840994">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4090F8F" w14:textId="2B47DEB1">
            <w:pPr>
              <w:jc w:val="center"/>
            </w:pPr>
            <w:r w:rsidRPr="000F68B8">
              <w:rPr>
                <w:color w:val="000000"/>
              </w:rPr>
              <w:t>7/1/2054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AA68D3B" w14:textId="17CFD770">
            <w:pPr>
              <w:tabs>
                <w:tab w:val="decimal" w:pos="975"/>
              </w:tabs>
              <w:jc w:val="left"/>
            </w:pPr>
            <w:r w:rsidRPr="000F68B8">
              <w:rPr>
                <w:color w:val="000000"/>
              </w:rPr>
              <w:t xml:space="preserve">30,925,000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284F7B0" w14:textId="66380898">
            <w:pPr>
              <w:tabs>
                <w:tab w:val="decimal" w:pos="1185"/>
              </w:tabs>
              <w:jc w:val="left"/>
            </w:pPr>
            <w:r w:rsidRPr="000F68B8">
              <w:rPr>
                <w:color w:val="000000"/>
              </w:rPr>
              <w:t xml:space="preserve">77,700,000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21ED9F5" w14:textId="5C168CA1">
            <w:pPr>
              <w:tabs>
                <w:tab w:val="decimal" w:pos="330"/>
              </w:tabs>
              <w:jc w:val="left"/>
            </w:pPr>
            <w:r w:rsidRPr="000F68B8">
              <w:rPr>
                <w:color w:val="000000"/>
              </w:rPr>
              <w:t>4.956%</w:t>
            </w:r>
          </w:p>
        </w:tc>
      </w:tr>
      <w:tr w:rsidRPr="002F168A" w:rsidR="000F68B8" w:rsidTr="00921901" w14:paraId="2BFF0FA6"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7DA9343" w14:textId="784B3837">
            <w:pPr>
              <w:tabs>
                <w:tab w:val="decimal" w:pos="255"/>
              </w:tabs>
              <w:jc w:val="right"/>
            </w:pPr>
            <w:r w:rsidRPr="000F68B8">
              <w:rPr>
                <w:color w:val="000000"/>
              </w:rPr>
              <w:t xml:space="preserve">6.113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75052E5" w14:textId="36EE53CE">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F890810" w14:textId="0262180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70724BC" w14:textId="7A4D0345">
            <w:pPr>
              <w:jc w:val="center"/>
            </w:pPr>
            <w:r w:rsidRPr="000F68B8">
              <w:rPr>
                <w:color w:val="000000"/>
              </w:rPr>
              <w:t>7/1/2038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818E862" w14:textId="5CA9A9A2">
            <w:pPr>
              <w:tabs>
                <w:tab w:val="decimal" w:pos="975"/>
              </w:tabs>
              <w:jc w:val="left"/>
            </w:pPr>
            <w:r w:rsidRPr="000F68B8">
              <w:rPr>
                <w:color w:val="000000"/>
              </w:rPr>
              <w:t xml:space="preserve">8,070,000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E97D843" w14:textId="149266A6">
            <w:pPr>
              <w:tabs>
                <w:tab w:val="decimal" w:pos="1185"/>
              </w:tabs>
              <w:jc w:val="left"/>
            </w:pPr>
            <w:r w:rsidRPr="000F68B8">
              <w:rPr>
                <w:color w:val="000000"/>
              </w:rPr>
              <w:t xml:space="preserve">85,770,000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25041F5" w14:textId="5C7A7D43">
            <w:pPr>
              <w:tabs>
                <w:tab w:val="decimal" w:pos="330"/>
              </w:tabs>
              <w:jc w:val="left"/>
            </w:pPr>
            <w:r w:rsidRPr="000F68B8">
              <w:rPr>
                <w:color w:val="000000"/>
              </w:rPr>
              <w:t>5.471%</w:t>
            </w:r>
          </w:p>
        </w:tc>
      </w:tr>
      <w:tr w:rsidRPr="002F168A" w:rsidR="000F68B8" w:rsidTr="00921901" w14:paraId="36DB9E8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3081D42" w14:textId="5C71DA4D">
            <w:pPr>
              <w:tabs>
                <w:tab w:val="decimal" w:pos="255"/>
              </w:tabs>
              <w:jc w:val="right"/>
            </w:pPr>
            <w:r w:rsidRPr="000F68B8">
              <w:rPr>
                <w:color w:val="000000"/>
              </w:rPr>
              <w:t xml:space="preserve">6.093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9575188" w14:textId="776E87A7">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5DF9F41" w14:textId="0A910DD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EED5A14" w14:textId="04644A45">
            <w:pPr>
              <w:jc w:val="center"/>
            </w:pPr>
            <w:r w:rsidRPr="000F68B8">
              <w:rPr>
                <w:color w:val="000000"/>
              </w:rPr>
              <w:t>7/1/2033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2A58675" w14:textId="6233C3B5">
            <w:pPr>
              <w:tabs>
                <w:tab w:val="decimal" w:pos="975"/>
              </w:tabs>
              <w:jc w:val="left"/>
            </w:pPr>
            <w:r w:rsidRPr="000F68B8">
              <w:rPr>
                <w:color w:val="000000"/>
              </w:rPr>
              <w:t xml:space="preserve">900,000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3242481" w14:textId="361D6A2F">
            <w:pPr>
              <w:tabs>
                <w:tab w:val="decimal" w:pos="1185"/>
              </w:tabs>
              <w:jc w:val="left"/>
            </w:pPr>
            <w:r w:rsidRPr="000F68B8">
              <w:rPr>
                <w:color w:val="000000"/>
              </w:rPr>
              <w:t xml:space="preserve">86,670,000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C990EDB" w14:textId="2901A93C">
            <w:pPr>
              <w:tabs>
                <w:tab w:val="decimal" w:pos="330"/>
              </w:tabs>
              <w:jc w:val="left"/>
            </w:pPr>
            <w:r w:rsidRPr="000F68B8">
              <w:rPr>
                <w:color w:val="000000"/>
              </w:rPr>
              <w:t>5.529%</w:t>
            </w:r>
          </w:p>
        </w:tc>
      </w:tr>
      <w:tr w:rsidRPr="002F168A" w:rsidR="000F68B8" w:rsidTr="00921901" w14:paraId="32F26CF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25EAADE" w14:textId="5F546D17">
            <w:pPr>
              <w:tabs>
                <w:tab w:val="decimal" w:pos="255"/>
              </w:tabs>
              <w:jc w:val="right"/>
            </w:pPr>
            <w:r w:rsidRPr="000F68B8">
              <w:rPr>
                <w:color w:val="000000"/>
              </w:rPr>
              <w:t xml:space="preserve">6.073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4CDD51A" w14:textId="316D16C4">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77500BE" w14:textId="5893C71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EAA38A4" w14:textId="12E35095">
            <w:pPr>
              <w:jc w:val="center"/>
            </w:pPr>
            <w:r w:rsidRPr="000F68B8">
              <w:rPr>
                <w:color w:val="000000"/>
              </w:rPr>
              <w:t>1/1/2033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34BA738" w14:textId="2FF7EC8B">
            <w:pPr>
              <w:tabs>
                <w:tab w:val="decimal" w:pos="975"/>
              </w:tabs>
              <w:jc w:val="left"/>
            </w:pPr>
            <w:r w:rsidRPr="000F68B8">
              <w:rPr>
                <w:color w:val="000000"/>
              </w:rPr>
              <w:t xml:space="preserve">870,000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85AFFAA" w14:textId="3A7914A9">
            <w:pPr>
              <w:tabs>
                <w:tab w:val="decimal" w:pos="1185"/>
              </w:tabs>
              <w:jc w:val="left"/>
            </w:pPr>
            <w:r w:rsidRPr="000F68B8">
              <w:rPr>
                <w:color w:val="000000"/>
              </w:rPr>
              <w:t xml:space="preserve">87,540,000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60EDAF2" w14:textId="2F091951">
            <w:pPr>
              <w:tabs>
                <w:tab w:val="decimal" w:pos="330"/>
              </w:tabs>
              <w:jc w:val="left"/>
            </w:pPr>
            <w:r w:rsidRPr="000F68B8">
              <w:rPr>
                <w:color w:val="000000"/>
              </w:rPr>
              <w:t>5.584%</w:t>
            </w:r>
          </w:p>
        </w:tc>
      </w:tr>
      <w:tr w:rsidRPr="002F168A" w:rsidR="000F68B8" w:rsidTr="00921901" w14:paraId="66A4C4D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94B7E6D" w14:textId="5D01B5B6">
            <w:pPr>
              <w:tabs>
                <w:tab w:val="decimal" w:pos="255"/>
              </w:tabs>
              <w:jc w:val="right"/>
            </w:pPr>
            <w:r w:rsidRPr="000F68B8">
              <w:rPr>
                <w:color w:val="000000"/>
              </w:rPr>
              <w:t xml:space="preserve">6.043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03DD9A4" w14:textId="7D2D3048">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FD32B56" w14:textId="0E1FC5A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3327C60" w14:textId="029F0DE5">
            <w:pPr>
              <w:jc w:val="center"/>
            </w:pPr>
            <w:r w:rsidRPr="000F68B8">
              <w:rPr>
                <w:color w:val="000000"/>
              </w:rPr>
              <w:t>7/1/2032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2DA59F4" w14:textId="59B670A4">
            <w:pPr>
              <w:tabs>
                <w:tab w:val="decimal" w:pos="975"/>
              </w:tabs>
              <w:jc w:val="left"/>
            </w:pPr>
            <w:r w:rsidRPr="000F68B8">
              <w:rPr>
                <w:color w:val="000000"/>
              </w:rPr>
              <w:t xml:space="preserve">840,000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DB98869" w14:textId="3B1B7224">
            <w:pPr>
              <w:tabs>
                <w:tab w:val="decimal" w:pos="1185"/>
              </w:tabs>
              <w:jc w:val="left"/>
            </w:pPr>
            <w:r w:rsidRPr="000F68B8">
              <w:rPr>
                <w:color w:val="000000"/>
              </w:rPr>
              <w:t xml:space="preserve">88,380,000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1B2E26A" w14:textId="72C049FD">
            <w:pPr>
              <w:tabs>
                <w:tab w:val="decimal" w:pos="330"/>
              </w:tabs>
              <w:jc w:val="left"/>
            </w:pPr>
            <w:r w:rsidRPr="000F68B8">
              <w:rPr>
                <w:color w:val="000000"/>
              </w:rPr>
              <w:t>5.638%</w:t>
            </w:r>
          </w:p>
        </w:tc>
      </w:tr>
      <w:tr w:rsidRPr="002F168A" w:rsidR="000F68B8" w:rsidTr="00921901" w14:paraId="166C068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A1F4444" w14:textId="45A6B704">
            <w:pPr>
              <w:tabs>
                <w:tab w:val="decimal" w:pos="255"/>
              </w:tabs>
              <w:jc w:val="right"/>
            </w:pPr>
            <w:r w:rsidRPr="000F68B8">
              <w:rPr>
                <w:color w:val="000000"/>
              </w:rPr>
              <w:t xml:space="preserve">6.023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C8AC356" w14:textId="6D472861">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274A3E3" w14:textId="382D66E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FC04029" w14:textId="252790F8">
            <w:pPr>
              <w:jc w:val="center"/>
            </w:pPr>
            <w:r w:rsidRPr="000F68B8">
              <w:rPr>
                <w:color w:val="000000"/>
              </w:rPr>
              <w:t>1/1/2032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D6A591D" w14:textId="5F761425">
            <w:pPr>
              <w:tabs>
                <w:tab w:val="decimal" w:pos="975"/>
              </w:tabs>
              <w:jc w:val="left"/>
            </w:pPr>
            <w:r w:rsidRPr="000F68B8">
              <w:rPr>
                <w:color w:val="000000"/>
              </w:rPr>
              <w:t xml:space="preserve">840,000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3E95685" w14:textId="3B7F9B53">
            <w:pPr>
              <w:tabs>
                <w:tab w:val="decimal" w:pos="1185"/>
              </w:tabs>
              <w:jc w:val="left"/>
            </w:pPr>
            <w:r w:rsidRPr="000F68B8">
              <w:rPr>
                <w:color w:val="000000"/>
              </w:rPr>
              <w:t xml:space="preserve">89,220,000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9A913DD" w14:textId="0ECBF880">
            <w:pPr>
              <w:tabs>
                <w:tab w:val="decimal" w:pos="330"/>
              </w:tabs>
              <w:jc w:val="left"/>
            </w:pPr>
            <w:r w:rsidRPr="000F68B8">
              <w:rPr>
                <w:color w:val="000000"/>
              </w:rPr>
              <w:t>5.691%</w:t>
            </w:r>
          </w:p>
        </w:tc>
      </w:tr>
      <w:tr w:rsidRPr="002F168A" w:rsidR="000F68B8" w:rsidTr="00921901" w14:paraId="0D254136"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9439C45" w14:textId="3A8C5640">
            <w:pPr>
              <w:tabs>
                <w:tab w:val="decimal" w:pos="255"/>
              </w:tabs>
              <w:jc w:val="right"/>
            </w:pPr>
            <w:r w:rsidRPr="000F68B8">
              <w:rPr>
                <w:color w:val="000000"/>
              </w:rPr>
              <w:t xml:space="preserve">6.000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1CEEF7D" w14:textId="35DE24C4">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AC661E2" w14:textId="1E58C482">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7A5DBEA" w14:textId="36DDCFA6">
            <w:pPr>
              <w:jc w:val="center"/>
            </w:pPr>
            <w:r w:rsidRPr="000F68B8">
              <w:rPr>
                <w:color w:val="000000"/>
              </w:rPr>
              <w:t>7/1/2049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0F27E6A" w14:textId="44E6A4CF">
            <w:pPr>
              <w:tabs>
                <w:tab w:val="decimal" w:pos="975"/>
              </w:tabs>
              <w:jc w:val="left"/>
            </w:pPr>
            <w:r w:rsidRPr="000F68B8">
              <w:rPr>
                <w:color w:val="000000"/>
              </w:rPr>
              <w:t xml:space="preserve">21,825,000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1E8A39D" w14:textId="39545788">
            <w:pPr>
              <w:tabs>
                <w:tab w:val="decimal" w:pos="1185"/>
              </w:tabs>
              <w:jc w:val="left"/>
            </w:pPr>
            <w:r w:rsidRPr="000F68B8">
              <w:rPr>
                <w:color w:val="000000"/>
              </w:rPr>
              <w:t xml:space="preserve">111,045,000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4D9A895" w14:textId="6B6DF461">
            <w:pPr>
              <w:tabs>
                <w:tab w:val="decimal" w:pos="330"/>
              </w:tabs>
              <w:jc w:val="left"/>
            </w:pPr>
            <w:r w:rsidRPr="000F68B8">
              <w:rPr>
                <w:color w:val="000000"/>
              </w:rPr>
              <w:t>7.084%</w:t>
            </w:r>
          </w:p>
        </w:tc>
      </w:tr>
      <w:tr w:rsidRPr="002F168A" w:rsidR="000F68B8" w:rsidTr="00921901" w14:paraId="29A47B0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943695D" w14:textId="011E7FE6">
            <w:pPr>
              <w:tabs>
                <w:tab w:val="decimal" w:pos="255"/>
              </w:tabs>
              <w:jc w:val="right"/>
            </w:pPr>
            <w:r w:rsidRPr="000F68B8">
              <w:rPr>
                <w:color w:val="000000"/>
              </w:rPr>
              <w:t xml:space="preserve">5.993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A2E1031" w14:textId="62333AB2">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43007DC" w14:textId="5922F63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1AA5784" w14:textId="56860B52">
            <w:pPr>
              <w:jc w:val="center"/>
            </w:pPr>
            <w:r w:rsidRPr="000F68B8">
              <w:rPr>
                <w:color w:val="000000"/>
              </w:rPr>
              <w:t>7/1/2031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EEC3F90" w14:textId="11982C04">
            <w:pPr>
              <w:tabs>
                <w:tab w:val="decimal" w:pos="975"/>
              </w:tabs>
              <w:jc w:val="left"/>
            </w:pPr>
            <w:r w:rsidRPr="000F68B8">
              <w:rPr>
                <w:color w:val="000000"/>
              </w:rPr>
              <w:t xml:space="preserve">815,000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84F64A1" w14:textId="65C21E71">
            <w:pPr>
              <w:tabs>
                <w:tab w:val="decimal" w:pos="1185"/>
              </w:tabs>
              <w:jc w:val="left"/>
            </w:pPr>
            <w:r w:rsidRPr="000F68B8">
              <w:rPr>
                <w:color w:val="000000"/>
              </w:rPr>
              <w:t xml:space="preserve">111,860,000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8D4754B" w14:textId="1CEFF999">
            <w:pPr>
              <w:tabs>
                <w:tab w:val="decimal" w:pos="330"/>
              </w:tabs>
              <w:jc w:val="left"/>
            </w:pPr>
            <w:r w:rsidRPr="000F68B8">
              <w:rPr>
                <w:color w:val="000000"/>
              </w:rPr>
              <w:t>7.136%</w:t>
            </w:r>
          </w:p>
        </w:tc>
      </w:tr>
      <w:tr w:rsidRPr="002F168A" w:rsidR="000F68B8" w:rsidTr="00921901" w14:paraId="784784A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61007D8" w14:textId="20E59EFB">
            <w:pPr>
              <w:tabs>
                <w:tab w:val="decimal" w:pos="255"/>
              </w:tabs>
              <w:jc w:val="right"/>
            </w:pPr>
            <w:r w:rsidRPr="000F68B8">
              <w:rPr>
                <w:color w:val="000000"/>
              </w:rPr>
              <w:t xml:space="preserve">5.962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009B692" w14:textId="0D9782EB">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FADD55C" w14:textId="17E4328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ADEE77C" w14:textId="4C5723CF">
            <w:pPr>
              <w:jc w:val="center"/>
            </w:pPr>
            <w:r w:rsidRPr="000F68B8">
              <w:rPr>
                <w:color w:val="000000"/>
              </w:rPr>
              <w:t>7/1/2049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46381AD" w14:textId="79C1612B">
            <w:pPr>
              <w:tabs>
                <w:tab w:val="decimal" w:pos="975"/>
              </w:tabs>
              <w:jc w:val="left"/>
            </w:pPr>
            <w:r w:rsidRPr="000F68B8">
              <w:rPr>
                <w:color w:val="000000"/>
              </w:rPr>
              <w:t xml:space="preserve">30,350,000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872869D" w14:textId="0E1EC14D">
            <w:pPr>
              <w:tabs>
                <w:tab w:val="decimal" w:pos="1185"/>
              </w:tabs>
              <w:jc w:val="left"/>
            </w:pPr>
            <w:r w:rsidRPr="000F68B8">
              <w:rPr>
                <w:color w:val="000000"/>
              </w:rPr>
              <w:t xml:space="preserve">142,210,000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CA31AC9" w14:textId="6A7996E1">
            <w:pPr>
              <w:tabs>
                <w:tab w:val="decimal" w:pos="330"/>
              </w:tabs>
              <w:jc w:val="left"/>
            </w:pPr>
            <w:r w:rsidRPr="000F68B8">
              <w:rPr>
                <w:color w:val="000000"/>
              </w:rPr>
              <w:t>9.072%</w:t>
            </w:r>
          </w:p>
        </w:tc>
      </w:tr>
      <w:tr w:rsidRPr="002F168A" w:rsidR="000F68B8" w:rsidTr="00921901" w14:paraId="529BC36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AB81F1A" w14:textId="2FE49703">
            <w:pPr>
              <w:tabs>
                <w:tab w:val="decimal" w:pos="255"/>
              </w:tabs>
              <w:jc w:val="right"/>
            </w:pPr>
            <w:r w:rsidRPr="000F68B8">
              <w:rPr>
                <w:color w:val="000000"/>
              </w:rPr>
              <w:t xml:space="preserve">5.943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48E2A26" w14:textId="1FEF6B99">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CF3B764" w14:textId="595121C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CCF4B06" w14:textId="62172FBF">
            <w:pPr>
              <w:jc w:val="center"/>
            </w:pPr>
            <w:r w:rsidRPr="000F68B8">
              <w:rPr>
                <w:color w:val="000000"/>
              </w:rPr>
              <w:t>1/1/2031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77DFAE5" w14:textId="5890BD6F">
            <w:pPr>
              <w:tabs>
                <w:tab w:val="decimal" w:pos="975"/>
              </w:tabs>
              <w:jc w:val="left"/>
            </w:pPr>
            <w:r w:rsidRPr="000F68B8">
              <w:rPr>
                <w:color w:val="000000"/>
              </w:rPr>
              <w:t xml:space="preserve">810,000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70F1B9A" w14:textId="419A3D2D">
            <w:pPr>
              <w:tabs>
                <w:tab w:val="decimal" w:pos="1185"/>
              </w:tabs>
              <w:jc w:val="left"/>
            </w:pPr>
            <w:r w:rsidRPr="000F68B8">
              <w:rPr>
                <w:color w:val="000000"/>
              </w:rPr>
              <w:t xml:space="preserve">143,020,000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9A2B8E3" w14:textId="2E4695BB">
            <w:pPr>
              <w:tabs>
                <w:tab w:val="decimal" w:pos="330"/>
              </w:tabs>
              <w:jc w:val="left"/>
            </w:pPr>
            <w:r w:rsidRPr="000F68B8">
              <w:rPr>
                <w:color w:val="000000"/>
              </w:rPr>
              <w:t>9.123%</w:t>
            </w:r>
          </w:p>
        </w:tc>
      </w:tr>
      <w:tr w:rsidRPr="002F168A" w:rsidR="000F68B8" w:rsidTr="00921901" w14:paraId="40211E5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CA4A960" w14:textId="6DE846B7">
            <w:pPr>
              <w:tabs>
                <w:tab w:val="decimal" w:pos="255"/>
              </w:tabs>
              <w:jc w:val="right"/>
            </w:pPr>
            <w:r w:rsidRPr="000F68B8">
              <w:rPr>
                <w:color w:val="000000"/>
              </w:rPr>
              <w:t xml:space="preserve">5.932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402A8FC" w14:textId="6CAF5C4C">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5198E9C" w14:textId="735B585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080BFF5" w14:textId="587B6B45">
            <w:pPr>
              <w:jc w:val="center"/>
            </w:pPr>
            <w:r w:rsidRPr="000F68B8">
              <w:rPr>
                <w:color w:val="000000"/>
              </w:rPr>
              <w:t>7/1/2044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650BFD7" w14:textId="3AF6E1DD">
            <w:pPr>
              <w:tabs>
                <w:tab w:val="decimal" w:pos="975"/>
              </w:tabs>
              <w:jc w:val="left"/>
            </w:pPr>
            <w:r w:rsidRPr="000F68B8">
              <w:rPr>
                <w:color w:val="000000"/>
              </w:rPr>
              <w:t xml:space="preserve">17,030,000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2DC90E5" w14:textId="3CADBC9E">
            <w:pPr>
              <w:tabs>
                <w:tab w:val="decimal" w:pos="1185"/>
              </w:tabs>
              <w:jc w:val="left"/>
            </w:pPr>
            <w:r w:rsidRPr="000F68B8">
              <w:rPr>
                <w:color w:val="000000"/>
              </w:rPr>
              <w:t xml:space="preserve">160,050,000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2AF74D0" w14:textId="2198B682">
            <w:pPr>
              <w:tabs>
                <w:tab w:val="decimal" w:pos="330"/>
              </w:tabs>
              <w:jc w:val="left"/>
            </w:pPr>
            <w:r w:rsidRPr="000F68B8">
              <w:rPr>
                <w:color w:val="000000"/>
              </w:rPr>
              <w:t>10.210%</w:t>
            </w:r>
          </w:p>
        </w:tc>
      </w:tr>
      <w:tr w:rsidRPr="002F168A" w:rsidR="000F68B8" w:rsidTr="00921901" w14:paraId="05EEDC2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194B93B" w14:textId="76A9A2D3">
            <w:pPr>
              <w:tabs>
                <w:tab w:val="decimal" w:pos="255"/>
              </w:tabs>
              <w:jc w:val="right"/>
            </w:pPr>
            <w:r w:rsidRPr="000F68B8">
              <w:rPr>
                <w:color w:val="000000"/>
              </w:rPr>
              <w:t xml:space="preserve">5.919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192E1ED" w14:textId="0091E4B1">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AF2249B" w14:textId="6E8F8AB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6730A2E" w14:textId="50FAF96F">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65A3F36" w14:textId="0D40D7DD">
            <w:pPr>
              <w:tabs>
                <w:tab w:val="decimal" w:pos="975"/>
              </w:tabs>
              <w:jc w:val="left"/>
            </w:pPr>
            <w:r w:rsidRPr="000F68B8">
              <w:rPr>
                <w:color w:val="000000"/>
              </w:rPr>
              <w:t xml:space="preserve">790,000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F37AC72" w14:textId="7A026948">
            <w:pPr>
              <w:tabs>
                <w:tab w:val="decimal" w:pos="1185"/>
              </w:tabs>
              <w:jc w:val="left"/>
            </w:pPr>
            <w:r w:rsidRPr="000F68B8">
              <w:rPr>
                <w:color w:val="000000"/>
              </w:rPr>
              <w:t xml:space="preserve">160,840,000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5DF633D" w14:textId="27671640">
            <w:pPr>
              <w:tabs>
                <w:tab w:val="decimal" w:pos="330"/>
              </w:tabs>
              <w:jc w:val="left"/>
            </w:pPr>
            <w:r w:rsidRPr="000F68B8">
              <w:rPr>
                <w:color w:val="000000"/>
              </w:rPr>
              <w:t>10.260%</w:t>
            </w:r>
          </w:p>
        </w:tc>
      </w:tr>
      <w:tr w:rsidRPr="002F168A" w:rsidR="000F68B8" w:rsidTr="00921901" w14:paraId="5C93B46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77F7D9C" w14:textId="5BBBDF2F">
            <w:pPr>
              <w:tabs>
                <w:tab w:val="decimal" w:pos="255"/>
              </w:tabs>
              <w:jc w:val="right"/>
            </w:pPr>
            <w:r w:rsidRPr="000F68B8">
              <w:rPr>
                <w:color w:val="000000"/>
              </w:rPr>
              <w:t xml:space="preserve">5.869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102962D" w14:textId="0FFF6E9D">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B480148" w14:textId="55A21A1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4660531" w14:textId="7BA36376">
            <w:pPr>
              <w:jc w:val="center"/>
            </w:pPr>
            <w:r w:rsidRPr="000F68B8">
              <w:rPr>
                <w:color w:val="000000"/>
              </w:rPr>
              <w:t>1/1/2030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8E20110" w14:textId="637B014F">
            <w:pPr>
              <w:tabs>
                <w:tab w:val="decimal" w:pos="975"/>
              </w:tabs>
              <w:jc w:val="left"/>
            </w:pPr>
            <w:r w:rsidRPr="000F68B8">
              <w:rPr>
                <w:color w:val="000000"/>
              </w:rPr>
              <w:t xml:space="preserve">780,000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14FC1F8" w14:textId="47EED447">
            <w:pPr>
              <w:tabs>
                <w:tab w:val="decimal" w:pos="1185"/>
              </w:tabs>
              <w:jc w:val="left"/>
            </w:pPr>
            <w:r w:rsidRPr="000F68B8">
              <w:rPr>
                <w:color w:val="000000"/>
              </w:rPr>
              <w:t xml:space="preserve">161,620,000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BD10403" w14:textId="3C4E157A">
            <w:pPr>
              <w:tabs>
                <w:tab w:val="decimal" w:pos="330"/>
              </w:tabs>
              <w:jc w:val="left"/>
            </w:pPr>
            <w:r w:rsidRPr="000F68B8">
              <w:rPr>
                <w:color w:val="000000"/>
              </w:rPr>
              <w:t>10.310%</w:t>
            </w:r>
          </w:p>
        </w:tc>
      </w:tr>
      <w:tr w:rsidRPr="002F168A" w:rsidR="000F68B8" w:rsidTr="00921901" w14:paraId="51E401D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97D31BB" w14:textId="019A5FD9">
            <w:pPr>
              <w:tabs>
                <w:tab w:val="decimal" w:pos="255"/>
              </w:tabs>
              <w:jc w:val="right"/>
            </w:pPr>
            <w:r w:rsidRPr="000F68B8">
              <w:rPr>
                <w:color w:val="000000"/>
              </w:rPr>
              <w:t xml:space="preserve">5.819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2E9AA00" w14:textId="0FC54AF4">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92B9E64" w14:textId="45A4C01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9681462" w14:textId="115B6BA3">
            <w:pPr>
              <w:jc w:val="center"/>
            </w:pPr>
            <w:r w:rsidRPr="000F68B8">
              <w:rPr>
                <w:color w:val="000000"/>
              </w:rPr>
              <w:t>7/1/2029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8E2B3F6" w14:textId="699451DB">
            <w:pPr>
              <w:tabs>
                <w:tab w:val="decimal" w:pos="975"/>
              </w:tabs>
              <w:jc w:val="left"/>
            </w:pPr>
            <w:r w:rsidRPr="000F68B8">
              <w:rPr>
                <w:color w:val="000000"/>
              </w:rPr>
              <w:t xml:space="preserve">760,000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C1EE5B1" w14:textId="178C44C3">
            <w:pPr>
              <w:tabs>
                <w:tab w:val="decimal" w:pos="1185"/>
              </w:tabs>
              <w:jc w:val="left"/>
            </w:pPr>
            <w:r w:rsidRPr="000F68B8">
              <w:rPr>
                <w:color w:val="000000"/>
              </w:rPr>
              <w:t xml:space="preserve">162,380,000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85EA4C6" w14:textId="3C83217C">
            <w:pPr>
              <w:tabs>
                <w:tab w:val="decimal" w:pos="330"/>
              </w:tabs>
              <w:jc w:val="left"/>
            </w:pPr>
            <w:r w:rsidRPr="000F68B8">
              <w:rPr>
                <w:color w:val="000000"/>
              </w:rPr>
              <w:t>10.358%</w:t>
            </w:r>
          </w:p>
        </w:tc>
      </w:tr>
      <w:tr w:rsidRPr="002F168A" w:rsidR="000F68B8" w:rsidTr="00921901" w14:paraId="78306D06"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328757F" w14:textId="494518DE">
            <w:pPr>
              <w:tabs>
                <w:tab w:val="decimal" w:pos="255"/>
              </w:tabs>
              <w:jc w:val="right"/>
            </w:pPr>
            <w:r w:rsidRPr="000F68B8">
              <w:rPr>
                <w:color w:val="000000"/>
              </w:rPr>
              <w:t xml:space="preserve">5.808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230466E" w14:textId="0A676C48">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10AB3C5" w14:textId="7AFB583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29F3CD3" w14:textId="6F748C19">
            <w:pPr>
              <w:jc w:val="center"/>
            </w:pPr>
            <w:r w:rsidRPr="000F68B8">
              <w:rPr>
                <w:color w:val="000000"/>
              </w:rPr>
              <w:t>7/1/2039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1ED1D3C" w14:textId="7BEFFB3B">
            <w:pPr>
              <w:tabs>
                <w:tab w:val="decimal" w:pos="975"/>
              </w:tabs>
              <w:jc w:val="left"/>
            </w:pPr>
            <w:r w:rsidRPr="000F68B8">
              <w:rPr>
                <w:color w:val="000000"/>
              </w:rPr>
              <w:t xml:space="preserve">9,895,000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08736B8" w14:textId="6DE50D8D">
            <w:pPr>
              <w:tabs>
                <w:tab w:val="decimal" w:pos="1185"/>
              </w:tabs>
              <w:jc w:val="left"/>
            </w:pPr>
            <w:r w:rsidRPr="000F68B8">
              <w:rPr>
                <w:color w:val="000000"/>
              </w:rPr>
              <w:t xml:space="preserve">172,275,000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E4AD73F" w14:textId="0E8DD42E">
            <w:pPr>
              <w:tabs>
                <w:tab w:val="decimal" w:pos="330"/>
              </w:tabs>
              <w:jc w:val="left"/>
            </w:pPr>
            <w:r w:rsidRPr="000F68B8">
              <w:rPr>
                <w:color w:val="000000"/>
              </w:rPr>
              <w:t>10.989%</w:t>
            </w:r>
          </w:p>
        </w:tc>
      </w:tr>
      <w:tr w:rsidRPr="002F168A" w:rsidR="000F68B8" w:rsidTr="00921901" w14:paraId="729F99E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4D36C1F" w14:textId="45EEB3BD">
            <w:pPr>
              <w:tabs>
                <w:tab w:val="decimal" w:pos="255"/>
              </w:tabs>
              <w:jc w:val="right"/>
            </w:pPr>
            <w:r w:rsidRPr="000F68B8">
              <w:rPr>
                <w:color w:val="000000"/>
              </w:rPr>
              <w:t xml:space="preserve">5.769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DE7E5A8" w14:textId="0B5334B2">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4625CBB" w14:textId="480BB25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C8C7820" w14:textId="6C4E6952">
            <w:pPr>
              <w:jc w:val="center"/>
            </w:pPr>
            <w:r w:rsidRPr="000F68B8">
              <w:rPr>
                <w:color w:val="000000"/>
              </w:rPr>
              <w:t>1/1/2029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3E9701E" w14:textId="197B2BBB">
            <w:pPr>
              <w:tabs>
                <w:tab w:val="decimal" w:pos="975"/>
              </w:tabs>
              <w:jc w:val="left"/>
            </w:pPr>
            <w:r w:rsidRPr="000F68B8">
              <w:rPr>
                <w:color w:val="000000"/>
              </w:rPr>
              <w:t xml:space="preserve">740,000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D7EF88E" w14:textId="0A9D9CA3">
            <w:pPr>
              <w:tabs>
                <w:tab w:val="decimal" w:pos="1185"/>
              </w:tabs>
              <w:jc w:val="left"/>
            </w:pPr>
            <w:r w:rsidRPr="000F68B8">
              <w:rPr>
                <w:color w:val="000000"/>
              </w:rPr>
              <w:t xml:space="preserve">173,015,000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B122845" w14:textId="274E7E5F">
            <w:pPr>
              <w:tabs>
                <w:tab w:val="decimal" w:pos="330"/>
              </w:tabs>
              <w:jc w:val="left"/>
            </w:pPr>
            <w:r w:rsidRPr="000F68B8">
              <w:rPr>
                <w:color w:val="000000"/>
              </w:rPr>
              <w:t>11.037%</w:t>
            </w:r>
          </w:p>
        </w:tc>
      </w:tr>
      <w:tr w:rsidRPr="002F168A" w:rsidR="000F68B8" w:rsidTr="00921901" w14:paraId="0B5470F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FDF637E" w14:textId="4431928D">
            <w:pPr>
              <w:tabs>
                <w:tab w:val="decimal" w:pos="255"/>
              </w:tabs>
              <w:jc w:val="right"/>
            </w:pPr>
            <w:r w:rsidRPr="000F68B8">
              <w:rPr>
                <w:color w:val="000000"/>
              </w:rPr>
              <w:t xml:space="preserve">5.750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7F8C44B" w14:textId="706E92B1">
            <w:pPr>
              <w:jc w:val="left"/>
            </w:pPr>
            <w:r w:rsidRPr="000F68B8">
              <w:rPr>
                <w:color w:val="000000"/>
              </w:rPr>
              <w:t>2023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D8F6443" w14:textId="77DFD01E">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1063137" w14:textId="736B7033">
            <w:pPr>
              <w:jc w:val="center"/>
            </w:pPr>
            <w:r w:rsidRPr="000F68B8">
              <w:rPr>
                <w:color w:val="000000"/>
              </w:rPr>
              <w:t>7/1/2053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59ABA69" w14:textId="12633C0D">
            <w:pPr>
              <w:tabs>
                <w:tab w:val="decimal" w:pos="975"/>
              </w:tabs>
              <w:jc w:val="left"/>
            </w:pPr>
            <w:r w:rsidRPr="000F68B8">
              <w:rPr>
                <w:color w:val="000000"/>
              </w:rPr>
              <w:t xml:space="preserve">23,595,000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BEE272A" w14:textId="13EA7892">
            <w:pPr>
              <w:tabs>
                <w:tab w:val="decimal" w:pos="1185"/>
              </w:tabs>
              <w:jc w:val="left"/>
            </w:pPr>
            <w:r w:rsidRPr="000F68B8">
              <w:rPr>
                <w:color w:val="000000"/>
              </w:rPr>
              <w:t xml:space="preserve">196,610,000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A6121A4" w14:textId="48EDD09C">
            <w:pPr>
              <w:tabs>
                <w:tab w:val="decimal" w:pos="330"/>
              </w:tabs>
              <w:jc w:val="left"/>
            </w:pPr>
            <w:r w:rsidRPr="000F68B8">
              <w:rPr>
                <w:color w:val="000000"/>
              </w:rPr>
              <w:t>12.542%</w:t>
            </w:r>
          </w:p>
        </w:tc>
      </w:tr>
      <w:tr w:rsidRPr="002F168A" w:rsidR="000F68B8" w:rsidTr="00921901" w14:paraId="03B1122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17D714B" w14:textId="3CD01625">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4701661" w14:textId="2D05F618">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B172954" w14:textId="14B58870">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2996E28" w14:textId="016A8E83">
            <w:pPr>
              <w:jc w:val="center"/>
            </w:pPr>
            <w:r w:rsidRPr="000F68B8">
              <w:rPr>
                <w:color w:val="000000"/>
              </w:rPr>
              <w:t>7/1/2054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323CAEC" w14:textId="6215CA8F">
            <w:pPr>
              <w:tabs>
                <w:tab w:val="decimal" w:pos="975"/>
              </w:tabs>
              <w:jc w:val="left"/>
            </w:pPr>
            <w:r w:rsidRPr="000F68B8">
              <w:rPr>
                <w:color w:val="000000"/>
              </w:rPr>
              <w:t xml:space="preserve">33,410,000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F2CAA22" w14:textId="5DA58DB3">
            <w:pPr>
              <w:tabs>
                <w:tab w:val="decimal" w:pos="1185"/>
              </w:tabs>
              <w:jc w:val="left"/>
            </w:pPr>
            <w:r w:rsidRPr="000F68B8">
              <w:rPr>
                <w:color w:val="000000"/>
              </w:rPr>
              <w:t xml:space="preserve">230,020,000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F87B17F" w14:textId="5FD9F67B">
            <w:pPr>
              <w:tabs>
                <w:tab w:val="decimal" w:pos="330"/>
              </w:tabs>
              <w:jc w:val="left"/>
            </w:pPr>
            <w:r w:rsidRPr="000F68B8">
              <w:rPr>
                <w:color w:val="000000"/>
              </w:rPr>
              <w:t>14.673%</w:t>
            </w:r>
          </w:p>
        </w:tc>
      </w:tr>
      <w:tr w:rsidRPr="002F168A" w:rsidR="000F68B8" w:rsidTr="00921901" w14:paraId="3750A77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B115049" w14:textId="768BA581">
            <w:pPr>
              <w:tabs>
                <w:tab w:val="decimal" w:pos="255"/>
              </w:tabs>
              <w:jc w:val="right"/>
            </w:pPr>
            <w:r w:rsidRPr="000F68B8">
              <w:rPr>
                <w:color w:val="000000"/>
              </w:rPr>
              <w:t xml:space="preserve">5.688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241C142" w14:textId="29D580D3">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F9FD86B" w14:textId="1887E9B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23E59BC" w14:textId="7B844180">
            <w:pPr>
              <w:jc w:val="center"/>
            </w:pPr>
            <w:r w:rsidRPr="000F68B8">
              <w:rPr>
                <w:color w:val="000000"/>
              </w:rPr>
              <w:t>1/1/2035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D056B78" w14:textId="4F9602EC">
            <w:pPr>
              <w:tabs>
                <w:tab w:val="decimal" w:pos="975"/>
              </w:tabs>
              <w:jc w:val="left"/>
            </w:pPr>
            <w:r w:rsidRPr="000F68B8">
              <w:rPr>
                <w:color w:val="000000"/>
              </w:rPr>
              <w:t xml:space="preserve">1,010,000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3F8C333" w14:textId="6000CFD4">
            <w:pPr>
              <w:tabs>
                <w:tab w:val="decimal" w:pos="1185"/>
              </w:tabs>
              <w:jc w:val="left"/>
            </w:pPr>
            <w:r w:rsidRPr="000F68B8">
              <w:rPr>
                <w:color w:val="000000"/>
              </w:rPr>
              <w:t xml:space="preserve">231,030,000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9651E84" w14:textId="535B186B">
            <w:pPr>
              <w:tabs>
                <w:tab w:val="decimal" w:pos="330"/>
              </w:tabs>
              <w:jc w:val="left"/>
            </w:pPr>
            <w:r w:rsidRPr="000F68B8">
              <w:rPr>
                <w:color w:val="000000"/>
              </w:rPr>
              <w:t>14.737%</w:t>
            </w:r>
          </w:p>
        </w:tc>
      </w:tr>
      <w:tr w:rsidRPr="002F168A" w:rsidR="000F68B8" w:rsidTr="00921901" w14:paraId="4C75816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C3631DD" w14:textId="66594324">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623C1C1" w14:textId="080E5B6E">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4CCD41F" w14:textId="0E9E6DD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0F255EC" w14:textId="5B667FCA">
            <w:pPr>
              <w:jc w:val="center"/>
            </w:pPr>
            <w:r w:rsidRPr="000F68B8">
              <w:rPr>
                <w:color w:val="000000"/>
              </w:rPr>
              <w:t>7/1/2035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BD6FC1A" w14:textId="073DAE5A">
            <w:pPr>
              <w:tabs>
                <w:tab w:val="decimal" w:pos="975"/>
              </w:tabs>
              <w:jc w:val="left"/>
            </w:pPr>
            <w:r w:rsidRPr="000F68B8">
              <w:rPr>
                <w:color w:val="000000"/>
              </w:rPr>
              <w:t xml:space="preserve">1,050,000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1924238" w14:textId="60B48200">
            <w:pPr>
              <w:tabs>
                <w:tab w:val="decimal" w:pos="1185"/>
              </w:tabs>
              <w:jc w:val="left"/>
            </w:pPr>
            <w:r w:rsidRPr="000F68B8">
              <w:rPr>
                <w:color w:val="000000"/>
              </w:rPr>
              <w:t xml:space="preserve">232,080,000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30330D8" w14:textId="5833D804">
            <w:pPr>
              <w:tabs>
                <w:tab w:val="decimal" w:pos="330"/>
              </w:tabs>
              <w:jc w:val="left"/>
            </w:pPr>
            <w:r w:rsidRPr="000F68B8">
              <w:rPr>
                <w:color w:val="000000"/>
              </w:rPr>
              <w:t>14.804%</w:t>
            </w:r>
          </w:p>
        </w:tc>
      </w:tr>
      <w:tr w:rsidRPr="002F168A" w:rsidR="000F68B8" w:rsidTr="00921901" w14:paraId="7A2D650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2F2D37E" w14:textId="699BFB7C">
            <w:pPr>
              <w:tabs>
                <w:tab w:val="decimal" w:pos="255"/>
              </w:tabs>
              <w:jc w:val="right"/>
            </w:pPr>
            <w:r w:rsidRPr="000F68B8">
              <w:rPr>
                <w:color w:val="000000"/>
              </w:rPr>
              <w:t xml:space="preserve">5.646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8A858A6" w14:textId="1A402AB5">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D5DA3E7" w14:textId="0AA6388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C65DFB0" w14:textId="13E6503B">
            <w:pPr>
              <w:jc w:val="center"/>
            </w:pPr>
            <w:r w:rsidRPr="000F68B8">
              <w:rPr>
                <w:color w:val="000000"/>
              </w:rPr>
              <w:t>7/1/2028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B4325B3" w14:textId="0A1A8A3E">
            <w:pPr>
              <w:tabs>
                <w:tab w:val="decimal" w:pos="975"/>
              </w:tabs>
              <w:jc w:val="left"/>
            </w:pPr>
            <w:r w:rsidRPr="000F68B8">
              <w:rPr>
                <w:color w:val="000000"/>
              </w:rPr>
              <w:t xml:space="preserve">720,000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A0A17CD" w14:textId="3253F33A">
            <w:pPr>
              <w:tabs>
                <w:tab w:val="decimal" w:pos="1185"/>
              </w:tabs>
              <w:jc w:val="left"/>
            </w:pPr>
            <w:r w:rsidRPr="000F68B8">
              <w:rPr>
                <w:color w:val="000000"/>
              </w:rPr>
              <w:t xml:space="preserve">232,800,000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03FC9CD" w14:textId="1C19FADA">
            <w:pPr>
              <w:tabs>
                <w:tab w:val="decimal" w:pos="330"/>
              </w:tabs>
              <w:jc w:val="left"/>
            </w:pPr>
            <w:r w:rsidRPr="000F68B8">
              <w:rPr>
                <w:color w:val="000000"/>
              </w:rPr>
              <w:t>14.850%</w:t>
            </w:r>
          </w:p>
        </w:tc>
      </w:tr>
      <w:tr w:rsidRPr="002F168A" w:rsidR="000F68B8" w:rsidTr="00921901" w14:paraId="26C8DBB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A89E083" w14:textId="7A868A2F">
            <w:pPr>
              <w:tabs>
                <w:tab w:val="decimal" w:pos="255"/>
              </w:tabs>
              <w:jc w:val="right"/>
            </w:pPr>
            <w:r w:rsidRPr="000F68B8">
              <w:rPr>
                <w:color w:val="000000"/>
              </w:rPr>
              <w:t xml:space="preserve">5.608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676DE20" w14:textId="369AE391">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93457FB" w14:textId="4C27666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81FF04E" w14:textId="7F1B7A87">
            <w:pPr>
              <w:jc w:val="center"/>
            </w:pPr>
            <w:r w:rsidRPr="000F68B8">
              <w:rPr>
                <w:color w:val="000000"/>
              </w:rPr>
              <w:t>1/1/2034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C52BC0C" w14:textId="6BA8192A">
            <w:pPr>
              <w:tabs>
                <w:tab w:val="decimal" w:pos="975"/>
              </w:tabs>
              <w:jc w:val="left"/>
            </w:pPr>
            <w:r w:rsidRPr="000F68B8">
              <w:rPr>
                <w:color w:val="000000"/>
              </w:rPr>
              <w:t xml:space="preserve">1,470,000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D04FEC9" w14:textId="152C7235">
            <w:pPr>
              <w:tabs>
                <w:tab w:val="decimal" w:pos="1185"/>
              </w:tabs>
              <w:jc w:val="left"/>
            </w:pPr>
            <w:r w:rsidRPr="000F68B8">
              <w:rPr>
                <w:color w:val="000000"/>
              </w:rPr>
              <w:t xml:space="preserve">234,270,000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3AF4A78" w14:textId="7EC017C9">
            <w:pPr>
              <w:tabs>
                <w:tab w:val="decimal" w:pos="330"/>
              </w:tabs>
              <w:jc w:val="left"/>
            </w:pPr>
            <w:r w:rsidRPr="000F68B8">
              <w:rPr>
                <w:color w:val="000000"/>
              </w:rPr>
              <w:t>14.944%</w:t>
            </w:r>
          </w:p>
        </w:tc>
      </w:tr>
      <w:tr w:rsidRPr="002F168A" w:rsidR="000F68B8" w:rsidTr="00921901" w14:paraId="3489428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2A1307B" w14:textId="16701D65">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CCD98F9" w14:textId="2EB91A2E">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67294CC" w14:textId="3F8B017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4C34F1F" w14:textId="7DFD3952">
            <w:pPr>
              <w:jc w:val="center"/>
            </w:pPr>
            <w:r w:rsidRPr="000F68B8">
              <w:rPr>
                <w:color w:val="000000"/>
              </w:rPr>
              <w:t>7/1/2034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3BF1939" w14:textId="7ECB1C37">
            <w:pPr>
              <w:tabs>
                <w:tab w:val="decimal" w:pos="975"/>
              </w:tabs>
              <w:jc w:val="left"/>
            </w:pPr>
            <w:r w:rsidRPr="000F68B8">
              <w:rPr>
                <w:color w:val="000000"/>
              </w:rPr>
              <w:t xml:space="preserve">980,000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5378C0F" w14:textId="7EDF3656">
            <w:pPr>
              <w:tabs>
                <w:tab w:val="decimal" w:pos="1185"/>
              </w:tabs>
              <w:jc w:val="left"/>
            </w:pPr>
            <w:r w:rsidRPr="000F68B8">
              <w:rPr>
                <w:color w:val="000000"/>
              </w:rPr>
              <w:t xml:space="preserve">235,250,000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F04C1BD" w14:textId="5E12BADE">
            <w:pPr>
              <w:tabs>
                <w:tab w:val="decimal" w:pos="330"/>
              </w:tabs>
              <w:jc w:val="left"/>
            </w:pPr>
            <w:r w:rsidRPr="000F68B8">
              <w:rPr>
                <w:color w:val="000000"/>
              </w:rPr>
              <w:t>15.007%</w:t>
            </w:r>
          </w:p>
        </w:tc>
      </w:tr>
      <w:tr w:rsidRPr="002F168A" w:rsidR="000F68B8" w:rsidTr="00921901" w14:paraId="683B8A9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0CA3134" w14:textId="1E01B3AC">
            <w:pPr>
              <w:tabs>
                <w:tab w:val="decimal" w:pos="255"/>
              </w:tabs>
              <w:jc w:val="right"/>
            </w:pPr>
            <w:r w:rsidRPr="000F68B8">
              <w:rPr>
                <w:color w:val="000000"/>
              </w:rPr>
              <w:t xml:space="preserve">5.606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7CE4A8B" w14:textId="18E7927D">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00E883F" w14:textId="1B3C8D7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88D92E2" w14:textId="19D74B55">
            <w:pPr>
              <w:jc w:val="center"/>
            </w:pPr>
            <w:r w:rsidRPr="000F68B8">
              <w:rPr>
                <w:color w:val="000000"/>
              </w:rPr>
              <w:t>1/1/2028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A48B234" w14:textId="7D5F63D8">
            <w:pPr>
              <w:tabs>
                <w:tab w:val="decimal" w:pos="975"/>
              </w:tabs>
              <w:jc w:val="left"/>
            </w:pPr>
            <w:r w:rsidRPr="000F68B8">
              <w:rPr>
                <w:color w:val="000000"/>
              </w:rPr>
              <w:t xml:space="preserve">695,000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1E97504" w14:textId="6FBC975D">
            <w:pPr>
              <w:tabs>
                <w:tab w:val="decimal" w:pos="1185"/>
              </w:tabs>
              <w:jc w:val="left"/>
            </w:pPr>
            <w:r w:rsidRPr="000F68B8">
              <w:rPr>
                <w:color w:val="000000"/>
              </w:rPr>
              <w:t xml:space="preserve">235,945,000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43B0BAC" w14:textId="4C207D23">
            <w:pPr>
              <w:tabs>
                <w:tab w:val="decimal" w:pos="330"/>
              </w:tabs>
              <w:jc w:val="left"/>
            </w:pPr>
            <w:r w:rsidRPr="000F68B8">
              <w:rPr>
                <w:color w:val="000000"/>
              </w:rPr>
              <w:t>15.051%</w:t>
            </w:r>
          </w:p>
        </w:tc>
      </w:tr>
      <w:tr w:rsidRPr="002F168A" w:rsidR="000F68B8" w:rsidTr="00921901" w14:paraId="5E4E59A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F3FC8A6" w14:textId="0E9ACCA4">
            <w:pPr>
              <w:tabs>
                <w:tab w:val="decimal" w:pos="255"/>
              </w:tabs>
              <w:jc w:val="right"/>
            </w:pPr>
            <w:r w:rsidRPr="000F68B8">
              <w:rPr>
                <w:color w:val="000000"/>
              </w:rPr>
              <w:t xml:space="preserve">5.597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D015854" w14:textId="15860BBD">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7A6680F" w14:textId="4552A29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5F2BD3F" w14:textId="6B9A8524">
            <w:pPr>
              <w:jc w:val="center"/>
            </w:pPr>
            <w:r w:rsidRPr="000F68B8">
              <w:rPr>
                <w:color w:val="000000"/>
              </w:rPr>
              <w:t>7/1/2047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C5303C3" w14:textId="1184CEEF">
            <w:pPr>
              <w:tabs>
                <w:tab w:val="decimal" w:pos="975"/>
              </w:tabs>
              <w:jc w:val="left"/>
            </w:pPr>
            <w:r w:rsidRPr="000F68B8">
              <w:rPr>
                <w:color w:val="000000"/>
              </w:rPr>
              <w:t xml:space="preserve">28,495,000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7C41C92" w14:textId="3258035B">
            <w:pPr>
              <w:tabs>
                <w:tab w:val="decimal" w:pos="1185"/>
              </w:tabs>
              <w:jc w:val="left"/>
            </w:pPr>
            <w:r w:rsidRPr="000F68B8">
              <w:rPr>
                <w:color w:val="000000"/>
              </w:rPr>
              <w:t xml:space="preserve">264,440,000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988C085" w14:textId="27ADB820">
            <w:pPr>
              <w:tabs>
                <w:tab w:val="decimal" w:pos="330"/>
              </w:tabs>
              <w:jc w:val="left"/>
            </w:pPr>
            <w:r w:rsidRPr="000F68B8">
              <w:rPr>
                <w:color w:val="000000"/>
              </w:rPr>
              <w:t>16.869%</w:t>
            </w:r>
          </w:p>
        </w:tc>
      </w:tr>
      <w:tr w:rsidRPr="002F168A" w:rsidR="000F68B8" w:rsidTr="00921901" w14:paraId="0327FEE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ED12883" w14:textId="76AB4656">
            <w:pPr>
              <w:tabs>
                <w:tab w:val="decimal" w:pos="255"/>
              </w:tabs>
              <w:jc w:val="right"/>
            </w:pPr>
            <w:r w:rsidRPr="000F68B8">
              <w:rPr>
                <w:color w:val="000000"/>
              </w:rPr>
              <w:t xml:space="preserve">5.558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90C1E2E" w14:textId="239C45F9">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0EE9677" w14:textId="18714C3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C0F1F34" w14:textId="7661C43F">
            <w:pPr>
              <w:jc w:val="center"/>
            </w:pPr>
            <w:r w:rsidRPr="000F68B8">
              <w:rPr>
                <w:color w:val="000000"/>
              </w:rPr>
              <w:t>7/1/2033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B2D1522" w14:textId="1FBB9969">
            <w:pPr>
              <w:tabs>
                <w:tab w:val="decimal" w:pos="975"/>
              </w:tabs>
              <w:jc w:val="left"/>
            </w:pPr>
            <w:r w:rsidRPr="000F68B8">
              <w:rPr>
                <w:color w:val="000000"/>
              </w:rPr>
              <w:t xml:space="preserve">1,420,000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B90B44F" w14:textId="41BF7091">
            <w:pPr>
              <w:tabs>
                <w:tab w:val="decimal" w:pos="1185"/>
              </w:tabs>
              <w:jc w:val="left"/>
            </w:pPr>
            <w:r w:rsidRPr="000F68B8">
              <w:rPr>
                <w:color w:val="000000"/>
              </w:rPr>
              <w:t xml:space="preserve">265,860,000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9621763" w14:textId="3F06B29E">
            <w:pPr>
              <w:tabs>
                <w:tab w:val="decimal" w:pos="330"/>
              </w:tabs>
              <w:jc w:val="left"/>
            </w:pPr>
            <w:r w:rsidRPr="000F68B8">
              <w:rPr>
                <w:color w:val="000000"/>
              </w:rPr>
              <w:t>16.959%</w:t>
            </w:r>
          </w:p>
        </w:tc>
      </w:tr>
      <w:tr w:rsidRPr="002F168A" w:rsidR="000F68B8" w:rsidTr="00921901" w14:paraId="17E4E26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06A4712" w14:textId="259B85F0">
            <w:pPr>
              <w:tabs>
                <w:tab w:val="decimal" w:pos="255"/>
              </w:tabs>
              <w:jc w:val="right"/>
            </w:pPr>
            <w:r w:rsidRPr="000F68B8">
              <w:rPr>
                <w:color w:val="000000"/>
              </w:rPr>
              <w:t xml:space="preserve">5.547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8355A00" w14:textId="39AD1845">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1CAA863" w14:textId="49CD109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6AAB781" w14:textId="221864D4">
            <w:pPr>
              <w:jc w:val="center"/>
            </w:pPr>
            <w:r w:rsidRPr="000F68B8">
              <w:rPr>
                <w:color w:val="000000"/>
              </w:rPr>
              <w:t>7/1/2043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E4EAC07" w14:textId="1DEC4A86">
            <w:pPr>
              <w:tabs>
                <w:tab w:val="decimal" w:pos="975"/>
              </w:tabs>
              <w:jc w:val="left"/>
            </w:pPr>
            <w:r w:rsidRPr="000F68B8">
              <w:rPr>
                <w:color w:val="000000"/>
              </w:rPr>
              <w:t xml:space="preserve">26,380,000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B2A4C0E" w14:textId="7D2F370B">
            <w:pPr>
              <w:tabs>
                <w:tab w:val="decimal" w:pos="1185"/>
              </w:tabs>
              <w:jc w:val="left"/>
            </w:pPr>
            <w:r w:rsidRPr="000F68B8">
              <w:rPr>
                <w:color w:val="000000"/>
              </w:rPr>
              <w:t xml:space="preserve">292,240,000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0B481D0" w14:textId="207812AB">
            <w:pPr>
              <w:tabs>
                <w:tab w:val="decimal" w:pos="330"/>
              </w:tabs>
              <w:jc w:val="left"/>
            </w:pPr>
            <w:r w:rsidRPr="000F68B8">
              <w:rPr>
                <w:color w:val="000000"/>
              </w:rPr>
              <w:t>18.642%</w:t>
            </w:r>
          </w:p>
        </w:tc>
      </w:tr>
      <w:tr w:rsidRPr="002F168A" w:rsidR="000F68B8" w:rsidTr="00921901" w14:paraId="45F1F16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2CE5B17" w14:textId="4A64C305">
            <w:pPr>
              <w:tabs>
                <w:tab w:val="decimal" w:pos="255"/>
              </w:tabs>
              <w:jc w:val="right"/>
            </w:pPr>
            <w:r w:rsidRPr="000F68B8">
              <w:rPr>
                <w:color w:val="000000"/>
              </w:rPr>
              <w:t xml:space="preserve">5.546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1895AC0" w14:textId="6058D292">
            <w:pPr>
              <w:jc w:val="left"/>
            </w:pPr>
            <w:r w:rsidRPr="000F68B8">
              <w:rPr>
                <w:color w:val="000000"/>
              </w:rPr>
              <w:t>2023 SERIES D-3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D6B1F9E" w14:textId="676D120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1A895C9" w14:textId="7914584B">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B873DDD" w14:textId="4770990A">
            <w:pPr>
              <w:tabs>
                <w:tab w:val="decimal" w:pos="975"/>
              </w:tabs>
              <w:jc w:val="left"/>
            </w:pPr>
            <w:r w:rsidRPr="000F68B8">
              <w:rPr>
                <w:color w:val="000000"/>
              </w:rPr>
              <w:t xml:space="preserve">185,000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E5D106B" w14:textId="6D3F2847">
            <w:pPr>
              <w:tabs>
                <w:tab w:val="decimal" w:pos="1185"/>
              </w:tabs>
              <w:jc w:val="left"/>
            </w:pPr>
            <w:r w:rsidRPr="000F68B8">
              <w:rPr>
                <w:color w:val="000000"/>
              </w:rPr>
              <w:t xml:space="preserve">292,425,000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34B9723" w14:textId="3D2DE302">
            <w:pPr>
              <w:tabs>
                <w:tab w:val="decimal" w:pos="330"/>
              </w:tabs>
              <w:jc w:val="left"/>
            </w:pPr>
            <w:r w:rsidRPr="000F68B8">
              <w:rPr>
                <w:color w:val="000000"/>
              </w:rPr>
              <w:t>18.654%</w:t>
            </w:r>
          </w:p>
        </w:tc>
      </w:tr>
      <w:tr w:rsidRPr="002F168A" w:rsidR="000F68B8" w:rsidTr="00921901" w14:paraId="2C8CB89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DC60401" w14:textId="4102AA9F">
            <w:pPr>
              <w:tabs>
                <w:tab w:val="decimal" w:pos="255"/>
              </w:tabs>
              <w:jc w:val="right"/>
            </w:pPr>
            <w:r w:rsidRPr="000F68B8">
              <w:rPr>
                <w:color w:val="000000"/>
              </w:rPr>
              <w:t xml:space="preserve">5.508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0949E89" w14:textId="084299FB">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092D77E" w14:textId="5B9521B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C61E1ED" w14:textId="4889BE5B">
            <w:pPr>
              <w:jc w:val="center"/>
            </w:pPr>
            <w:r w:rsidRPr="000F68B8">
              <w:rPr>
                <w:color w:val="000000"/>
              </w:rPr>
              <w:t>1/1/2033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225232E" w14:textId="30EC2BE9">
            <w:pPr>
              <w:tabs>
                <w:tab w:val="decimal" w:pos="975"/>
              </w:tabs>
              <w:jc w:val="left"/>
            </w:pPr>
            <w:r w:rsidRPr="000F68B8">
              <w:rPr>
                <w:color w:val="000000"/>
              </w:rPr>
              <w:t xml:space="preserve">1,375,000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5C36CA2" w14:textId="693AA632">
            <w:pPr>
              <w:tabs>
                <w:tab w:val="decimal" w:pos="1185"/>
              </w:tabs>
              <w:jc w:val="left"/>
            </w:pPr>
            <w:r w:rsidRPr="000F68B8">
              <w:rPr>
                <w:color w:val="000000"/>
              </w:rPr>
              <w:t xml:space="preserve">293,800,000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52B6349" w14:textId="297651FD">
            <w:pPr>
              <w:tabs>
                <w:tab w:val="decimal" w:pos="330"/>
              </w:tabs>
              <w:jc w:val="left"/>
            </w:pPr>
            <w:r w:rsidRPr="000F68B8">
              <w:rPr>
                <w:color w:val="000000"/>
              </w:rPr>
              <w:t>18.741%</w:t>
            </w:r>
          </w:p>
        </w:tc>
      </w:tr>
      <w:tr w:rsidRPr="002F168A" w:rsidR="000F68B8" w:rsidTr="00921901" w14:paraId="703CF8E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D92673A" w14:textId="41D81774">
            <w:pPr>
              <w:tabs>
                <w:tab w:val="decimal" w:pos="255"/>
              </w:tabs>
              <w:jc w:val="right"/>
            </w:pPr>
            <w:r w:rsidRPr="000F68B8">
              <w:rPr>
                <w:color w:val="000000"/>
              </w:rPr>
              <w:t xml:space="preserve">5.472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48EE4E6" w14:textId="3FFCF38E">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8F03AAC" w14:textId="33FFFCF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307C0A3" w14:textId="4ACA95E8">
            <w:pPr>
              <w:jc w:val="center"/>
            </w:pPr>
            <w:r w:rsidRPr="000F68B8">
              <w:rPr>
                <w:color w:val="000000"/>
              </w:rPr>
              <w:t>7/1/2038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B75F320" w14:textId="3FA1DD6D">
            <w:pPr>
              <w:tabs>
                <w:tab w:val="decimal" w:pos="975"/>
              </w:tabs>
              <w:jc w:val="left"/>
            </w:pPr>
            <w:r w:rsidRPr="000F68B8">
              <w:rPr>
                <w:color w:val="000000"/>
              </w:rPr>
              <w:t xml:space="preserve">18,465,000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6FCD828" w14:textId="246CA14A">
            <w:pPr>
              <w:tabs>
                <w:tab w:val="decimal" w:pos="1185"/>
              </w:tabs>
              <w:jc w:val="left"/>
            </w:pPr>
            <w:r w:rsidRPr="000F68B8">
              <w:rPr>
                <w:color w:val="000000"/>
              </w:rPr>
              <w:t xml:space="preserve">312,265,000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CFD65F4" w14:textId="579EBCB4">
            <w:pPr>
              <w:tabs>
                <w:tab w:val="decimal" w:pos="330"/>
              </w:tabs>
              <w:jc w:val="left"/>
            </w:pPr>
            <w:r w:rsidRPr="000F68B8">
              <w:rPr>
                <w:color w:val="000000"/>
              </w:rPr>
              <w:t>19.919%</w:t>
            </w:r>
          </w:p>
        </w:tc>
      </w:tr>
      <w:tr w:rsidRPr="002F168A" w:rsidR="000F68B8" w:rsidTr="00921901" w14:paraId="6A9D071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E26EAF9" w14:textId="56B48B6F">
            <w:pPr>
              <w:tabs>
                <w:tab w:val="decimal" w:pos="255"/>
              </w:tabs>
              <w:jc w:val="right"/>
            </w:pPr>
            <w:r w:rsidRPr="000F68B8">
              <w:rPr>
                <w:color w:val="000000"/>
              </w:rPr>
              <w:t xml:space="preserve">5.458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6113FED" w14:textId="4E741169">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ECE4F79" w14:textId="3C6C7CC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BCBAFC6" w14:textId="0071BEFB">
            <w:pPr>
              <w:jc w:val="center"/>
            </w:pPr>
            <w:r w:rsidRPr="000F68B8">
              <w:rPr>
                <w:color w:val="000000"/>
              </w:rPr>
              <w:t>7/1/2032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022F81A" w14:textId="6A88708D">
            <w:pPr>
              <w:tabs>
                <w:tab w:val="decimal" w:pos="975"/>
              </w:tabs>
              <w:jc w:val="left"/>
            </w:pPr>
            <w:r w:rsidRPr="000F68B8">
              <w:rPr>
                <w:color w:val="000000"/>
              </w:rPr>
              <w:t xml:space="preserve">1,335,000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894C79F" w14:textId="74703457">
            <w:pPr>
              <w:tabs>
                <w:tab w:val="decimal" w:pos="1185"/>
              </w:tabs>
              <w:jc w:val="left"/>
            </w:pPr>
            <w:r w:rsidRPr="000F68B8">
              <w:rPr>
                <w:color w:val="000000"/>
              </w:rPr>
              <w:t xml:space="preserve">313,600,000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EBB1838" w14:textId="23B71BD0">
            <w:pPr>
              <w:tabs>
                <w:tab w:val="decimal" w:pos="330"/>
              </w:tabs>
              <w:jc w:val="left"/>
            </w:pPr>
            <w:r w:rsidRPr="000F68B8">
              <w:rPr>
                <w:color w:val="000000"/>
              </w:rPr>
              <w:t>20.004%</w:t>
            </w:r>
          </w:p>
        </w:tc>
      </w:tr>
      <w:tr w:rsidRPr="002F168A" w:rsidR="000F68B8" w:rsidTr="00921901" w14:paraId="73C1D58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526DD98" w14:textId="6774B8BB">
            <w:pPr>
              <w:tabs>
                <w:tab w:val="decimal" w:pos="255"/>
              </w:tabs>
              <w:jc w:val="right"/>
            </w:pPr>
            <w:r w:rsidRPr="000F68B8">
              <w:rPr>
                <w:color w:val="000000"/>
              </w:rPr>
              <w:t xml:space="preserve">5.455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F0FE5EF" w14:textId="2D60B833">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FF4FA3B" w14:textId="747C260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430A5A9" w14:textId="09E6F74D">
            <w:pPr>
              <w:jc w:val="center"/>
            </w:pPr>
            <w:r w:rsidRPr="000F68B8">
              <w:rPr>
                <w:color w:val="000000"/>
              </w:rPr>
              <w:t>1/1/2049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9504AE5" w14:textId="5D51C884">
            <w:pPr>
              <w:tabs>
                <w:tab w:val="decimal" w:pos="975"/>
              </w:tabs>
              <w:jc w:val="left"/>
            </w:pPr>
            <w:r w:rsidRPr="000F68B8">
              <w:rPr>
                <w:color w:val="000000"/>
              </w:rPr>
              <w:t xml:space="preserve">5,890,000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855E877" w14:textId="2F1F7C02">
            <w:pPr>
              <w:tabs>
                <w:tab w:val="decimal" w:pos="1185"/>
              </w:tabs>
              <w:jc w:val="left"/>
            </w:pPr>
            <w:r w:rsidRPr="000F68B8">
              <w:rPr>
                <w:color w:val="000000"/>
              </w:rPr>
              <w:t xml:space="preserve">319,490,000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2C3FCB0" w14:textId="5E66694D">
            <w:pPr>
              <w:tabs>
                <w:tab w:val="decimal" w:pos="330"/>
              </w:tabs>
              <w:jc w:val="left"/>
            </w:pPr>
            <w:r w:rsidRPr="000F68B8">
              <w:rPr>
                <w:color w:val="000000"/>
              </w:rPr>
              <w:t>20.380%</w:t>
            </w:r>
          </w:p>
        </w:tc>
      </w:tr>
      <w:tr w:rsidRPr="002F168A" w:rsidR="000F68B8" w:rsidTr="00921901" w14:paraId="5991D30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E28D9CE" w14:textId="3C2EEF59">
            <w:pPr>
              <w:tabs>
                <w:tab w:val="decimal" w:pos="255"/>
              </w:tabs>
              <w:jc w:val="right"/>
            </w:pPr>
            <w:r w:rsidRPr="000F68B8">
              <w:rPr>
                <w:color w:val="000000"/>
              </w:rPr>
              <w:t xml:space="preserve">5.427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0389E29" w14:textId="4C45AE9D">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7185B26" w14:textId="7198619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C6D6286" w14:textId="229FB381">
            <w:pPr>
              <w:jc w:val="center"/>
            </w:pPr>
            <w:r w:rsidRPr="000F68B8">
              <w:rPr>
                <w:color w:val="000000"/>
              </w:rPr>
              <w:t>7/1/2048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B697E7B" w14:textId="254D50CA">
            <w:pPr>
              <w:tabs>
                <w:tab w:val="decimal" w:pos="975"/>
              </w:tabs>
              <w:jc w:val="left"/>
            </w:pPr>
            <w:r w:rsidRPr="000F68B8">
              <w:rPr>
                <w:color w:val="000000"/>
              </w:rPr>
              <w:t xml:space="preserve">26,835,000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925F952" w14:textId="6A7CF926">
            <w:pPr>
              <w:tabs>
                <w:tab w:val="decimal" w:pos="1185"/>
              </w:tabs>
              <w:jc w:val="left"/>
            </w:pPr>
            <w:r w:rsidRPr="000F68B8">
              <w:rPr>
                <w:color w:val="000000"/>
              </w:rPr>
              <w:t xml:space="preserve">346,325,000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0DA80F4" w14:textId="230920D7">
            <w:pPr>
              <w:tabs>
                <w:tab w:val="decimal" w:pos="330"/>
              </w:tabs>
              <w:jc w:val="left"/>
            </w:pPr>
            <w:r w:rsidRPr="000F68B8">
              <w:rPr>
                <w:color w:val="000000"/>
              </w:rPr>
              <w:t>22.092%</w:t>
            </w:r>
          </w:p>
        </w:tc>
      </w:tr>
      <w:tr w:rsidRPr="002F168A" w:rsidR="000F68B8" w:rsidTr="00921901" w14:paraId="103EC49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A598AD6" w14:textId="0D687327">
            <w:pPr>
              <w:tabs>
                <w:tab w:val="decimal" w:pos="255"/>
              </w:tabs>
              <w:jc w:val="right"/>
            </w:pPr>
            <w:r w:rsidRPr="000F68B8">
              <w:rPr>
                <w:color w:val="000000"/>
              </w:rPr>
              <w:t xml:space="preserve">5.405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8300A22" w14:textId="0585CD65">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601A4C1" w14:textId="6E36BCE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81A30E4" w14:textId="5C267AE1">
            <w:pPr>
              <w:jc w:val="center"/>
            </w:pPr>
            <w:r w:rsidRPr="000F68B8">
              <w:rPr>
                <w:color w:val="000000"/>
              </w:rPr>
              <w:t>7/1/2043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FD27E2E" w14:textId="5C697E38">
            <w:pPr>
              <w:tabs>
                <w:tab w:val="decimal" w:pos="975"/>
              </w:tabs>
              <w:jc w:val="left"/>
            </w:pPr>
            <w:r w:rsidRPr="000F68B8">
              <w:rPr>
                <w:color w:val="000000"/>
              </w:rPr>
              <w:t xml:space="preserve">3,905,000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93FA55E" w14:textId="0D7A1DFF">
            <w:pPr>
              <w:tabs>
                <w:tab w:val="decimal" w:pos="1185"/>
              </w:tabs>
              <w:jc w:val="left"/>
            </w:pPr>
            <w:r w:rsidRPr="000F68B8">
              <w:rPr>
                <w:color w:val="000000"/>
              </w:rPr>
              <w:t xml:space="preserve">350,230,000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9B7EE54" w14:textId="460F0E8F">
            <w:pPr>
              <w:tabs>
                <w:tab w:val="decimal" w:pos="330"/>
              </w:tabs>
              <w:jc w:val="left"/>
            </w:pPr>
            <w:r w:rsidRPr="000F68B8">
              <w:rPr>
                <w:color w:val="000000"/>
              </w:rPr>
              <w:t>22.341%</w:t>
            </w:r>
          </w:p>
        </w:tc>
      </w:tr>
      <w:tr w:rsidRPr="002F168A" w:rsidR="000F68B8" w:rsidTr="00921901" w14:paraId="66F094D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3079D0E" w14:textId="2472BE56">
            <w:pPr>
              <w:tabs>
                <w:tab w:val="decimal" w:pos="255"/>
              </w:tabs>
              <w:jc w:val="right"/>
            </w:pPr>
            <w:r w:rsidRPr="000F68B8">
              <w:rPr>
                <w:color w:val="000000"/>
              </w:rPr>
              <w:t xml:space="preserve">5.402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6210CA2" w14:textId="2566CCCC">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CEE87EF" w14:textId="5083D8A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5E19094" w14:textId="2C237EB7">
            <w:pPr>
              <w:jc w:val="center"/>
            </w:pPr>
            <w:r w:rsidRPr="000F68B8">
              <w:rPr>
                <w:color w:val="000000"/>
              </w:rPr>
              <w:t>7/1/2033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9742C72" w14:textId="6CF475EB">
            <w:pPr>
              <w:tabs>
                <w:tab w:val="decimal" w:pos="975"/>
              </w:tabs>
              <w:jc w:val="left"/>
            </w:pPr>
            <w:r w:rsidRPr="000F68B8">
              <w:rPr>
                <w:color w:val="000000"/>
              </w:rPr>
              <w:t xml:space="preserve">1,175,000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8D9F179" w14:textId="713C3DF3">
            <w:pPr>
              <w:tabs>
                <w:tab w:val="decimal" w:pos="1185"/>
              </w:tabs>
              <w:jc w:val="left"/>
            </w:pPr>
            <w:r w:rsidRPr="000F68B8">
              <w:rPr>
                <w:color w:val="000000"/>
              </w:rPr>
              <w:t xml:space="preserve">351,405,000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C11838E" w14:textId="1B824063">
            <w:pPr>
              <w:tabs>
                <w:tab w:val="decimal" w:pos="330"/>
              </w:tabs>
              <w:jc w:val="left"/>
            </w:pPr>
            <w:r w:rsidRPr="000F68B8">
              <w:rPr>
                <w:color w:val="000000"/>
              </w:rPr>
              <w:t>22.416%</w:t>
            </w:r>
          </w:p>
        </w:tc>
      </w:tr>
      <w:tr w:rsidRPr="002F168A" w:rsidR="000F68B8" w:rsidTr="00921901" w14:paraId="6A322E6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68A9CB3" w14:textId="59DAE510">
            <w:pPr>
              <w:tabs>
                <w:tab w:val="decimal" w:pos="255"/>
              </w:tabs>
              <w:jc w:val="right"/>
            </w:pPr>
            <w:r w:rsidRPr="000F68B8">
              <w:rPr>
                <w:color w:val="000000"/>
              </w:rPr>
              <w:t xml:space="preserve">5.382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EAA5963" w14:textId="6053DC28">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8342D6A" w14:textId="416EEB8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4BF1E7D" w14:textId="50394083">
            <w:pPr>
              <w:jc w:val="center"/>
            </w:pPr>
            <w:r w:rsidRPr="000F68B8">
              <w:rPr>
                <w:color w:val="000000"/>
              </w:rPr>
              <w:t>1/1/2033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301793A" w14:textId="31EAD80F">
            <w:pPr>
              <w:tabs>
                <w:tab w:val="decimal" w:pos="975"/>
              </w:tabs>
              <w:jc w:val="left"/>
            </w:pPr>
            <w:r w:rsidRPr="000F68B8">
              <w:rPr>
                <w:color w:val="000000"/>
              </w:rPr>
              <w:t xml:space="preserve">1,130,000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A947B6B" w14:textId="659ED2A7">
            <w:pPr>
              <w:tabs>
                <w:tab w:val="decimal" w:pos="1185"/>
              </w:tabs>
              <w:jc w:val="left"/>
            </w:pPr>
            <w:r w:rsidRPr="000F68B8">
              <w:rPr>
                <w:color w:val="000000"/>
              </w:rPr>
              <w:t xml:space="preserve">352,535,000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D4F6713" w14:textId="11D28DDB">
            <w:pPr>
              <w:tabs>
                <w:tab w:val="decimal" w:pos="330"/>
              </w:tabs>
              <w:jc w:val="left"/>
            </w:pPr>
            <w:r w:rsidRPr="000F68B8">
              <w:rPr>
                <w:color w:val="000000"/>
              </w:rPr>
              <w:t>22.488%</w:t>
            </w:r>
          </w:p>
        </w:tc>
      </w:tr>
      <w:tr w:rsidRPr="002F168A" w:rsidR="000F68B8" w:rsidTr="00921901" w14:paraId="4554BCF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229F710" w14:textId="355D4F53">
            <w:pPr>
              <w:tabs>
                <w:tab w:val="decimal" w:pos="255"/>
              </w:tabs>
              <w:jc w:val="right"/>
            </w:pPr>
            <w:r w:rsidRPr="000F68B8">
              <w:rPr>
                <w:color w:val="000000"/>
              </w:rPr>
              <w:t xml:space="preserve">5.377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EF7E0A7" w14:textId="6FC819D5">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6723737" w14:textId="76B242E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6BD1CF0" w14:textId="4C4A9B02">
            <w:pPr>
              <w:jc w:val="center"/>
            </w:pPr>
            <w:r w:rsidRPr="000F68B8">
              <w:rPr>
                <w:color w:val="000000"/>
              </w:rPr>
              <w:t>7/1/2043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00BE281" w14:textId="50C8646C">
            <w:pPr>
              <w:tabs>
                <w:tab w:val="decimal" w:pos="975"/>
              </w:tabs>
              <w:jc w:val="left"/>
            </w:pPr>
            <w:r w:rsidRPr="000F68B8">
              <w:rPr>
                <w:color w:val="000000"/>
              </w:rPr>
              <w:t xml:space="preserve">15,275,000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2FD3500" w14:textId="40C30090">
            <w:pPr>
              <w:tabs>
                <w:tab w:val="decimal" w:pos="1185"/>
              </w:tabs>
              <w:jc w:val="left"/>
            </w:pPr>
            <w:r w:rsidRPr="000F68B8">
              <w:rPr>
                <w:color w:val="000000"/>
              </w:rPr>
              <w:t xml:space="preserve">367,810,000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6E6F513" w14:textId="631D8A24">
            <w:pPr>
              <w:tabs>
                <w:tab w:val="decimal" w:pos="330"/>
              </w:tabs>
              <w:jc w:val="left"/>
            </w:pPr>
            <w:r w:rsidRPr="000F68B8">
              <w:rPr>
                <w:color w:val="000000"/>
              </w:rPr>
              <w:t>23.463%</w:t>
            </w:r>
          </w:p>
        </w:tc>
      </w:tr>
      <w:tr w:rsidRPr="002F168A" w:rsidR="000F68B8" w:rsidTr="00921901" w14:paraId="52E2763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EE1E1C9" w14:textId="6D97FBE9">
            <w:pPr>
              <w:tabs>
                <w:tab w:val="decimal" w:pos="255"/>
              </w:tabs>
              <w:jc w:val="right"/>
            </w:pPr>
            <w:bookmarkStart w:name="ElPgBr99" w:id="1074"/>
            <w:bookmarkEnd w:id="1074"/>
            <w:r w:rsidRPr="000F68B8">
              <w:rPr>
                <w:color w:val="000000"/>
              </w:rPr>
              <w:lastRenderedPageBreak/>
              <w:t xml:space="preserve">5.358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A9FD39C" w14:textId="47DF08CB">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085B741" w14:textId="3A7E9C0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4D3F934" w14:textId="02E64979">
            <w:pPr>
              <w:jc w:val="center"/>
            </w:pPr>
            <w:r w:rsidRPr="000F68B8">
              <w:rPr>
                <w:color w:val="000000"/>
              </w:rPr>
              <w:t>1/1/2032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30C0965" w14:textId="6425F2C7">
            <w:pPr>
              <w:tabs>
                <w:tab w:val="decimal" w:pos="975"/>
              </w:tabs>
              <w:jc w:val="left"/>
            </w:pPr>
            <w:r w:rsidRPr="000F68B8">
              <w:rPr>
                <w:color w:val="000000"/>
              </w:rPr>
              <w:t xml:space="preserve">1,330,000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FD1544D" w14:textId="035B7ED8">
            <w:pPr>
              <w:tabs>
                <w:tab w:val="decimal" w:pos="1185"/>
              </w:tabs>
              <w:jc w:val="left"/>
            </w:pPr>
            <w:r w:rsidRPr="000F68B8">
              <w:rPr>
                <w:color w:val="000000"/>
              </w:rPr>
              <w:t xml:space="preserve">369,140,000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C9BDFB9" w14:textId="4178F69B">
            <w:pPr>
              <w:tabs>
                <w:tab w:val="decimal" w:pos="330"/>
              </w:tabs>
              <w:jc w:val="left"/>
            </w:pPr>
            <w:r w:rsidRPr="000F68B8">
              <w:rPr>
                <w:color w:val="000000"/>
              </w:rPr>
              <w:t>23.547%</w:t>
            </w:r>
          </w:p>
        </w:tc>
      </w:tr>
      <w:tr w:rsidRPr="002F168A" w:rsidR="000F68B8" w:rsidTr="00921901" w14:paraId="6917C1E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4DD72FE" w14:textId="1B98C6BD">
            <w:pPr>
              <w:tabs>
                <w:tab w:val="decimal" w:pos="255"/>
              </w:tabs>
              <w:jc w:val="right"/>
            </w:pPr>
            <w:r w:rsidRPr="000F68B8">
              <w:rPr>
                <w:color w:val="000000"/>
              </w:rPr>
              <w:t xml:space="preserve">5.352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E916CC3" w14:textId="761E79A7">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C0663A9" w14:textId="4C6D0DE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C2A16AC" w14:textId="494A3584">
            <w:pPr>
              <w:jc w:val="center"/>
            </w:pPr>
            <w:r w:rsidRPr="000F68B8">
              <w:rPr>
                <w:color w:val="000000"/>
              </w:rPr>
              <w:t>7/1/2032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5B49AE0" w14:textId="5E05F8A9">
            <w:pPr>
              <w:tabs>
                <w:tab w:val="decimal" w:pos="975"/>
              </w:tabs>
              <w:jc w:val="left"/>
            </w:pPr>
            <w:r w:rsidRPr="000F68B8">
              <w:rPr>
                <w:color w:val="000000"/>
              </w:rPr>
              <w:t xml:space="preserve">1,095,000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CA66DC7" w14:textId="661378D6">
            <w:pPr>
              <w:tabs>
                <w:tab w:val="decimal" w:pos="1185"/>
              </w:tabs>
              <w:jc w:val="left"/>
            </w:pPr>
            <w:r w:rsidRPr="000F68B8">
              <w:rPr>
                <w:color w:val="000000"/>
              </w:rPr>
              <w:t xml:space="preserve">370,235,000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7CE1C12" w14:textId="1246E746">
            <w:pPr>
              <w:tabs>
                <w:tab w:val="decimal" w:pos="330"/>
              </w:tabs>
              <w:jc w:val="left"/>
            </w:pPr>
            <w:r w:rsidRPr="000F68B8">
              <w:rPr>
                <w:color w:val="000000"/>
              </w:rPr>
              <w:t>23.617%</w:t>
            </w:r>
          </w:p>
        </w:tc>
      </w:tr>
      <w:tr w:rsidRPr="002F168A" w:rsidR="000F68B8" w:rsidTr="00921901" w14:paraId="785691C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F76427C" w14:textId="4331C405">
            <w:pPr>
              <w:tabs>
                <w:tab w:val="decimal" w:pos="255"/>
              </w:tabs>
              <w:jc w:val="right"/>
            </w:pPr>
            <w:r w:rsidRPr="000F68B8">
              <w:rPr>
                <w:color w:val="000000"/>
              </w:rPr>
              <w:t xml:space="preserve">5.337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6E17627" w14:textId="1DDA31BA">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27E6740" w14:textId="5301C58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64BB4C1" w14:textId="301097BC">
            <w:pPr>
              <w:jc w:val="center"/>
            </w:pPr>
            <w:r w:rsidRPr="000F68B8">
              <w:rPr>
                <w:color w:val="000000"/>
              </w:rPr>
              <w:t>7/1/2031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16213EC" w14:textId="35F4F1BC">
            <w:pPr>
              <w:tabs>
                <w:tab w:val="decimal" w:pos="975"/>
              </w:tabs>
              <w:jc w:val="left"/>
            </w:pPr>
            <w:r w:rsidRPr="000F68B8">
              <w:rPr>
                <w:color w:val="000000"/>
              </w:rPr>
              <w:t xml:space="preserve">1,290,000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AA32D55" w14:textId="135A8909">
            <w:pPr>
              <w:tabs>
                <w:tab w:val="decimal" w:pos="1185"/>
              </w:tabs>
              <w:jc w:val="left"/>
            </w:pPr>
            <w:r w:rsidRPr="000F68B8">
              <w:rPr>
                <w:color w:val="000000"/>
              </w:rPr>
              <w:t xml:space="preserve">371,525,000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10F0599" w14:textId="6DFB3013">
            <w:pPr>
              <w:tabs>
                <w:tab w:val="decimal" w:pos="330"/>
              </w:tabs>
              <w:jc w:val="left"/>
            </w:pPr>
            <w:r w:rsidRPr="000F68B8">
              <w:rPr>
                <w:color w:val="000000"/>
              </w:rPr>
              <w:t>23.699%</w:t>
            </w:r>
          </w:p>
        </w:tc>
      </w:tr>
      <w:tr w:rsidRPr="002F168A" w:rsidR="000F68B8" w:rsidTr="00921901" w14:paraId="41709C7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C22646B" w14:textId="2E7F841F">
            <w:pPr>
              <w:tabs>
                <w:tab w:val="decimal" w:pos="255"/>
              </w:tabs>
              <w:jc w:val="right"/>
            </w:pPr>
            <w:r w:rsidRPr="000F68B8">
              <w:rPr>
                <w:color w:val="000000"/>
              </w:rPr>
              <w:t xml:space="preserve">5.336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E73257A" w14:textId="18DB6754">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2719388" w14:textId="6AD0C57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A35BCEC" w14:textId="3379033E">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A9D6E85" w14:textId="45A539CA">
            <w:pPr>
              <w:tabs>
                <w:tab w:val="decimal" w:pos="975"/>
              </w:tabs>
              <w:jc w:val="left"/>
            </w:pPr>
            <w:r w:rsidRPr="000F68B8">
              <w:rPr>
                <w:color w:val="000000"/>
              </w:rPr>
              <w:t xml:space="preserve">950,000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4A5B46A" w14:textId="13B4E306">
            <w:pPr>
              <w:tabs>
                <w:tab w:val="decimal" w:pos="1185"/>
              </w:tabs>
              <w:jc w:val="left"/>
            </w:pPr>
            <w:r w:rsidRPr="000F68B8">
              <w:rPr>
                <w:color w:val="000000"/>
              </w:rPr>
              <w:t xml:space="preserve">372,475,000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4072704" w14:textId="623F15C4">
            <w:pPr>
              <w:tabs>
                <w:tab w:val="decimal" w:pos="330"/>
              </w:tabs>
              <w:jc w:val="left"/>
            </w:pPr>
            <w:r w:rsidRPr="000F68B8">
              <w:rPr>
                <w:color w:val="000000"/>
              </w:rPr>
              <w:t>23.760%</w:t>
            </w:r>
          </w:p>
        </w:tc>
      </w:tr>
      <w:tr w:rsidRPr="002F168A" w:rsidR="000F68B8" w:rsidTr="00921901" w14:paraId="6FCDEE5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8307806" w14:textId="27D36C6B">
            <w:pPr>
              <w:tabs>
                <w:tab w:val="decimal" w:pos="255"/>
              </w:tabs>
              <w:jc w:val="right"/>
            </w:pPr>
            <w:r w:rsidRPr="000F68B8">
              <w:rPr>
                <w:color w:val="000000"/>
              </w:rPr>
              <w:t xml:space="preserve">5.322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6794763" w14:textId="0FAF019C">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5B46633" w14:textId="2752C2F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4C18613" w14:textId="3A8A0704">
            <w:pPr>
              <w:jc w:val="center"/>
            </w:pPr>
            <w:r w:rsidRPr="000F68B8">
              <w:rPr>
                <w:color w:val="000000"/>
              </w:rPr>
              <w:t>7/1/2038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F414EAE" w14:textId="58E4E69C">
            <w:pPr>
              <w:tabs>
                <w:tab w:val="decimal" w:pos="975"/>
              </w:tabs>
              <w:jc w:val="left"/>
            </w:pPr>
            <w:r w:rsidRPr="000F68B8">
              <w:rPr>
                <w:color w:val="000000"/>
              </w:rPr>
              <w:t xml:space="preserve">11,060,000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77469DE" w14:textId="3F5FEDBD">
            <w:pPr>
              <w:tabs>
                <w:tab w:val="decimal" w:pos="1185"/>
              </w:tabs>
              <w:jc w:val="left"/>
            </w:pPr>
            <w:r w:rsidRPr="000F68B8">
              <w:rPr>
                <w:color w:val="000000"/>
              </w:rPr>
              <w:t xml:space="preserve">383,535,000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80E187B" w14:textId="22F71ABA">
            <w:pPr>
              <w:tabs>
                <w:tab w:val="decimal" w:pos="330"/>
              </w:tabs>
              <w:jc w:val="left"/>
            </w:pPr>
            <w:r w:rsidRPr="000F68B8">
              <w:rPr>
                <w:color w:val="000000"/>
              </w:rPr>
              <w:t>24.466%</w:t>
            </w:r>
          </w:p>
        </w:tc>
      </w:tr>
      <w:tr w:rsidRPr="002F168A" w:rsidR="000F68B8" w:rsidTr="00921901" w14:paraId="5286C7F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A3C65C7" w14:textId="74F3096D">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A1960BB" w14:textId="14283D8B">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AA0ACD2" w14:textId="3E504E7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112A152" w14:textId="056EEB39">
            <w:pPr>
              <w:jc w:val="center"/>
            </w:pPr>
            <w:r w:rsidRPr="000F68B8">
              <w:rPr>
                <w:color w:val="000000"/>
              </w:rPr>
              <w:t>7/1/2031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2C3A6FF" w14:textId="7DE9C587">
            <w:pPr>
              <w:tabs>
                <w:tab w:val="decimal" w:pos="975"/>
              </w:tabs>
              <w:jc w:val="left"/>
            </w:pPr>
            <w:r w:rsidRPr="000F68B8">
              <w:rPr>
                <w:color w:val="000000"/>
              </w:rPr>
              <w:t xml:space="preserve">1,020,000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6EA672B" w14:textId="54BEC96C">
            <w:pPr>
              <w:tabs>
                <w:tab w:val="decimal" w:pos="1185"/>
              </w:tabs>
              <w:jc w:val="left"/>
            </w:pPr>
            <w:r w:rsidRPr="000F68B8">
              <w:rPr>
                <w:color w:val="000000"/>
              </w:rPr>
              <w:t xml:space="preserve">384,555,000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984B0FD" w14:textId="46CACF6B">
            <w:pPr>
              <w:tabs>
                <w:tab w:val="decimal" w:pos="330"/>
              </w:tabs>
              <w:jc w:val="left"/>
            </w:pPr>
            <w:r w:rsidRPr="000F68B8">
              <w:rPr>
                <w:color w:val="000000"/>
              </w:rPr>
              <w:t>24.531%</w:t>
            </w:r>
          </w:p>
        </w:tc>
      </w:tr>
      <w:tr w:rsidRPr="002F168A" w:rsidR="000F68B8" w:rsidTr="00921901" w14:paraId="6C290D7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7B2BB82" w14:textId="2ABDA285">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ED01D1A" w14:textId="7B1C7CDC">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0F95519" w14:textId="4F66FC8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8427415" w14:textId="15304A47">
            <w:pPr>
              <w:jc w:val="center"/>
            </w:pPr>
            <w:r w:rsidRPr="000F68B8">
              <w:rPr>
                <w:color w:val="000000"/>
              </w:rPr>
              <w:t>1/1/2032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86BEE7E" w14:textId="22503BFA">
            <w:pPr>
              <w:tabs>
                <w:tab w:val="decimal" w:pos="975"/>
              </w:tabs>
              <w:jc w:val="left"/>
            </w:pPr>
            <w:r w:rsidRPr="000F68B8">
              <w:rPr>
                <w:color w:val="000000"/>
              </w:rPr>
              <w:t xml:space="preserve">1,055,000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FA93FB3" w14:textId="237C035B">
            <w:pPr>
              <w:tabs>
                <w:tab w:val="decimal" w:pos="1185"/>
              </w:tabs>
              <w:jc w:val="left"/>
            </w:pPr>
            <w:r w:rsidRPr="000F68B8">
              <w:rPr>
                <w:color w:val="000000"/>
              </w:rPr>
              <w:t xml:space="preserve">385,610,000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AFD8D77" w14:textId="010DA41A">
            <w:pPr>
              <w:tabs>
                <w:tab w:val="decimal" w:pos="330"/>
              </w:tabs>
              <w:jc w:val="left"/>
            </w:pPr>
            <w:r w:rsidRPr="000F68B8">
              <w:rPr>
                <w:color w:val="000000"/>
              </w:rPr>
              <w:t>24.598%</w:t>
            </w:r>
          </w:p>
        </w:tc>
      </w:tr>
      <w:tr w:rsidRPr="002F168A" w:rsidR="000F68B8" w:rsidTr="00921901" w14:paraId="18CD7B8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DF62BD3" w14:textId="3E49CB50">
            <w:pPr>
              <w:tabs>
                <w:tab w:val="decimal" w:pos="255"/>
              </w:tabs>
              <w:jc w:val="right"/>
            </w:pPr>
            <w:r w:rsidRPr="000F68B8">
              <w:rPr>
                <w:color w:val="000000"/>
              </w:rPr>
              <w:t xml:space="preserve">5.310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7FC3443" w14:textId="01F137CA">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16DDCDC" w14:textId="4DD773C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EBEBAAF" w14:textId="67950E6B">
            <w:pPr>
              <w:jc w:val="center"/>
            </w:pPr>
            <w:r w:rsidRPr="000F68B8">
              <w:rPr>
                <w:color w:val="000000"/>
              </w:rPr>
              <w:t>1/1/2025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60CD8D0" w14:textId="07D1C6FE">
            <w:pPr>
              <w:tabs>
                <w:tab w:val="decimal" w:pos="975"/>
              </w:tabs>
              <w:jc w:val="left"/>
            </w:pPr>
            <w:r w:rsidRPr="000F68B8">
              <w:rPr>
                <w:color w:val="000000"/>
              </w:rPr>
              <w:t xml:space="preserve">640,000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5E68C89" w14:textId="41D3AB68">
            <w:pPr>
              <w:tabs>
                <w:tab w:val="decimal" w:pos="1185"/>
              </w:tabs>
              <w:jc w:val="left"/>
            </w:pPr>
            <w:r w:rsidRPr="000F68B8">
              <w:rPr>
                <w:color w:val="000000"/>
              </w:rPr>
              <w:t xml:space="preserve">386,250,000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8AA500A" w14:textId="2771B857">
            <w:pPr>
              <w:tabs>
                <w:tab w:val="decimal" w:pos="330"/>
              </w:tabs>
              <w:jc w:val="left"/>
            </w:pPr>
            <w:r w:rsidRPr="000F68B8">
              <w:rPr>
                <w:color w:val="000000"/>
              </w:rPr>
              <w:t>24.639%</w:t>
            </w:r>
          </w:p>
        </w:tc>
      </w:tr>
      <w:tr w:rsidRPr="002F168A" w:rsidR="000F68B8" w:rsidTr="00921901" w14:paraId="4A64A20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E08D977" w14:textId="30098246">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48B6187" w14:textId="7D62CA12">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22953D6" w14:textId="21C1627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681D96A" w14:textId="146FB7AA">
            <w:pPr>
              <w:jc w:val="center"/>
            </w:pPr>
            <w:r w:rsidRPr="000F68B8">
              <w:rPr>
                <w:color w:val="000000"/>
              </w:rPr>
              <w:t>7/1/2025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E7E727B" w14:textId="352CC967">
            <w:pPr>
              <w:tabs>
                <w:tab w:val="decimal" w:pos="975"/>
              </w:tabs>
              <w:jc w:val="left"/>
            </w:pPr>
            <w:r w:rsidRPr="000F68B8">
              <w:rPr>
                <w:color w:val="000000"/>
              </w:rPr>
              <w:t xml:space="preserve">665,000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3FAA148" w14:textId="6C6C268C">
            <w:pPr>
              <w:tabs>
                <w:tab w:val="decimal" w:pos="1185"/>
              </w:tabs>
              <w:jc w:val="left"/>
            </w:pPr>
            <w:r w:rsidRPr="000F68B8">
              <w:rPr>
                <w:color w:val="000000"/>
              </w:rPr>
              <w:t xml:space="preserve">386,915,000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10A1216" w14:textId="00853614">
            <w:pPr>
              <w:tabs>
                <w:tab w:val="decimal" w:pos="330"/>
              </w:tabs>
              <w:jc w:val="left"/>
            </w:pPr>
            <w:r w:rsidRPr="000F68B8">
              <w:rPr>
                <w:color w:val="000000"/>
              </w:rPr>
              <w:t>24.681%</w:t>
            </w:r>
          </w:p>
        </w:tc>
      </w:tr>
      <w:tr w:rsidRPr="002F168A" w:rsidR="000F68B8" w:rsidTr="00921901" w14:paraId="0693A0A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1A967DA" w14:textId="1F4F6AE5">
            <w:pPr>
              <w:tabs>
                <w:tab w:val="decimal" w:pos="255"/>
              </w:tabs>
              <w:jc w:val="right"/>
            </w:pPr>
            <w:r w:rsidRPr="000F68B8">
              <w:rPr>
                <w:color w:val="000000"/>
              </w:rPr>
              <w:t xml:space="preserve">5.287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B01C03B" w14:textId="5A8B9F53">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D386D73" w14:textId="6AD1818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8CBC2B2" w14:textId="33903F28">
            <w:pPr>
              <w:jc w:val="center"/>
            </w:pPr>
            <w:r w:rsidRPr="000F68B8">
              <w:rPr>
                <w:color w:val="000000"/>
              </w:rPr>
              <w:t>1/1/2031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BF9127D" w14:textId="50CA28CA">
            <w:pPr>
              <w:tabs>
                <w:tab w:val="decimal" w:pos="975"/>
              </w:tabs>
              <w:jc w:val="left"/>
            </w:pPr>
            <w:r w:rsidRPr="000F68B8">
              <w:rPr>
                <w:color w:val="000000"/>
              </w:rPr>
              <w:t xml:space="preserve">1,285,000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D470792" w14:textId="6613ED75">
            <w:pPr>
              <w:tabs>
                <w:tab w:val="decimal" w:pos="1185"/>
              </w:tabs>
              <w:jc w:val="left"/>
            </w:pPr>
            <w:r w:rsidRPr="000F68B8">
              <w:rPr>
                <w:color w:val="000000"/>
              </w:rPr>
              <w:t xml:space="preserve">388,200,000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8FA54CB" w14:textId="5170672B">
            <w:pPr>
              <w:tabs>
                <w:tab w:val="decimal" w:pos="330"/>
              </w:tabs>
              <w:jc w:val="left"/>
            </w:pPr>
            <w:r w:rsidRPr="000F68B8">
              <w:rPr>
                <w:color w:val="000000"/>
              </w:rPr>
              <w:t>24.763%</w:t>
            </w:r>
          </w:p>
        </w:tc>
      </w:tr>
      <w:tr w:rsidRPr="002F168A" w:rsidR="000F68B8" w:rsidTr="00921901" w14:paraId="0C16FE26"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887D7C6" w14:textId="433E167B">
            <w:pPr>
              <w:tabs>
                <w:tab w:val="decimal" w:pos="255"/>
              </w:tabs>
              <w:jc w:val="right"/>
            </w:pPr>
            <w:r w:rsidRPr="000F68B8">
              <w:rPr>
                <w:color w:val="000000"/>
              </w:rPr>
              <w:t xml:space="preserve">5.286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E6DB958" w14:textId="00C56340">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26C4CD3" w14:textId="0C35E73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FCBE4AF" w14:textId="37974AE5">
            <w:pPr>
              <w:jc w:val="center"/>
            </w:pPr>
            <w:r w:rsidRPr="000F68B8">
              <w:rPr>
                <w:color w:val="000000"/>
              </w:rPr>
              <w:t>1/1/2030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C1109F5" w14:textId="26872E0E">
            <w:pPr>
              <w:tabs>
                <w:tab w:val="decimal" w:pos="975"/>
              </w:tabs>
              <w:jc w:val="left"/>
            </w:pPr>
            <w:r w:rsidRPr="000F68B8">
              <w:rPr>
                <w:color w:val="000000"/>
              </w:rPr>
              <w:t xml:space="preserve">915,000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4B7C390" w14:textId="05B7A861">
            <w:pPr>
              <w:tabs>
                <w:tab w:val="decimal" w:pos="1185"/>
              </w:tabs>
              <w:jc w:val="left"/>
            </w:pPr>
            <w:r w:rsidRPr="000F68B8">
              <w:rPr>
                <w:color w:val="000000"/>
              </w:rPr>
              <w:t xml:space="preserve">389,115,000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8D630B2" w14:textId="14F1CA0B">
            <w:pPr>
              <w:tabs>
                <w:tab w:val="decimal" w:pos="330"/>
              </w:tabs>
              <w:jc w:val="left"/>
            </w:pPr>
            <w:r w:rsidRPr="000F68B8">
              <w:rPr>
                <w:color w:val="000000"/>
              </w:rPr>
              <w:t>24.822%</w:t>
            </w:r>
          </w:p>
        </w:tc>
      </w:tr>
      <w:tr w:rsidRPr="002F168A" w:rsidR="000F68B8" w:rsidTr="00921901" w14:paraId="6F5532E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920B757" w14:textId="27A1038A">
            <w:pPr>
              <w:tabs>
                <w:tab w:val="decimal" w:pos="255"/>
              </w:tabs>
              <w:jc w:val="right"/>
            </w:pPr>
            <w:r w:rsidRPr="000F68B8">
              <w:rPr>
                <w:color w:val="000000"/>
              </w:rPr>
              <w:t xml:space="preserve">5.272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7268602" w14:textId="7591143F">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BEFC8CE" w14:textId="39B625F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8F744A8" w14:textId="0565E6F7">
            <w:pPr>
              <w:jc w:val="center"/>
            </w:pPr>
            <w:r w:rsidRPr="000F68B8">
              <w:rPr>
                <w:color w:val="000000"/>
              </w:rPr>
              <w:t>1/1/2031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1118EE4" w14:textId="6A04FF9A">
            <w:pPr>
              <w:tabs>
                <w:tab w:val="decimal" w:pos="975"/>
              </w:tabs>
              <w:jc w:val="left"/>
            </w:pPr>
            <w:r w:rsidRPr="000F68B8">
              <w:rPr>
                <w:color w:val="000000"/>
              </w:rPr>
              <w:t xml:space="preserve">980,000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9A37A98" w14:textId="7C86B5D3">
            <w:pPr>
              <w:tabs>
                <w:tab w:val="decimal" w:pos="1185"/>
              </w:tabs>
              <w:jc w:val="left"/>
            </w:pPr>
            <w:r w:rsidRPr="000F68B8">
              <w:rPr>
                <w:color w:val="000000"/>
              </w:rPr>
              <w:t xml:space="preserve">390,095,000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FA31B25" w14:textId="3B9E95F5">
            <w:pPr>
              <w:tabs>
                <w:tab w:val="decimal" w:pos="330"/>
              </w:tabs>
              <w:jc w:val="left"/>
            </w:pPr>
            <w:r w:rsidRPr="000F68B8">
              <w:rPr>
                <w:color w:val="000000"/>
              </w:rPr>
              <w:t>24.884%</w:t>
            </w:r>
          </w:p>
        </w:tc>
      </w:tr>
      <w:tr w:rsidRPr="002F168A" w:rsidR="000F68B8" w:rsidTr="00921901" w14:paraId="053D3D59"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28FC228" w14:textId="67119FDE">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0184F5F" w14:textId="1BEB092D">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FA9DD5B" w14:textId="223E487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29DD0D6" w14:textId="71347BDE">
            <w:pPr>
              <w:jc w:val="center"/>
            </w:pPr>
            <w:r w:rsidRPr="000F68B8">
              <w:rPr>
                <w:color w:val="000000"/>
              </w:rPr>
              <w:t>1/1/2025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B618758" w14:textId="5E0868A2">
            <w:pPr>
              <w:tabs>
                <w:tab w:val="decimal" w:pos="975"/>
              </w:tabs>
              <w:jc w:val="left"/>
            </w:pPr>
            <w:r w:rsidRPr="000F68B8">
              <w:rPr>
                <w:color w:val="000000"/>
              </w:rPr>
              <w:t xml:space="preserve">275,000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7922080" w14:textId="1C5DF91F">
            <w:pPr>
              <w:tabs>
                <w:tab w:val="decimal" w:pos="1185"/>
              </w:tabs>
              <w:jc w:val="left"/>
            </w:pPr>
            <w:r w:rsidRPr="000F68B8">
              <w:rPr>
                <w:color w:val="000000"/>
              </w:rPr>
              <w:t xml:space="preserve">390,370,000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BF586B3" w14:textId="62F920D5">
            <w:pPr>
              <w:tabs>
                <w:tab w:val="decimal" w:pos="330"/>
              </w:tabs>
              <w:jc w:val="left"/>
            </w:pPr>
            <w:r w:rsidRPr="000F68B8">
              <w:rPr>
                <w:color w:val="000000"/>
              </w:rPr>
              <w:t>24.902%</w:t>
            </w:r>
          </w:p>
        </w:tc>
      </w:tr>
      <w:tr w:rsidRPr="002F168A" w:rsidR="000F68B8" w:rsidTr="00921901" w14:paraId="78836D9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9673B47" w14:textId="691C2A10">
            <w:pPr>
              <w:tabs>
                <w:tab w:val="decimal" w:pos="255"/>
              </w:tabs>
              <w:jc w:val="right"/>
            </w:pPr>
            <w:r w:rsidRPr="000F68B8">
              <w:rPr>
                <w:color w:val="000000"/>
              </w:rPr>
              <w:t xml:space="preserve">5.256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859D242" w14:textId="00B23A78">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8E4020C" w14:textId="3216E10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E2F588D" w14:textId="3F23436D">
            <w:pPr>
              <w:jc w:val="center"/>
            </w:pPr>
            <w:r w:rsidRPr="000F68B8">
              <w:rPr>
                <w:color w:val="000000"/>
              </w:rPr>
              <w:t>7/1/2029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9652363" w14:textId="72D5A9CD">
            <w:pPr>
              <w:tabs>
                <w:tab w:val="decimal" w:pos="975"/>
              </w:tabs>
              <w:jc w:val="left"/>
            </w:pPr>
            <w:r w:rsidRPr="000F68B8">
              <w:rPr>
                <w:color w:val="000000"/>
              </w:rPr>
              <w:t xml:space="preserve">885,000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80B8B12" w14:textId="748936E8">
            <w:pPr>
              <w:tabs>
                <w:tab w:val="decimal" w:pos="1185"/>
              </w:tabs>
              <w:jc w:val="left"/>
            </w:pPr>
            <w:r w:rsidRPr="000F68B8">
              <w:rPr>
                <w:color w:val="000000"/>
              </w:rPr>
              <w:t xml:space="preserve">391,255,000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DE2FFFE" w14:textId="2579FCDB">
            <w:pPr>
              <w:tabs>
                <w:tab w:val="decimal" w:pos="330"/>
              </w:tabs>
              <w:jc w:val="left"/>
            </w:pPr>
            <w:r w:rsidRPr="000F68B8">
              <w:rPr>
                <w:color w:val="000000"/>
              </w:rPr>
              <w:t>24.958%</w:t>
            </w:r>
          </w:p>
        </w:tc>
      </w:tr>
      <w:tr w:rsidRPr="002F168A" w:rsidR="000F68B8" w:rsidTr="00921901" w14:paraId="343AD2E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50F39A7" w14:textId="5FD75F69">
            <w:pPr>
              <w:tabs>
                <w:tab w:val="decimal" w:pos="255"/>
              </w:tabs>
              <w:jc w:val="right"/>
            </w:pPr>
            <w:r w:rsidRPr="000F68B8">
              <w:rPr>
                <w:color w:val="000000"/>
              </w:rPr>
              <w:t xml:space="preserve">5.252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4239DC1" w14:textId="696F4708">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5679FAC" w14:textId="00E4CFA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36569EA" w14:textId="6059F98F">
            <w:pPr>
              <w:jc w:val="center"/>
            </w:pPr>
            <w:r w:rsidRPr="000F68B8">
              <w:rPr>
                <w:color w:val="000000"/>
              </w:rPr>
              <w:t>7/1/2033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49D2D72" w14:textId="27DAB000">
            <w:pPr>
              <w:tabs>
                <w:tab w:val="decimal" w:pos="975"/>
              </w:tabs>
              <w:jc w:val="left"/>
            </w:pPr>
            <w:r w:rsidRPr="000F68B8">
              <w:rPr>
                <w:color w:val="000000"/>
              </w:rPr>
              <w:t xml:space="preserve">855,000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CE5366B" w14:textId="653C3414">
            <w:pPr>
              <w:tabs>
                <w:tab w:val="decimal" w:pos="1185"/>
              </w:tabs>
              <w:jc w:val="left"/>
            </w:pPr>
            <w:r w:rsidRPr="000F68B8">
              <w:rPr>
                <w:color w:val="000000"/>
              </w:rPr>
              <w:t xml:space="preserve">392,110,000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0659610" w14:textId="41BA17CC">
            <w:pPr>
              <w:tabs>
                <w:tab w:val="decimal" w:pos="330"/>
              </w:tabs>
              <w:jc w:val="left"/>
            </w:pPr>
            <w:r w:rsidRPr="000F68B8">
              <w:rPr>
                <w:color w:val="000000"/>
              </w:rPr>
              <w:t>25.013%</w:t>
            </w:r>
          </w:p>
        </w:tc>
      </w:tr>
      <w:tr w:rsidRPr="002F168A" w:rsidR="000F68B8" w:rsidTr="00921901" w14:paraId="62AE94A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FBADC9C" w14:textId="560EC049">
            <w:pPr>
              <w:tabs>
                <w:tab w:val="decimal" w:pos="255"/>
              </w:tabs>
              <w:jc w:val="right"/>
            </w:pPr>
            <w:r w:rsidRPr="000F68B8">
              <w:rPr>
                <w:color w:val="000000"/>
              </w:rPr>
              <w:t xml:space="preserve">5.237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EAE38F1" w14:textId="6E87C40A">
            <w:pPr>
              <w:jc w:val="left"/>
            </w:pPr>
            <w:r w:rsidRPr="000F68B8">
              <w:rPr>
                <w:color w:val="000000"/>
              </w:rPr>
              <w:t>2024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CCB6173" w14:textId="4826A89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16641D4" w14:textId="6937B0D1">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AF86609" w14:textId="06F34C7D">
            <w:pPr>
              <w:tabs>
                <w:tab w:val="decimal" w:pos="975"/>
              </w:tabs>
              <w:jc w:val="left"/>
            </w:pPr>
            <w:r w:rsidRPr="000F68B8">
              <w:rPr>
                <w:color w:val="000000"/>
              </w:rPr>
              <w:t xml:space="preserve">1,250,000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66F6992" w14:textId="6A57FDE2">
            <w:pPr>
              <w:tabs>
                <w:tab w:val="decimal" w:pos="1185"/>
              </w:tabs>
              <w:jc w:val="left"/>
            </w:pPr>
            <w:r w:rsidRPr="000F68B8">
              <w:rPr>
                <w:color w:val="000000"/>
              </w:rPr>
              <w:t xml:space="preserve">393,360,000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B31DB16" w14:textId="1140FD5A">
            <w:pPr>
              <w:tabs>
                <w:tab w:val="decimal" w:pos="330"/>
              </w:tabs>
              <w:jc w:val="left"/>
            </w:pPr>
            <w:r w:rsidRPr="000F68B8">
              <w:rPr>
                <w:color w:val="000000"/>
              </w:rPr>
              <w:t>25.092%</w:t>
            </w:r>
          </w:p>
        </w:tc>
      </w:tr>
      <w:tr w:rsidRPr="002F168A" w:rsidR="000F68B8" w:rsidTr="00921901" w14:paraId="3BDE1F1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E8AF888" w14:textId="3179ECCD">
            <w:pPr>
              <w:tabs>
                <w:tab w:val="decimal" w:pos="255"/>
              </w:tabs>
              <w:jc w:val="right"/>
            </w:pPr>
            <w:r w:rsidRPr="000F68B8">
              <w:rPr>
                <w:color w:val="000000"/>
              </w:rPr>
              <w:t xml:space="preserve">5.236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46D5605" w14:textId="52BB16FA">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189C4C6" w14:textId="74A002E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D4EBA4B" w14:textId="171AC802">
            <w:pPr>
              <w:jc w:val="center"/>
            </w:pPr>
            <w:r w:rsidRPr="000F68B8">
              <w:rPr>
                <w:color w:val="000000"/>
              </w:rPr>
              <w:t>7/1/2038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04DAB56" w14:textId="233D6333">
            <w:pPr>
              <w:tabs>
                <w:tab w:val="decimal" w:pos="975"/>
              </w:tabs>
              <w:jc w:val="left"/>
            </w:pPr>
            <w:r w:rsidRPr="000F68B8">
              <w:rPr>
                <w:color w:val="000000"/>
              </w:rPr>
              <w:t xml:space="preserve">2,720,000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EB2BEC9" w14:textId="50C7CB2A">
            <w:pPr>
              <w:tabs>
                <w:tab w:val="decimal" w:pos="1185"/>
              </w:tabs>
              <w:jc w:val="left"/>
            </w:pPr>
            <w:r w:rsidRPr="000F68B8">
              <w:rPr>
                <w:color w:val="000000"/>
              </w:rPr>
              <w:t xml:space="preserve">396,080,000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A4DF5DF" w14:textId="211BF7EF">
            <w:pPr>
              <w:tabs>
                <w:tab w:val="decimal" w:pos="330"/>
              </w:tabs>
              <w:jc w:val="left"/>
            </w:pPr>
            <w:r w:rsidRPr="000F68B8">
              <w:rPr>
                <w:color w:val="000000"/>
              </w:rPr>
              <w:t>25.266%</w:t>
            </w:r>
          </w:p>
        </w:tc>
      </w:tr>
      <w:tr w:rsidRPr="002F168A" w:rsidR="000F68B8" w:rsidTr="00921901" w14:paraId="1AF28D0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35C70BA" w14:textId="5E6A48F2">
            <w:pPr>
              <w:tabs>
                <w:tab w:val="decimal" w:pos="255"/>
              </w:tabs>
              <w:jc w:val="right"/>
            </w:pPr>
            <w:r w:rsidRPr="000F68B8">
              <w:rPr>
                <w:color w:val="000000"/>
              </w:rPr>
              <w:t xml:space="preserve">5.216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C5D7D91" w14:textId="732492EB">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9A6F007" w14:textId="56E08FA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45319E8" w14:textId="01D53E07">
            <w:pPr>
              <w:jc w:val="center"/>
            </w:pPr>
            <w:r w:rsidRPr="000F68B8">
              <w:rPr>
                <w:color w:val="000000"/>
              </w:rPr>
              <w:t>7/1/2033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3159932" w14:textId="2BCD3E6B">
            <w:pPr>
              <w:tabs>
                <w:tab w:val="decimal" w:pos="975"/>
              </w:tabs>
              <w:jc w:val="left"/>
            </w:pPr>
            <w:r w:rsidRPr="000F68B8">
              <w:rPr>
                <w:color w:val="000000"/>
              </w:rPr>
              <w:t xml:space="preserve">225,000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EA2EAAF" w14:textId="69889206">
            <w:pPr>
              <w:tabs>
                <w:tab w:val="decimal" w:pos="1185"/>
              </w:tabs>
              <w:jc w:val="left"/>
            </w:pPr>
            <w:r w:rsidRPr="000F68B8">
              <w:rPr>
                <w:color w:val="000000"/>
              </w:rPr>
              <w:t xml:space="preserve">396,305,000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B11F50C" w14:textId="1EF06401">
            <w:pPr>
              <w:tabs>
                <w:tab w:val="decimal" w:pos="330"/>
              </w:tabs>
              <w:jc w:val="left"/>
            </w:pPr>
            <w:r w:rsidRPr="000F68B8">
              <w:rPr>
                <w:color w:val="000000"/>
              </w:rPr>
              <w:t>25.280%</w:t>
            </w:r>
          </w:p>
        </w:tc>
      </w:tr>
      <w:tr w:rsidRPr="002F168A" w:rsidR="000F68B8" w:rsidTr="00921901" w14:paraId="36F6933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619EE55" w14:textId="174B8A64">
            <w:pPr>
              <w:tabs>
                <w:tab w:val="decimal" w:pos="255"/>
              </w:tabs>
              <w:jc w:val="right"/>
            </w:pPr>
            <w:r w:rsidRPr="000F68B8">
              <w:rPr>
                <w:color w:val="000000"/>
              </w:rPr>
              <w:t xml:space="preserve">5.215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BD91F14" w14:textId="74D9699E">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38A00D5" w14:textId="3F46B8A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04EB88F" w14:textId="1A9D810C">
            <w:pPr>
              <w:jc w:val="center"/>
            </w:pPr>
            <w:r w:rsidRPr="000F68B8">
              <w:rPr>
                <w:color w:val="000000"/>
              </w:rPr>
              <w:t>7/1/2028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70AFCDF" w14:textId="185A2A70">
            <w:pPr>
              <w:tabs>
                <w:tab w:val="decimal" w:pos="975"/>
              </w:tabs>
              <w:jc w:val="left"/>
            </w:pPr>
            <w:r w:rsidRPr="000F68B8">
              <w:rPr>
                <w:color w:val="000000"/>
              </w:rPr>
              <w:t xml:space="preserve">825,000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B93D653" w14:textId="5DB003E4">
            <w:pPr>
              <w:tabs>
                <w:tab w:val="decimal" w:pos="1185"/>
              </w:tabs>
              <w:jc w:val="left"/>
            </w:pPr>
            <w:r w:rsidRPr="000F68B8">
              <w:rPr>
                <w:color w:val="000000"/>
              </w:rPr>
              <w:t xml:space="preserve">397,130,000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191F1D0" w14:textId="3C9129E0">
            <w:pPr>
              <w:tabs>
                <w:tab w:val="decimal" w:pos="330"/>
              </w:tabs>
              <w:jc w:val="left"/>
            </w:pPr>
            <w:r w:rsidRPr="000F68B8">
              <w:rPr>
                <w:color w:val="000000"/>
              </w:rPr>
              <w:t>25.333%</w:t>
            </w:r>
          </w:p>
        </w:tc>
      </w:tr>
      <w:tr w:rsidRPr="002F168A" w:rsidR="000F68B8" w:rsidTr="00921901" w14:paraId="69F4CD3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C7AE9AB" w14:textId="17540744">
            <w:pPr>
              <w:tabs>
                <w:tab w:val="decimal" w:pos="255"/>
              </w:tabs>
              <w:jc w:val="right"/>
            </w:pPr>
            <w:r w:rsidRPr="000F68B8">
              <w:rPr>
                <w:color w:val="000000"/>
              </w:rPr>
              <w:t xml:space="preserve">5.206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263178C" w14:textId="00ED14AA">
            <w:pPr>
              <w:jc w:val="left"/>
            </w:pPr>
            <w:r w:rsidRPr="000F68B8">
              <w:rPr>
                <w:color w:val="000000"/>
              </w:rPr>
              <w:t>2023 SERIES C-2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E8B01D8" w14:textId="361EBF0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5D286DA" w14:textId="02801770">
            <w:pPr>
              <w:jc w:val="center"/>
            </w:pPr>
            <w:r w:rsidRPr="000F68B8">
              <w:rPr>
                <w:color w:val="000000"/>
              </w:rPr>
              <w:t>1/1/2029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88C1956" w14:textId="356CF316">
            <w:pPr>
              <w:tabs>
                <w:tab w:val="decimal" w:pos="975"/>
              </w:tabs>
              <w:jc w:val="left"/>
            </w:pPr>
            <w:r w:rsidRPr="000F68B8">
              <w:rPr>
                <w:color w:val="000000"/>
              </w:rPr>
              <w:t xml:space="preserve">850,000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1B4BE4D" w14:textId="022F9370">
            <w:pPr>
              <w:tabs>
                <w:tab w:val="decimal" w:pos="1185"/>
              </w:tabs>
              <w:jc w:val="left"/>
            </w:pPr>
            <w:r w:rsidRPr="000F68B8">
              <w:rPr>
                <w:color w:val="000000"/>
              </w:rPr>
              <w:t xml:space="preserve">397,980,000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DF56372" w14:textId="2D79F205">
            <w:pPr>
              <w:tabs>
                <w:tab w:val="decimal" w:pos="330"/>
              </w:tabs>
              <w:jc w:val="left"/>
            </w:pPr>
            <w:r w:rsidRPr="000F68B8">
              <w:rPr>
                <w:color w:val="000000"/>
              </w:rPr>
              <w:t>25.387%</w:t>
            </w:r>
          </w:p>
        </w:tc>
      </w:tr>
      <w:tr w:rsidRPr="002F168A" w:rsidR="000F68B8" w:rsidTr="00921901" w14:paraId="1E21DDB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F72087A" w14:textId="6E52277F">
            <w:pPr>
              <w:tabs>
                <w:tab w:val="decimal" w:pos="255"/>
              </w:tabs>
              <w:jc w:val="right"/>
            </w:pPr>
            <w:r w:rsidRPr="000F68B8">
              <w:rPr>
                <w:color w:val="000000"/>
              </w:rPr>
              <w:t xml:space="preserve">5.202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4BC2B6E" w14:textId="519070B3">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1DADF39" w14:textId="59E4F47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4B25365" w14:textId="03B8CF37">
            <w:pPr>
              <w:jc w:val="center"/>
            </w:pPr>
            <w:r w:rsidRPr="000F68B8">
              <w:rPr>
                <w:color w:val="000000"/>
              </w:rPr>
              <w:t>1/1/2033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835FA52" w14:textId="5882DA66">
            <w:pPr>
              <w:tabs>
                <w:tab w:val="decimal" w:pos="975"/>
              </w:tabs>
              <w:jc w:val="left"/>
            </w:pPr>
            <w:r w:rsidRPr="000F68B8">
              <w:rPr>
                <w:color w:val="000000"/>
              </w:rPr>
              <w:t xml:space="preserve">1,035,000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9D0F135" w14:textId="60E92973">
            <w:pPr>
              <w:tabs>
                <w:tab w:val="decimal" w:pos="1185"/>
              </w:tabs>
              <w:jc w:val="left"/>
            </w:pPr>
            <w:r w:rsidRPr="000F68B8">
              <w:rPr>
                <w:color w:val="000000"/>
              </w:rPr>
              <w:t xml:space="preserve">399,015,000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FC25ACA" w14:textId="39DA47E2">
            <w:pPr>
              <w:tabs>
                <w:tab w:val="decimal" w:pos="330"/>
              </w:tabs>
              <w:jc w:val="left"/>
            </w:pPr>
            <w:r w:rsidRPr="000F68B8">
              <w:rPr>
                <w:color w:val="000000"/>
              </w:rPr>
              <w:t>25.453%</w:t>
            </w:r>
          </w:p>
        </w:tc>
      </w:tr>
      <w:tr w:rsidRPr="002F168A" w:rsidR="000F68B8" w:rsidTr="00921901" w14:paraId="04F76E20"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4C3A346" w14:textId="60C22D58">
            <w:pPr>
              <w:tabs>
                <w:tab w:val="decimal" w:pos="255"/>
              </w:tabs>
              <w:jc w:val="right"/>
            </w:pPr>
            <w:r w:rsidRPr="000F68B8">
              <w:rPr>
                <w:color w:val="000000"/>
              </w:rPr>
              <w:t xml:space="preserve">5.200 </w:t>
            </w:r>
          </w:p>
        </w:tc>
        <w:tc>
          <w:tcPr>
            <w:tcW w:w="1820" w:type="dxa"/>
            <w:tcBorders>
              <w:top w:val="nil"/>
              <w:left w:val="nil"/>
              <w:bottom w:val="nil"/>
              <w:right w:val="nil"/>
            </w:tcBorders>
            <w:shd w:val="clear" w:color="auto" w:fill="auto"/>
            <w:noWrap/>
            <w:vAlign w:val="bottom"/>
          </w:tcPr>
          <w:p w:rsidRPr="000F68B8" w:rsidR="000F68B8" w:rsidP="000F68B8" w:rsidRDefault="000F68B8" w14:paraId="005B89A1" w14:textId="2D407089">
            <w:pPr>
              <w:jc w:val="left"/>
            </w:pPr>
            <w:r w:rsidRPr="000F68B8">
              <w:rPr>
                <w:color w:val="000000"/>
              </w:rPr>
              <w:t>2023 SERIES D-1</w:t>
            </w:r>
          </w:p>
        </w:tc>
        <w:tc>
          <w:tcPr>
            <w:tcW w:w="1360" w:type="dxa"/>
            <w:tcBorders>
              <w:top w:val="nil"/>
              <w:left w:val="nil"/>
              <w:bottom w:val="nil"/>
              <w:right w:val="nil"/>
            </w:tcBorders>
            <w:shd w:val="clear" w:color="auto" w:fill="auto"/>
            <w:noWrap/>
            <w:vAlign w:val="bottom"/>
          </w:tcPr>
          <w:p w:rsidRPr="000F68B8" w:rsidR="000F68B8" w:rsidP="000F68B8" w:rsidRDefault="000F68B8" w14:paraId="52BB86C1" w14:textId="3F826EF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F2D8CD4" w14:textId="63F22186">
            <w:pPr>
              <w:jc w:val="center"/>
            </w:pPr>
            <w:r w:rsidRPr="000F68B8">
              <w:rPr>
                <w:color w:val="000000"/>
              </w:rPr>
              <w:t>7/1/2053</w:t>
            </w:r>
          </w:p>
        </w:tc>
        <w:tc>
          <w:tcPr>
            <w:tcW w:w="1220" w:type="dxa"/>
            <w:tcBorders>
              <w:top w:val="nil"/>
              <w:left w:val="nil"/>
              <w:bottom w:val="nil"/>
              <w:right w:val="nil"/>
            </w:tcBorders>
            <w:shd w:val="clear" w:color="auto" w:fill="auto"/>
            <w:noWrap/>
            <w:vAlign w:val="bottom"/>
          </w:tcPr>
          <w:p w:rsidRPr="000F68B8" w:rsidR="000F68B8" w:rsidP="000F68B8" w:rsidRDefault="000F68B8" w14:paraId="11808CC4" w14:textId="6BE7FFDC">
            <w:pPr>
              <w:tabs>
                <w:tab w:val="decimal" w:pos="975"/>
              </w:tabs>
              <w:jc w:val="left"/>
            </w:pPr>
            <w:r w:rsidRPr="000F68B8">
              <w:rPr>
                <w:color w:val="000000"/>
              </w:rPr>
              <w:t xml:space="preserve">32,105,000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BA4F67A" w14:textId="3E4F8805">
            <w:pPr>
              <w:tabs>
                <w:tab w:val="decimal" w:pos="1185"/>
              </w:tabs>
              <w:jc w:val="left"/>
            </w:pPr>
            <w:r w:rsidRPr="000F68B8">
              <w:rPr>
                <w:color w:val="000000"/>
              </w:rPr>
              <w:t xml:space="preserve">431,120,000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2904D6F" w14:textId="06047635">
            <w:pPr>
              <w:tabs>
                <w:tab w:val="decimal" w:pos="330"/>
              </w:tabs>
              <w:jc w:val="left"/>
            </w:pPr>
            <w:r w:rsidRPr="000F68B8">
              <w:rPr>
                <w:color w:val="000000"/>
              </w:rPr>
              <w:t>27.501%</w:t>
            </w:r>
          </w:p>
        </w:tc>
      </w:tr>
      <w:tr w:rsidRPr="002F168A" w:rsidR="000F68B8" w:rsidTr="00921901" w14:paraId="6D18803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56031B8" w14:textId="14526CB4">
            <w:pPr>
              <w:tabs>
                <w:tab w:val="decimal" w:pos="255"/>
              </w:tabs>
              <w:jc w:val="right"/>
            </w:pPr>
            <w:r w:rsidRPr="000F68B8">
              <w:rPr>
                <w:color w:val="000000"/>
              </w:rPr>
              <w:t xml:space="preserve">5.187 </w:t>
            </w:r>
          </w:p>
        </w:tc>
        <w:tc>
          <w:tcPr>
            <w:tcW w:w="1820" w:type="dxa"/>
            <w:tcBorders>
              <w:top w:val="nil"/>
              <w:left w:val="nil"/>
              <w:bottom w:val="nil"/>
              <w:right w:val="nil"/>
            </w:tcBorders>
            <w:shd w:val="clear" w:color="auto" w:fill="auto"/>
            <w:noWrap/>
            <w:vAlign w:val="bottom"/>
          </w:tcPr>
          <w:p w:rsidRPr="000F68B8" w:rsidR="000F68B8" w:rsidP="000F68B8" w:rsidRDefault="000F68B8" w14:paraId="46602527" w14:textId="1C2A1056">
            <w:pPr>
              <w:jc w:val="left"/>
            </w:pPr>
            <w:r w:rsidRPr="000F68B8">
              <w:rPr>
                <w:color w:val="000000"/>
              </w:rPr>
              <w:t>2024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717E23AE" w14:textId="09E8B4E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F2BB43D" w14:textId="5AFCF73C">
            <w:pPr>
              <w:jc w:val="center"/>
            </w:pPr>
            <w:r w:rsidRPr="000F68B8">
              <w:rPr>
                <w:color w:val="000000"/>
              </w:rPr>
              <w:t>1/1/2030</w:t>
            </w:r>
          </w:p>
        </w:tc>
        <w:tc>
          <w:tcPr>
            <w:tcW w:w="1220" w:type="dxa"/>
            <w:tcBorders>
              <w:top w:val="nil"/>
              <w:left w:val="nil"/>
              <w:bottom w:val="nil"/>
              <w:right w:val="nil"/>
            </w:tcBorders>
            <w:shd w:val="clear" w:color="auto" w:fill="auto"/>
            <w:noWrap/>
            <w:vAlign w:val="bottom"/>
          </w:tcPr>
          <w:p w:rsidRPr="000F68B8" w:rsidR="000F68B8" w:rsidP="000F68B8" w:rsidRDefault="000F68B8" w14:paraId="1AAE3C8A" w14:textId="0C21ED47">
            <w:pPr>
              <w:tabs>
                <w:tab w:val="decimal" w:pos="975"/>
              </w:tabs>
              <w:jc w:val="left"/>
            </w:pPr>
            <w:r w:rsidRPr="000F68B8">
              <w:rPr>
                <w:color w:val="000000"/>
              </w:rPr>
              <w:t xml:space="preserve">1,220,000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9552C56" w14:textId="0C987EE2">
            <w:pPr>
              <w:tabs>
                <w:tab w:val="decimal" w:pos="1185"/>
              </w:tabs>
              <w:jc w:val="left"/>
            </w:pPr>
            <w:r w:rsidRPr="000F68B8">
              <w:rPr>
                <w:color w:val="000000"/>
              </w:rPr>
              <w:t xml:space="preserve">432,340,000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392AD8B" w14:textId="74377F35">
            <w:pPr>
              <w:tabs>
                <w:tab w:val="decimal" w:pos="330"/>
              </w:tabs>
              <w:jc w:val="left"/>
            </w:pPr>
            <w:r w:rsidRPr="000F68B8">
              <w:rPr>
                <w:color w:val="000000"/>
              </w:rPr>
              <w:t>27.579%</w:t>
            </w:r>
          </w:p>
        </w:tc>
      </w:tr>
      <w:tr w:rsidRPr="002F168A" w:rsidR="000F68B8" w:rsidTr="00921901" w14:paraId="6D319CC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9DF1008" w14:textId="3920DFCD">
            <w:pPr>
              <w:tabs>
                <w:tab w:val="decimal" w:pos="255"/>
              </w:tabs>
              <w:jc w:val="right"/>
            </w:pPr>
            <w:r w:rsidRPr="000F68B8">
              <w:rPr>
                <w:color w:val="000000"/>
              </w:rPr>
              <w:t xml:space="preserve">5.176 </w:t>
            </w:r>
          </w:p>
        </w:tc>
        <w:tc>
          <w:tcPr>
            <w:tcW w:w="1820" w:type="dxa"/>
            <w:tcBorders>
              <w:top w:val="nil"/>
              <w:left w:val="nil"/>
              <w:bottom w:val="nil"/>
              <w:right w:val="nil"/>
            </w:tcBorders>
            <w:shd w:val="clear" w:color="auto" w:fill="auto"/>
            <w:noWrap/>
            <w:vAlign w:val="bottom"/>
          </w:tcPr>
          <w:p w:rsidRPr="000F68B8" w:rsidR="000F68B8" w:rsidP="000F68B8" w:rsidRDefault="000F68B8" w14:paraId="7D76F83E" w14:textId="14C1818C">
            <w:pPr>
              <w:jc w:val="left"/>
            </w:pPr>
            <w:r w:rsidRPr="000F68B8">
              <w:rPr>
                <w:color w:val="000000"/>
              </w:rPr>
              <w:t>2023 SERIES A-2</w:t>
            </w:r>
          </w:p>
        </w:tc>
        <w:tc>
          <w:tcPr>
            <w:tcW w:w="1360" w:type="dxa"/>
            <w:tcBorders>
              <w:top w:val="nil"/>
              <w:left w:val="nil"/>
              <w:bottom w:val="nil"/>
              <w:right w:val="nil"/>
            </w:tcBorders>
            <w:shd w:val="clear" w:color="auto" w:fill="auto"/>
            <w:noWrap/>
            <w:vAlign w:val="bottom"/>
          </w:tcPr>
          <w:p w:rsidRPr="000F68B8" w:rsidR="000F68B8" w:rsidP="000F68B8" w:rsidRDefault="000F68B8" w14:paraId="581E4DBF" w14:textId="3F6FF4D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D996F88" w14:textId="35A59EC6">
            <w:pPr>
              <w:jc w:val="center"/>
            </w:pPr>
            <w:r w:rsidRPr="000F68B8">
              <w:rPr>
                <w:color w:val="000000"/>
              </w:rPr>
              <w:t>1/1/2033</w:t>
            </w:r>
          </w:p>
        </w:tc>
        <w:tc>
          <w:tcPr>
            <w:tcW w:w="1220" w:type="dxa"/>
            <w:tcBorders>
              <w:top w:val="nil"/>
              <w:left w:val="nil"/>
              <w:bottom w:val="nil"/>
              <w:right w:val="nil"/>
            </w:tcBorders>
            <w:shd w:val="clear" w:color="auto" w:fill="auto"/>
            <w:noWrap/>
            <w:vAlign w:val="bottom"/>
          </w:tcPr>
          <w:p w:rsidRPr="000F68B8" w:rsidR="000F68B8" w:rsidP="000F68B8" w:rsidRDefault="000F68B8" w14:paraId="22587166" w14:textId="51485F85">
            <w:pPr>
              <w:tabs>
                <w:tab w:val="decimal" w:pos="975"/>
              </w:tabs>
              <w:jc w:val="left"/>
            </w:pPr>
            <w:r w:rsidRPr="000F68B8">
              <w:rPr>
                <w:color w:val="000000"/>
              </w:rPr>
              <w:t xml:space="preserve">865,000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6032A5A" w14:textId="60854CBA">
            <w:pPr>
              <w:tabs>
                <w:tab w:val="decimal" w:pos="1185"/>
              </w:tabs>
              <w:jc w:val="left"/>
            </w:pPr>
            <w:r w:rsidRPr="000F68B8">
              <w:rPr>
                <w:color w:val="000000"/>
              </w:rPr>
              <w:t xml:space="preserve">433,205,000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27C7F6F" w14:textId="1017F7B0">
            <w:pPr>
              <w:tabs>
                <w:tab w:val="decimal" w:pos="330"/>
              </w:tabs>
              <w:jc w:val="left"/>
            </w:pPr>
            <w:r w:rsidRPr="000F68B8">
              <w:rPr>
                <w:color w:val="000000"/>
              </w:rPr>
              <w:t>27.634%</w:t>
            </w:r>
          </w:p>
        </w:tc>
      </w:tr>
      <w:tr w:rsidRPr="002F168A" w:rsidR="000F68B8" w:rsidTr="00921901" w14:paraId="0BBAC2C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399C62D" w14:textId="3D368DF8">
            <w:pPr>
              <w:tabs>
                <w:tab w:val="decimal" w:pos="255"/>
              </w:tabs>
              <w:jc w:val="right"/>
            </w:pPr>
            <w:r w:rsidRPr="000F68B8">
              <w:rPr>
                <w:color w:val="000000"/>
              </w:rPr>
              <w:t xml:space="preserve">5.175 </w:t>
            </w:r>
          </w:p>
        </w:tc>
        <w:tc>
          <w:tcPr>
            <w:tcW w:w="1820" w:type="dxa"/>
            <w:tcBorders>
              <w:top w:val="nil"/>
              <w:left w:val="nil"/>
              <w:bottom w:val="nil"/>
              <w:right w:val="nil"/>
            </w:tcBorders>
            <w:shd w:val="clear" w:color="auto" w:fill="auto"/>
            <w:noWrap/>
            <w:vAlign w:val="bottom"/>
          </w:tcPr>
          <w:p w:rsidRPr="000F68B8" w:rsidR="000F68B8" w:rsidP="000F68B8" w:rsidRDefault="000F68B8" w14:paraId="0D5457A9" w14:textId="5E938437">
            <w:pPr>
              <w:jc w:val="left"/>
            </w:pPr>
            <w:r w:rsidRPr="000F68B8">
              <w:rPr>
                <w:color w:val="000000"/>
              </w:rPr>
              <w:t>2023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77B3A16B" w14:textId="451041B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1447A76" w14:textId="2DC8F3F0">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7B1ACC9E" w14:textId="74DD6C7C">
            <w:pPr>
              <w:tabs>
                <w:tab w:val="decimal" w:pos="975"/>
              </w:tabs>
              <w:jc w:val="left"/>
            </w:pPr>
            <w:r w:rsidRPr="000F68B8">
              <w:rPr>
                <w:color w:val="000000"/>
              </w:rPr>
              <w:t xml:space="preserve">795,000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E28BBBD" w14:textId="6D97C6FB">
            <w:pPr>
              <w:tabs>
                <w:tab w:val="decimal" w:pos="1185"/>
              </w:tabs>
              <w:jc w:val="left"/>
            </w:pPr>
            <w:r w:rsidRPr="000F68B8">
              <w:rPr>
                <w:color w:val="000000"/>
              </w:rPr>
              <w:t xml:space="preserve">434,000,000 </w:t>
            </w:r>
          </w:p>
        </w:tc>
        <w:tc>
          <w:tcPr>
            <w:tcW w:w="1160" w:type="dxa"/>
            <w:tcBorders>
              <w:top w:val="nil"/>
              <w:left w:val="nil"/>
              <w:bottom w:val="nil"/>
              <w:right w:val="nil"/>
            </w:tcBorders>
            <w:shd w:val="clear" w:color="auto" w:fill="auto"/>
            <w:noWrap/>
            <w:vAlign w:val="bottom"/>
          </w:tcPr>
          <w:p w:rsidRPr="000F68B8" w:rsidR="000F68B8" w:rsidP="000F68B8" w:rsidRDefault="000F68B8" w14:paraId="0BB722B2" w14:textId="0285CFEA">
            <w:pPr>
              <w:tabs>
                <w:tab w:val="decimal" w:pos="330"/>
              </w:tabs>
              <w:jc w:val="left"/>
            </w:pPr>
            <w:r w:rsidRPr="000F68B8">
              <w:rPr>
                <w:color w:val="000000"/>
              </w:rPr>
              <w:t>27.685%</w:t>
            </w:r>
          </w:p>
        </w:tc>
      </w:tr>
      <w:tr w:rsidRPr="002F168A" w:rsidR="000F68B8" w:rsidTr="00921901" w14:paraId="162060EF"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F0EE676" w14:textId="70F13C68">
            <w:pPr>
              <w:tabs>
                <w:tab w:val="decimal" w:pos="255"/>
              </w:tabs>
              <w:jc w:val="right"/>
            </w:pPr>
            <w:r w:rsidRPr="000F68B8">
              <w:rPr>
                <w:color w:val="000000"/>
              </w:rPr>
              <w:t xml:space="preserve">5.172 </w:t>
            </w:r>
          </w:p>
        </w:tc>
        <w:tc>
          <w:tcPr>
            <w:tcW w:w="1820" w:type="dxa"/>
            <w:tcBorders>
              <w:top w:val="nil"/>
              <w:left w:val="nil"/>
              <w:bottom w:val="nil"/>
              <w:right w:val="nil"/>
            </w:tcBorders>
            <w:shd w:val="clear" w:color="auto" w:fill="auto"/>
            <w:noWrap/>
            <w:vAlign w:val="bottom"/>
          </w:tcPr>
          <w:p w:rsidRPr="000F68B8" w:rsidR="000F68B8" w:rsidP="000F68B8" w:rsidRDefault="000F68B8" w14:paraId="19AC02C7" w14:textId="5C442033">
            <w:pPr>
              <w:jc w:val="left"/>
            </w:pPr>
            <w:r w:rsidRPr="000F68B8">
              <w:rPr>
                <w:color w:val="000000"/>
              </w:rPr>
              <w:t>2024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76F351D3" w14:textId="1BB67F2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F96FB11" w14:textId="11430825">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0E2ABF47" w14:textId="72B987C9">
            <w:pPr>
              <w:tabs>
                <w:tab w:val="decimal" w:pos="975"/>
              </w:tabs>
              <w:jc w:val="left"/>
            </w:pPr>
            <w:r w:rsidRPr="000F68B8">
              <w:rPr>
                <w:color w:val="000000"/>
              </w:rPr>
              <w:t xml:space="preserve">640,000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8F8C343" w14:textId="529B2CEB">
            <w:pPr>
              <w:tabs>
                <w:tab w:val="decimal" w:pos="1185"/>
              </w:tabs>
              <w:jc w:val="left"/>
            </w:pPr>
            <w:r w:rsidRPr="000F68B8">
              <w:rPr>
                <w:color w:val="000000"/>
              </w:rPr>
              <w:t xml:space="preserve">434,640,000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A67AB39" w14:textId="62860797">
            <w:pPr>
              <w:tabs>
                <w:tab w:val="decimal" w:pos="330"/>
              </w:tabs>
              <w:jc w:val="left"/>
            </w:pPr>
            <w:r w:rsidRPr="000F68B8">
              <w:rPr>
                <w:color w:val="000000"/>
              </w:rPr>
              <w:t>27.726%</w:t>
            </w:r>
          </w:p>
        </w:tc>
      </w:tr>
      <w:tr w:rsidRPr="002F168A" w:rsidR="000F68B8" w:rsidTr="00921901" w14:paraId="4C96FB8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3DBB7F2" w14:textId="71A74F66">
            <w:pPr>
              <w:tabs>
                <w:tab w:val="decimal" w:pos="255"/>
              </w:tabs>
              <w:jc w:val="right"/>
            </w:pPr>
            <w:r w:rsidRPr="000F68B8">
              <w:rPr>
                <w:color w:val="000000"/>
              </w:rPr>
              <w:t xml:space="preserve">5.152 </w:t>
            </w:r>
          </w:p>
        </w:tc>
        <w:tc>
          <w:tcPr>
            <w:tcW w:w="1820" w:type="dxa"/>
            <w:tcBorders>
              <w:top w:val="nil"/>
              <w:left w:val="nil"/>
              <w:bottom w:val="nil"/>
              <w:right w:val="nil"/>
            </w:tcBorders>
            <w:shd w:val="clear" w:color="auto" w:fill="auto"/>
            <w:noWrap/>
            <w:vAlign w:val="bottom"/>
          </w:tcPr>
          <w:p w:rsidRPr="000F68B8" w:rsidR="000F68B8" w:rsidP="000F68B8" w:rsidRDefault="000F68B8" w14:paraId="5F2C9514" w14:textId="3C9425C9">
            <w:pPr>
              <w:jc w:val="left"/>
            </w:pPr>
            <w:r w:rsidRPr="000F68B8">
              <w:rPr>
                <w:color w:val="000000"/>
              </w:rPr>
              <w:t>2023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4C601C1F" w14:textId="4339857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E23B4C5" w14:textId="539C31A2">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5ADAA56F" w14:textId="261719CD">
            <w:pPr>
              <w:tabs>
                <w:tab w:val="decimal" w:pos="975"/>
              </w:tabs>
              <w:jc w:val="left"/>
            </w:pPr>
            <w:r w:rsidRPr="000F68B8">
              <w:rPr>
                <w:color w:val="000000"/>
              </w:rPr>
              <w:t xml:space="preserve">1,000,000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1097230" w14:textId="5F458C90">
            <w:pPr>
              <w:tabs>
                <w:tab w:val="decimal" w:pos="1185"/>
              </w:tabs>
              <w:jc w:val="left"/>
            </w:pPr>
            <w:r w:rsidRPr="000F68B8">
              <w:rPr>
                <w:color w:val="000000"/>
              </w:rPr>
              <w:t xml:space="preserve">435,640,000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26E4D44" w14:textId="4ADE25EA">
            <w:pPr>
              <w:tabs>
                <w:tab w:val="decimal" w:pos="330"/>
              </w:tabs>
              <w:jc w:val="left"/>
            </w:pPr>
            <w:r w:rsidRPr="000F68B8">
              <w:rPr>
                <w:color w:val="000000"/>
              </w:rPr>
              <w:t>27.789%</w:t>
            </w:r>
          </w:p>
        </w:tc>
      </w:tr>
      <w:tr w:rsidRPr="002F168A" w:rsidR="000F68B8" w:rsidTr="00921901" w14:paraId="798A0E9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CF8E648" w14:textId="3A9DF25E">
            <w:pPr>
              <w:tabs>
                <w:tab w:val="decimal" w:pos="255"/>
              </w:tabs>
              <w:jc w:val="right"/>
            </w:pPr>
            <w:r w:rsidRPr="000F68B8">
              <w:rPr>
                <w:color w:val="000000"/>
              </w:rPr>
              <w:t xml:space="preserve">5.139 </w:t>
            </w:r>
          </w:p>
        </w:tc>
        <w:tc>
          <w:tcPr>
            <w:tcW w:w="1820" w:type="dxa"/>
            <w:tcBorders>
              <w:top w:val="nil"/>
              <w:left w:val="nil"/>
              <w:bottom w:val="nil"/>
              <w:right w:val="nil"/>
            </w:tcBorders>
            <w:shd w:val="clear" w:color="auto" w:fill="auto"/>
            <w:noWrap/>
            <w:vAlign w:val="bottom"/>
          </w:tcPr>
          <w:p w:rsidRPr="000F68B8" w:rsidR="000F68B8" w:rsidP="000F68B8" w:rsidRDefault="000F68B8" w14:paraId="23A754C4" w14:textId="1A7A6105">
            <w:pPr>
              <w:jc w:val="left"/>
            </w:pPr>
            <w:r w:rsidRPr="000F68B8">
              <w:rPr>
                <w:color w:val="000000"/>
              </w:rPr>
              <w:t>2024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656B9960" w14:textId="10C1EED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BE7DE3A" w14:textId="2A28E48D">
            <w:pPr>
              <w:jc w:val="center"/>
            </w:pPr>
            <w:r w:rsidRPr="000F68B8">
              <w:rPr>
                <w:color w:val="000000"/>
              </w:rPr>
              <w:t>7/1/2029</w:t>
            </w:r>
          </w:p>
        </w:tc>
        <w:tc>
          <w:tcPr>
            <w:tcW w:w="1220" w:type="dxa"/>
            <w:tcBorders>
              <w:top w:val="nil"/>
              <w:left w:val="nil"/>
              <w:bottom w:val="nil"/>
              <w:right w:val="nil"/>
            </w:tcBorders>
            <w:shd w:val="clear" w:color="auto" w:fill="auto"/>
            <w:noWrap/>
            <w:vAlign w:val="bottom"/>
          </w:tcPr>
          <w:p w:rsidRPr="000F68B8" w:rsidR="000F68B8" w:rsidP="000F68B8" w:rsidRDefault="000F68B8" w14:paraId="3945358E" w14:textId="0A2E47E8">
            <w:pPr>
              <w:tabs>
                <w:tab w:val="decimal" w:pos="975"/>
              </w:tabs>
              <w:jc w:val="left"/>
            </w:pPr>
            <w:r w:rsidRPr="000F68B8">
              <w:rPr>
                <w:color w:val="000000"/>
              </w:rPr>
              <w:t xml:space="preserve">1,190,000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F246460" w14:textId="2C894FB9">
            <w:pPr>
              <w:tabs>
                <w:tab w:val="decimal" w:pos="1185"/>
              </w:tabs>
              <w:jc w:val="left"/>
            </w:pPr>
            <w:r w:rsidRPr="000F68B8">
              <w:rPr>
                <w:color w:val="000000"/>
              </w:rPr>
              <w:t xml:space="preserve">436,830,000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22B7DE9" w14:textId="47616EBB">
            <w:pPr>
              <w:tabs>
                <w:tab w:val="decimal" w:pos="330"/>
              </w:tabs>
              <w:jc w:val="left"/>
            </w:pPr>
            <w:r w:rsidRPr="000F68B8">
              <w:rPr>
                <w:color w:val="000000"/>
              </w:rPr>
              <w:t>27.865%</w:t>
            </w:r>
          </w:p>
        </w:tc>
      </w:tr>
      <w:tr w:rsidRPr="002F168A" w:rsidR="000F68B8" w:rsidTr="00921901" w14:paraId="0A2B839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E0B20BA" w14:textId="5867D2CB">
            <w:pPr>
              <w:tabs>
                <w:tab w:val="decimal" w:pos="255"/>
              </w:tabs>
              <w:jc w:val="right"/>
            </w:pPr>
            <w:r w:rsidRPr="000F68B8">
              <w:rPr>
                <w:color w:val="000000"/>
              </w:rPr>
              <w:t xml:space="preserve">5.125 </w:t>
            </w:r>
          </w:p>
        </w:tc>
        <w:tc>
          <w:tcPr>
            <w:tcW w:w="1820" w:type="dxa"/>
            <w:tcBorders>
              <w:top w:val="nil"/>
              <w:left w:val="nil"/>
              <w:bottom w:val="nil"/>
              <w:right w:val="nil"/>
            </w:tcBorders>
            <w:shd w:val="clear" w:color="auto" w:fill="auto"/>
            <w:noWrap/>
            <w:vAlign w:val="bottom"/>
          </w:tcPr>
          <w:p w:rsidRPr="000F68B8" w:rsidR="000F68B8" w:rsidP="000F68B8" w:rsidRDefault="000F68B8" w14:paraId="6BF35D87" w14:textId="63E8BDDA">
            <w:pPr>
              <w:jc w:val="left"/>
            </w:pPr>
            <w:r w:rsidRPr="000F68B8">
              <w:rPr>
                <w:color w:val="000000"/>
              </w:rPr>
              <w:t>2023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7257FBB3" w14:textId="7AF461F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4600561" w14:textId="7DD4C0BF">
            <w:pPr>
              <w:jc w:val="center"/>
            </w:pPr>
            <w:r w:rsidRPr="000F68B8">
              <w:rPr>
                <w:color w:val="000000"/>
              </w:rPr>
              <w:t>7/1/2027</w:t>
            </w:r>
          </w:p>
        </w:tc>
        <w:tc>
          <w:tcPr>
            <w:tcW w:w="1220" w:type="dxa"/>
            <w:tcBorders>
              <w:top w:val="nil"/>
              <w:left w:val="nil"/>
              <w:bottom w:val="nil"/>
              <w:right w:val="nil"/>
            </w:tcBorders>
            <w:shd w:val="clear" w:color="auto" w:fill="auto"/>
            <w:noWrap/>
            <w:vAlign w:val="bottom"/>
          </w:tcPr>
          <w:p w:rsidRPr="000F68B8" w:rsidR="000F68B8" w:rsidP="000F68B8" w:rsidRDefault="000F68B8" w14:paraId="62BB1DBF" w14:textId="2AC427C7">
            <w:pPr>
              <w:tabs>
                <w:tab w:val="decimal" w:pos="975"/>
              </w:tabs>
              <w:jc w:val="left"/>
            </w:pPr>
            <w:r w:rsidRPr="000F68B8">
              <w:rPr>
                <w:color w:val="000000"/>
              </w:rPr>
              <w:t xml:space="preserve">765,000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F711B7A" w14:textId="4236C047">
            <w:pPr>
              <w:tabs>
                <w:tab w:val="decimal" w:pos="1185"/>
              </w:tabs>
              <w:jc w:val="left"/>
            </w:pPr>
            <w:r w:rsidRPr="000F68B8">
              <w:rPr>
                <w:color w:val="000000"/>
              </w:rPr>
              <w:t xml:space="preserve">437,595,000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137F128" w14:textId="7FE1C4E9">
            <w:pPr>
              <w:tabs>
                <w:tab w:val="decimal" w:pos="330"/>
              </w:tabs>
              <w:jc w:val="left"/>
            </w:pPr>
            <w:r w:rsidRPr="000F68B8">
              <w:rPr>
                <w:color w:val="000000"/>
              </w:rPr>
              <w:t>27.914%</w:t>
            </w:r>
          </w:p>
        </w:tc>
      </w:tr>
      <w:tr w:rsidRPr="002F168A" w:rsidR="000F68B8" w:rsidTr="00921901" w14:paraId="05ABA5AF"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AAFFC3B"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C6C2E96" w14:textId="72C84782">
            <w:pPr>
              <w:jc w:val="left"/>
            </w:pPr>
            <w:r w:rsidRPr="000F68B8">
              <w:rPr>
                <w:color w:val="000000"/>
              </w:rPr>
              <w:t>2023 SERIES D-1</w:t>
            </w:r>
          </w:p>
        </w:tc>
        <w:tc>
          <w:tcPr>
            <w:tcW w:w="1360" w:type="dxa"/>
            <w:tcBorders>
              <w:top w:val="nil"/>
              <w:left w:val="nil"/>
              <w:bottom w:val="nil"/>
              <w:right w:val="nil"/>
            </w:tcBorders>
            <w:shd w:val="clear" w:color="auto" w:fill="auto"/>
            <w:noWrap/>
            <w:vAlign w:val="bottom"/>
          </w:tcPr>
          <w:p w:rsidRPr="000F68B8" w:rsidR="000F68B8" w:rsidP="000F68B8" w:rsidRDefault="000F68B8" w14:paraId="3D441173" w14:textId="0C5EC22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75E4443" w14:textId="65F3632F">
            <w:pPr>
              <w:jc w:val="center"/>
            </w:pPr>
            <w:r w:rsidRPr="000F68B8">
              <w:rPr>
                <w:color w:val="000000"/>
              </w:rPr>
              <w:t>7/1/2048</w:t>
            </w:r>
          </w:p>
        </w:tc>
        <w:tc>
          <w:tcPr>
            <w:tcW w:w="1220" w:type="dxa"/>
            <w:tcBorders>
              <w:top w:val="nil"/>
              <w:left w:val="nil"/>
              <w:bottom w:val="nil"/>
              <w:right w:val="nil"/>
            </w:tcBorders>
            <w:shd w:val="clear" w:color="auto" w:fill="auto"/>
            <w:noWrap/>
            <w:vAlign w:val="bottom"/>
          </w:tcPr>
          <w:p w:rsidRPr="000F68B8" w:rsidR="000F68B8" w:rsidP="000F68B8" w:rsidRDefault="000F68B8" w14:paraId="766DB639" w14:textId="497B4C78">
            <w:pPr>
              <w:tabs>
                <w:tab w:val="decimal" w:pos="975"/>
              </w:tabs>
              <w:jc w:val="left"/>
            </w:pPr>
            <w:r w:rsidRPr="000F68B8">
              <w:rPr>
                <w:color w:val="000000"/>
              </w:rPr>
              <w:t xml:space="preserve">15,000,000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9F49A85" w14:textId="1A3167EB">
            <w:pPr>
              <w:tabs>
                <w:tab w:val="decimal" w:pos="1185"/>
              </w:tabs>
              <w:jc w:val="left"/>
            </w:pPr>
            <w:r w:rsidRPr="000F68B8">
              <w:rPr>
                <w:color w:val="000000"/>
              </w:rPr>
              <w:t xml:space="preserve">452,595,000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7D8DD38" w14:textId="134C1BB4">
            <w:pPr>
              <w:tabs>
                <w:tab w:val="decimal" w:pos="330"/>
              </w:tabs>
              <w:jc w:val="left"/>
            </w:pPr>
            <w:r w:rsidRPr="000F68B8">
              <w:rPr>
                <w:color w:val="000000"/>
              </w:rPr>
              <w:t>28.871%</w:t>
            </w:r>
          </w:p>
        </w:tc>
      </w:tr>
      <w:tr w:rsidRPr="002F168A" w:rsidR="000F68B8" w:rsidTr="00921901" w14:paraId="6BDE70BE"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97A0551" w14:textId="220E9D00">
            <w:pPr>
              <w:tabs>
                <w:tab w:val="decimal" w:pos="255"/>
              </w:tabs>
              <w:jc w:val="right"/>
            </w:pPr>
            <w:r w:rsidRPr="000F68B8">
              <w:rPr>
                <w:color w:val="000000"/>
              </w:rPr>
              <w:t xml:space="preserve">5.116 </w:t>
            </w:r>
          </w:p>
        </w:tc>
        <w:tc>
          <w:tcPr>
            <w:tcW w:w="1820" w:type="dxa"/>
            <w:tcBorders>
              <w:top w:val="nil"/>
              <w:left w:val="nil"/>
              <w:bottom w:val="nil"/>
              <w:right w:val="nil"/>
            </w:tcBorders>
            <w:shd w:val="clear" w:color="auto" w:fill="auto"/>
            <w:noWrap/>
            <w:vAlign w:val="bottom"/>
          </w:tcPr>
          <w:p w:rsidRPr="000F68B8" w:rsidR="000F68B8" w:rsidP="000F68B8" w:rsidRDefault="000F68B8" w14:paraId="392AD010" w14:textId="086C34F9">
            <w:pPr>
              <w:jc w:val="left"/>
            </w:pPr>
            <w:r w:rsidRPr="000F68B8">
              <w:rPr>
                <w:color w:val="000000"/>
              </w:rPr>
              <w:t>2023 SERIES A-2</w:t>
            </w:r>
          </w:p>
        </w:tc>
        <w:tc>
          <w:tcPr>
            <w:tcW w:w="1360" w:type="dxa"/>
            <w:tcBorders>
              <w:top w:val="nil"/>
              <w:left w:val="nil"/>
              <w:bottom w:val="nil"/>
              <w:right w:val="nil"/>
            </w:tcBorders>
            <w:shd w:val="clear" w:color="auto" w:fill="auto"/>
            <w:noWrap/>
            <w:vAlign w:val="bottom"/>
          </w:tcPr>
          <w:p w:rsidRPr="000F68B8" w:rsidR="000F68B8" w:rsidP="000F68B8" w:rsidRDefault="000F68B8" w14:paraId="3A7CD546" w14:textId="2A4B3D6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20EA1A3" w14:textId="4530EF65">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665BE7CB" w14:textId="746C716B">
            <w:pPr>
              <w:tabs>
                <w:tab w:val="decimal" w:pos="975"/>
              </w:tabs>
              <w:jc w:val="left"/>
            </w:pPr>
            <w:r w:rsidRPr="000F68B8">
              <w:rPr>
                <w:color w:val="000000"/>
              </w:rPr>
              <w:t xml:space="preserve">835,000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ED84111" w14:textId="7F4807E9">
            <w:pPr>
              <w:tabs>
                <w:tab w:val="decimal" w:pos="1185"/>
              </w:tabs>
              <w:jc w:val="left"/>
            </w:pPr>
            <w:r w:rsidRPr="000F68B8">
              <w:rPr>
                <w:color w:val="000000"/>
              </w:rPr>
              <w:t xml:space="preserve">453,430,000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9451FB6" w14:textId="69CF8202">
            <w:pPr>
              <w:tabs>
                <w:tab w:val="decimal" w:pos="330"/>
              </w:tabs>
              <w:jc w:val="left"/>
            </w:pPr>
            <w:r w:rsidRPr="000F68B8">
              <w:rPr>
                <w:color w:val="000000"/>
              </w:rPr>
              <w:t>28.924%</w:t>
            </w:r>
          </w:p>
        </w:tc>
      </w:tr>
      <w:tr w:rsidRPr="002F168A" w:rsidR="000F68B8" w:rsidTr="00921901" w14:paraId="084C3F6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DCB1082" w14:textId="25A9C804">
            <w:pPr>
              <w:tabs>
                <w:tab w:val="decimal" w:pos="255"/>
              </w:tabs>
              <w:jc w:val="right"/>
            </w:pPr>
            <w:r w:rsidRPr="000F68B8">
              <w:rPr>
                <w:color w:val="000000"/>
              </w:rPr>
              <w:t xml:space="preserve">5.102 </w:t>
            </w:r>
          </w:p>
        </w:tc>
        <w:tc>
          <w:tcPr>
            <w:tcW w:w="1820" w:type="dxa"/>
            <w:tcBorders>
              <w:top w:val="nil"/>
              <w:left w:val="nil"/>
              <w:bottom w:val="nil"/>
              <w:right w:val="nil"/>
            </w:tcBorders>
            <w:shd w:val="clear" w:color="auto" w:fill="auto"/>
            <w:noWrap/>
            <w:vAlign w:val="bottom"/>
          </w:tcPr>
          <w:p w:rsidRPr="000F68B8" w:rsidR="000F68B8" w:rsidP="000F68B8" w:rsidRDefault="000F68B8" w14:paraId="32452345" w14:textId="3A38F9EB">
            <w:pPr>
              <w:jc w:val="left"/>
            </w:pPr>
            <w:r w:rsidRPr="000F68B8">
              <w:rPr>
                <w:color w:val="000000"/>
              </w:rPr>
              <w:t>2023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2166D1F4" w14:textId="237EFC6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09146DA" w14:textId="015CD00F">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6057B810" w14:textId="0964612C">
            <w:pPr>
              <w:tabs>
                <w:tab w:val="decimal" w:pos="975"/>
              </w:tabs>
              <w:jc w:val="left"/>
            </w:pPr>
            <w:r w:rsidRPr="000F68B8">
              <w:rPr>
                <w:color w:val="000000"/>
              </w:rPr>
              <w:t xml:space="preserve">985,000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03D37B9" w14:textId="6AF07B45">
            <w:pPr>
              <w:tabs>
                <w:tab w:val="decimal" w:pos="1185"/>
              </w:tabs>
              <w:jc w:val="left"/>
            </w:pPr>
            <w:r w:rsidRPr="000F68B8">
              <w:rPr>
                <w:color w:val="000000"/>
              </w:rPr>
              <w:t xml:space="preserve">454,415,000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78F8773" w14:textId="58BB7AB7">
            <w:pPr>
              <w:tabs>
                <w:tab w:val="decimal" w:pos="330"/>
              </w:tabs>
              <w:jc w:val="left"/>
            </w:pPr>
            <w:r w:rsidRPr="000F68B8">
              <w:rPr>
                <w:color w:val="000000"/>
              </w:rPr>
              <w:t>28.987%</w:t>
            </w:r>
          </w:p>
        </w:tc>
      </w:tr>
      <w:tr w:rsidRPr="002F168A" w:rsidR="000F68B8" w:rsidTr="00921901" w14:paraId="6D0B819F"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A828EA4" w14:textId="7D6B1213">
            <w:pPr>
              <w:tabs>
                <w:tab w:val="decimal" w:pos="255"/>
              </w:tabs>
              <w:jc w:val="right"/>
            </w:pPr>
            <w:r w:rsidRPr="000F68B8">
              <w:rPr>
                <w:color w:val="000000"/>
              </w:rPr>
              <w:t xml:space="preserve">5.095 </w:t>
            </w:r>
          </w:p>
        </w:tc>
        <w:tc>
          <w:tcPr>
            <w:tcW w:w="1820" w:type="dxa"/>
            <w:tcBorders>
              <w:top w:val="nil"/>
              <w:left w:val="nil"/>
              <w:bottom w:val="nil"/>
              <w:right w:val="nil"/>
            </w:tcBorders>
            <w:shd w:val="clear" w:color="auto" w:fill="auto"/>
            <w:noWrap/>
            <w:vAlign w:val="bottom"/>
          </w:tcPr>
          <w:p w:rsidRPr="000F68B8" w:rsidR="000F68B8" w:rsidP="000F68B8" w:rsidRDefault="000F68B8" w14:paraId="0DA7084A" w14:textId="36D86E75">
            <w:pPr>
              <w:jc w:val="left"/>
            </w:pPr>
            <w:r w:rsidRPr="000F68B8">
              <w:rPr>
                <w:color w:val="000000"/>
              </w:rPr>
              <w:t>2023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5BF5C923" w14:textId="59A58B1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F321DC6" w14:textId="60A6852C">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40AD41DF" w14:textId="26B5FF4D">
            <w:pPr>
              <w:tabs>
                <w:tab w:val="decimal" w:pos="975"/>
              </w:tabs>
              <w:jc w:val="left"/>
            </w:pPr>
            <w:r w:rsidRPr="000F68B8">
              <w:rPr>
                <w:color w:val="000000"/>
              </w:rPr>
              <w:t xml:space="preserve">690,000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1C4D51D" w14:textId="2F1002EB">
            <w:pPr>
              <w:tabs>
                <w:tab w:val="decimal" w:pos="1185"/>
              </w:tabs>
              <w:jc w:val="left"/>
            </w:pPr>
            <w:r w:rsidRPr="000F68B8">
              <w:rPr>
                <w:color w:val="000000"/>
              </w:rPr>
              <w:t xml:space="preserve">455,105,000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7308FDB" w14:textId="2B5F9F37">
            <w:pPr>
              <w:tabs>
                <w:tab w:val="decimal" w:pos="330"/>
              </w:tabs>
              <w:jc w:val="left"/>
            </w:pPr>
            <w:r w:rsidRPr="000F68B8">
              <w:rPr>
                <w:color w:val="000000"/>
              </w:rPr>
              <w:t>29.031%</w:t>
            </w:r>
          </w:p>
        </w:tc>
      </w:tr>
      <w:tr w:rsidRPr="002F168A" w:rsidR="000F68B8" w:rsidTr="00921901" w14:paraId="0BFB858E"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19773F5"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A486A6D" w14:textId="2812604A">
            <w:pPr>
              <w:jc w:val="left"/>
            </w:pPr>
            <w:r w:rsidRPr="000F68B8">
              <w:rPr>
                <w:color w:val="000000"/>
              </w:rPr>
              <w:t>2023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2727AB25" w14:textId="3ED556A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7DD7239" w14:textId="6F4FCBE3">
            <w:pPr>
              <w:jc w:val="center"/>
            </w:pPr>
            <w:r w:rsidRPr="000F68B8">
              <w:rPr>
                <w:color w:val="000000"/>
              </w:rPr>
              <w:t>7/1/2026</w:t>
            </w:r>
          </w:p>
        </w:tc>
        <w:tc>
          <w:tcPr>
            <w:tcW w:w="1220" w:type="dxa"/>
            <w:tcBorders>
              <w:top w:val="nil"/>
              <w:left w:val="nil"/>
              <w:bottom w:val="nil"/>
              <w:right w:val="nil"/>
            </w:tcBorders>
            <w:shd w:val="clear" w:color="auto" w:fill="auto"/>
            <w:noWrap/>
            <w:vAlign w:val="bottom"/>
          </w:tcPr>
          <w:p w:rsidRPr="000F68B8" w:rsidR="000F68B8" w:rsidP="000F68B8" w:rsidRDefault="000F68B8" w14:paraId="4573CEFF" w14:textId="144CB1F6">
            <w:pPr>
              <w:tabs>
                <w:tab w:val="decimal" w:pos="975"/>
              </w:tabs>
              <w:jc w:val="left"/>
            </w:pPr>
            <w:r w:rsidRPr="000F68B8">
              <w:rPr>
                <w:color w:val="000000"/>
              </w:rPr>
              <w:t xml:space="preserve">715,000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6D8E1C2" w14:textId="5D53F3DF">
            <w:pPr>
              <w:tabs>
                <w:tab w:val="decimal" w:pos="1185"/>
              </w:tabs>
              <w:jc w:val="left"/>
            </w:pPr>
            <w:r w:rsidRPr="000F68B8">
              <w:rPr>
                <w:color w:val="000000"/>
              </w:rPr>
              <w:t xml:space="preserve">455,820,000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9599024" w14:textId="0E6BC791">
            <w:pPr>
              <w:tabs>
                <w:tab w:val="decimal" w:pos="330"/>
              </w:tabs>
              <w:jc w:val="left"/>
            </w:pPr>
            <w:r w:rsidRPr="000F68B8">
              <w:rPr>
                <w:color w:val="000000"/>
              </w:rPr>
              <w:t>29.077%</w:t>
            </w:r>
          </w:p>
        </w:tc>
      </w:tr>
      <w:tr w:rsidRPr="002F168A" w:rsidR="000F68B8" w:rsidTr="00921901" w14:paraId="26C6B79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DCD6A2A" w14:textId="0FA14DD4">
            <w:pPr>
              <w:tabs>
                <w:tab w:val="decimal" w:pos="255"/>
              </w:tabs>
              <w:jc w:val="right"/>
            </w:pPr>
            <w:r w:rsidRPr="000F68B8">
              <w:rPr>
                <w:color w:val="000000"/>
              </w:rPr>
              <w:t xml:space="preserve">5.089 </w:t>
            </w:r>
          </w:p>
        </w:tc>
        <w:tc>
          <w:tcPr>
            <w:tcW w:w="1820" w:type="dxa"/>
            <w:tcBorders>
              <w:top w:val="nil"/>
              <w:left w:val="nil"/>
              <w:bottom w:val="nil"/>
              <w:right w:val="nil"/>
            </w:tcBorders>
            <w:shd w:val="clear" w:color="auto" w:fill="auto"/>
            <w:noWrap/>
            <w:vAlign w:val="bottom"/>
          </w:tcPr>
          <w:p w:rsidRPr="000F68B8" w:rsidR="000F68B8" w:rsidP="000F68B8" w:rsidRDefault="000F68B8" w14:paraId="3C6E91AB" w14:textId="6404ABEE">
            <w:pPr>
              <w:jc w:val="left"/>
            </w:pPr>
            <w:r w:rsidRPr="000F68B8">
              <w:rPr>
                <w:color w:val="000000"/>
              </w:rPr>
              <w:t>2024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78D720BD" w14:textId="196B37F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00FE7C5" w14:textId="634DC623">
            <w:pPr>
              <w:jc w:val="center"/>
            </w:pPr>
            <w:r w:rsidRPr="000F68B8">
              <w:rPr>
                <w:color w:val="000000"/>
              </w:rPr>
              <w:t>1/1/2029</w:t>
            </w:r>
          </w:p>
        </w:tc>
        <w:tc>
          <w:tcPr>
            <w:tcW w:w="1220" w:type="dxa"/>
            <w:tcBorders>
              <w:top w:val="nil"/>
              <w:left w:val="nil"/>
              <w:bottom w:val="nil"/>
              <w:right w:val="nil"/>
            </w:tcBorders>
            <w:shd w:val="clear" w:color="auto" w:fill="auto"/>
            <w:noWrap/>
            <w:vAlign w:val="bottom"/>
          </w:tcPr>
          <w:p w:rsidRPr="000F68B8" w:rsidR="000F68B8" w:rsidP="000F68B8" w:rsidRDefault="000F68B8" w14:paraId="2D3B6D2C" w14:textId="78BF931E">
            <w:pPr>
              <w:tabs>
                <w:tab w:val="decimal" w:pos="975"/>
              </w:tabs>
              <w:jc w:val="left"/>
            </w:pPr>
            <w:r w:rsidRPr="000F68B8">
              <w:rPr>
                <w:color w:val="000000"/>
              </w:rPr>
              <w:t xml:space="preserve">1,160,000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BD80D85" w14:textId="687BCF52">
            <w:pPr>
              <w:tabs>
                <w:tab w:val="decimal" w:pos="1185"/>
              </w:tabs>
              <w:jc w:val="left"/>
            </w:pPr>
            <w:r w:rsidRPr="000F68B8">
              <w:rPr>
                <w:color w:val="000000"/>
              </w:rPr>
              <w:t xml:space="preserve">456,980,000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0A8B8DAC" w14:textId="57D3BD32">
            <w:pPr>
              <w:tabs>
                <w:tab w:val="decimal" w:pos="330"/>
              </w:tabs>
              <w:jc w:val="left"/>
            </w:pPr>
            <w:r w:rsidRPr="000F68B8">
              <w:rPr>
                <w:color w:val="000000"/>
              </w:rPr>
              <w:t>29.151%</w:t>
            </w:r>
          </w:p>
        </w:tc>
      </w:tr>
      <w:tr w:rsidRPr="002F168A" w:rsidR="000F68B8" w:rsidTr="00921901" w14:paraId="1409478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C9D8480" w14:textId="3A337949">
            <w:pPr>
              <w:tabs>
                <w:tab w:val="decimal" w:pos="255"/>
              </w:tabs>
              <w:jc w:val="right"/>
            </w:pPr>
            <w:r w:rsidRPr="000F68B8">
              <w:rPr>
                <w:color w:val="000000"/>
              </w:rPr>
              <w:t xml:space="preserve">5.066 </w:t>
            </w:r>
          </w:p>
        </w:tc>
        <w:tc>
          <w:tcPr>
            <w:tcW w:w="1820" w:type="dxa"/>
            <w:tcBorders>
              <w:top w:val="nil"/>
              <w:left w:val="nil"/>
              <w:bottom w:val="nil"/>
              <w:right w:val="nil"/>
            </w:tcBorders>
            <w:shd w:val="clear" w:color="auto" w:fill="auto"/>
            <w:noWrap/>
            <w:vAlign w:val="bottom"/>
          </w:tcPr>
          <w:p w:rsidRPr="000F68B8" w:rsidR="000F68B8" w:rsidP="000F68B8" w:rsidRDefault="000F68B8" w14:paraId="51F11118" w14:textId="2244BA61">
            <w:pPr>
              <w:jc w:val="left"/>
            </w:pPr>
            <w:r w:rsidRPr="000F68B8">
              <w:rPr>
                <w:color w:val="000000"/>
              </w:rPr>
              <w:t>2023 SERIES A-2</w:t>
            </w:r>
          </w:p>
        </w:tc>
        <w:tc>
          <w:tcPr>
            <w:tcW w:w="1360" w:type="dxa"/>
            <w:tcBorders>
              <w:top w:val="nil"/>
              <w:left w:val="nil"/>
              <w:bottom w:val="nil"/>
              <w:right w:val="nil"/>
            </w:tcBorders>
            <w:shd w:val="clear" w:color="auto" w:fill="auto"/>
            <w:noWrap/>
            <w:vAlign w:val="bottom"/>
          </w:tcPr>
          <w:p w:rsidRPr="000F68B8" w:rsidR="000F68B8" w:rsidP="000F68B8" w:rsidRDefault="000F68B8" w14:paraId="2829A375" w14:textId="414DCD2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0707BE5" w14:textId="39B72487">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564DE977" w14:textId="70CD6C81">
            <w:pPr>
              <w:tabs>
                <w:tab w:val="decimal" w:pos="975"/>
              </w:tabs>
              <w:jc w:val="left"/>
            </w:pPr>
            <w:r w:rsidRPr="000F68B8">
              <w:rPr>
                <w:color w:val="000000"/>
              </w:rPr>
              <w:t xml:space="preserve">805,000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6025BF1" w14:textId="13C88A66">
            <w:pPr>
              <w:tabs>
                <w:tab w:val="decimal" w:pos="1185"/>
              </w:tabs>
              <w:jc w:val="left"/>
            </w:pPr>
            <w:r w:rsidRPr="000F68B8">
              <w:rPr>
                <w:color w:val="000000"/>
              </w:rPr>
              <w:t xml:space="preserve">457,785,000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38DDAA2" w14:textId="710E17DB">
            <w:pPr>
              <w:tabs>
                <w:tab w:val="decimal" w:pos="330"/>
              </w:tabs>
              <w:jc w:val="left"/>
            </w:pPr>
            <w:r w:rsidRPr="000F68B8">
              <w:rPr>
                <w:color w:val="000000"/>
              </w:rPr>
              <w:t>29.202%</w:t>
            </w:r>
          </w:p>
        </w:tc>
      </w:tr>
      <w:tr w:rsidRPr="002F168A" w:rsidR="000F68B8" w:rsidTr="00921901" w14:paraId="7EAA02C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EE37987" w14:textId="63C0B2FE">
            <w:pPr>
              <w:tabs>
                <w:tab w:val="decimal" w:pos="255"/>
              </w:tabs>
              <w:jc w:val="right"/>
            </w:pPr>
            <w:r w:rsidRPr="000F68B8">
              <w:rPr>
                <w:color w:val="000000"/>
              </w:rPr>
              <w:t xml:space="preserve">5.065 </w:t>
            </w:r>
          </w:p>
        </w:tc>
        <w:tc>
          <w:tcPr>
            <w:tcW w:w="1820" w:type="dxa"/>
            <w:tcBorders>
              <w:top w:val="nil"/>
              <w:left w:val="nil"/>
              <w:bottom w:val="nil"/>
              <w:right w:val="nil"/>
            </w:tcBorders>
            <w:shd w:val="clear" w:color="auto" w:fill="auto"/>
            <w:noWrap/>
            <w:vAlign w:val="bottom"/>
          </w:tcPr>
          <w:p w:rsidRPr="000F68B8" w:rsidR="000F68B8" w:rsidP="000F68B8" w:rsidRDefault="000F68B8" w14:paraId="27BA22FC" w14:textId="41AEEAD0">
            <w:pPr>
              <w:jc w:val="left"/>
            </w:pPr>
            <w:r w:rsidRPr="000F68B8">
              <w:rPr>
                <w:color w:val="000000"/>
              </w:rPr>
              <w:t>2023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2ADCE99A" w14:textId="60C4184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7FA7A6E" w14:textId="42011387">
            <w:pPr>
              <w:jc w:val="center"/>
            </w:pPr>
            <w:r w:rsidRPr="000F68B8">
              <w:rPr>
                <w:color w:val="000000"/>
              </w:rPr>
              <w:t>1/1/2027</w:t>
            </w:r>
          </w:p>
        </w:tc>
        <w:tc>
          <w:tcPr>
            <w:tcW w:w="1220" w:type="dxa"/>
            <w:tcBorders>
              <w:top w:val="nil"/>
              <w:left w:val="nil"/>
              <w:bottom w:val="nil"/>
              <w:right w:val="nil"/>
            </w:tcBorders>
            <w:shd w:val="clear" w:color="auto" w:fill="auto"/>
            <w:noWrap/>
            <w:vAlign w:val="bottom"/>
          </w:tcPr>
          <w:p w:rsidRPr="000F68B8" w:rsidR="000F68B8" w:rsidP="000F68B8" w:rsidRDefault="000F68B8" w14:paraId="5F37C4B9" w14:textId="0F723683">
            <w:pPr>
              <w:tabs>
                <w:tab w:val="decimal" w:pos="975"/>
              </w:tabs>
              <w:jc w:val="left"/>
            </w:pPr>
            <w:r w:rsidRPr="000F68B8">
              <w:rPr>
                <w:color w:val="000000"/>
              </w:rPr>
              <w:t xml:space="preserve">740,000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982C34C" w14:textId="2BA1EFB2">
            <w:pPr>
              <w:tabs>
                <w:tab w:val="decimal" w:pos="1185"/>
              </w:tabs>
              <w:jc w:val="left"/>
            </w:pPr>
            <w:r w:rsidRPr="000F68B8">
              <w:rPr>
                <w:color w:val="000000"/>
              </w:rPr>
              <w:t xml:space="preserve">458,525,000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88B2F80" w14:textId="44B60D97">
            <w:pPr>
              <w:tabs>
                <w:tab w:val="decimal" w:pos="330"/>
              </w:tabs>
              <w:jc w:val="left"/>
            </w:pPr>
            <w:r w:rsidRPr="000F68B8">
              <w:rPr>
                <w:color w:val="000000"/>
              </w:rPr>
              <w:t>29.249%</w:t>
            </w:r>
          </w:p>
        </w:tc>
      </w:tr>
      <w:tr w:rsidRPr="002F168A" w:rsidR="000F68B8" w:rsidTr="00921901" w14:paraId="0EE493E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E601AE2" w14:textId="729FB36E">
            <w:pPr>
              <w:tabs>
                <w:tab w:val="decimal" w:pos="255"/>
              </w:tabs>
              <w:jc w:val="right"/>
            </w:pPr>
            <w:r w:rsidRPr="000F68B8">
              <w:rPr>
                <w:color w:val="000000"/>
              </w:rPr>
              <w:t xml:space="preserve">5.064 </w:t>
            </w:r>
          </w:p>
        </w:tc>
        <w:tc>
          <w:tcPr>
            <w:tcW w:w="1820" w:type="dxa"/>
            <w:tcBorders>
              <w:top w:val="nil"/>
              <w:left w:val="nil"/>
              <w:bottom w:val="nil"/>
              <w:right w:val="nil"/>
            </w:tcBorders>
            <w:shd w:val="clear" w:color="auto" w:fill="auto"/>
            <w:noWrap/>
            <w:vAlign w:val="bottom"/>
          </w:tcPr>
          <w:p w:rsidRPr="000F68B8" w:rsidR="000F68B8" w:rsidP="000F68B8" w:rsidRDefault="000F68B8" w14:paraId="77F45027" w14:textId="6E7303A7">
            <w:pPr>
              <w:jc w:val="left"/>
            </w:pPr>
            <w:r w:rsidRPr="000F68B8">
              <w:rPr>
                <w:color w:val="000000"/>
              </w:rPr>
              <w:t>2024 SERIES A-2</w:t>
            </w:r>
          </w:p>
        </w:tc>
        <w:tc>
          <w:tcPr>
            <w:tcW w:w="1360" w:type="dxa"/>
            <w:tcBorders>
              <w:top w:val="nil"/>
              <w:left w:val="nil"/>
              <w:bottom w:val="nil"/>
              <w:right w:val="nil"/>
            </w:tcBorders>
            <w:shd w:val="clear" w:color="auto" w:fill="auto"/>
            <w:noWrap/>
            <w:vAlign w:val="bottom"/>
          </w:tcPr>
          <w:p w:rsidRPr="000F68B8" w:rsidR="000F68B8" w:rsidP="000F68B8" w:rsidRDefault="000F68B8" w14:paraId="72B3D257" w14:textId="5DE41DB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7993C47" w14:textId="3E56FCA2">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4CAA668E" w14:textId="7E754AAA">
            <w:pPr>
              <w:tabs>
                <w:tab w:val="decimal" w:pos="975"/>
              </w:tabs>
              <w:jc w:val="left"/>
            </w:pPr>
            <w:r w:rsidRPr="000F68B8">
              <w:rPr>
                <w:color w:val="000000"/>
              </w:rPr>
              <w:t xml:space="preserve">695,000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02D2BAE" w14:textId="74BE5524">
            <w:pPr>
              <w:tabs>
                <w:tab w:val="decimal" w:pos="1185"/>
              </w:tabs>
              <w:jc w:val="left"/>
            </w:pPr>
            <w:r w:rsidRPr="000F68B8">
              <w:rPr>
                <w:color w:val="000000"/>
              </w:rPr>
              <w:t xml:space="preserve">459,220,000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FF180BD" w14:textId="17343C64">
            <w:pPr>
              <w:tabs>
                <w:tab w:val="decimal" w:pos="330"/>
              </w:tabs>
              <w:jc w:val="left"/>
            </w:pPr>
            <w:r w:rsidRPr="000F68B8">
              <w:rPr>
                <w:color w:val="000000"/>
              </w:rPr>
              <w:t>29.294%</w:t>
            </w:r>
          </w:p>
        </w:tc>
      </w:tr>
      <w:tr w:rsidRPr="002F168A" w:rsidR="000F68B8" w:rsidTr="00921901" w14:paraId="14900BE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1BAC604" w14:textId="73B37825">
            <w:pPr>
              <w:tabs>
                <w:tab w:val="decimal" w:pos="255"/>
              </w:tabs>
              <w:jc w:val="right"/>
            </w:pPr>
            <w:r w:rsidRPr="000F68B8">
              <w:rPr>
                <w:color w:val="000000"/>
              </w:rPr>
              <w:t xml:space="preserve">5.052 </w:t>
            </w:r>
          </w:p>
        </w:tc>
        <w:tc>
          <w:tcPr>
            <w:tcW w:w="1820" w:type="dxa"/>
            <w:tcBorders>
              <w:top w:val="nil"/>
              <w:left w:val="nil"/>
              <w:bottom w:val="nil"/>
              <w:right w:val="nil"/>
            </w:tcBorders>
            <w:shd w:val="clear" w:color="auto" w:fill="auto"/>
            <w:noWrap/>
            <w:vAlign w:val="bottom"/>
          </w:tcPr>
          <w:p w:rsidRPr="000F68B8" w:rsidR="000F68B8" w:rsidP="000F68B8" w:rsidRDefault="000F68B8" w14:paraId="454B43C5" w14:textId="4D60128E">
            <w:pPr>
              <w:jc w:val="left"/>
            </w:pPr>
            <w:r w:rsidRPr="000F68B8">
              <w:rPr>
                <w:color w:val="000000"/>
              </w:rPr>
              <w:t>2023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7373BEDF" w14:textId="135562C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A6E56D7" w14:textId="2A269D7B">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36064A40" w14:textId="44D529CF">
            <w:pPr>
              <w:tabs>
                <w:tab w:val="decimal" w:pos="975"/>
              </w:tabs>
              <w:jc w:val="left"/>
            </w:pPr>
            <w:r w:rsidRPr="000F68B8">
              <w:rPr>
                <w:color w:val="000000"/>
              </w:rPr>
              <w:t xml:space="preserve">955,000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A5B526B" w14:textId="40B1BB0C">
            <w:pPr>
              <w:tabs>
                <w:tab w:val="decimal" w:pos="1185"/>
              </w:tabs>
              <w:jc w:val="left"/>
            </w:pPr>
            <w:r w:rsidRPr="000F68B8">
              <w:rPr>
                <w:color w:val="000000"/>
              </w:rPr>
              <w:t xml:space="preserve">460,175,000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C758C32" w14:textId="49FD7655">
            <w:pPr>
              <w:tabs>
                <w:tab w:val="decimal" w:pos="330"/>
              </w:tabs>
              <w:jc w:val="left"/>
            </w:pPr>
            <w:r w:rsidRPr="000F68B8">
              <w:rPr>
                <w:color w:val="000000"/>
              </w:rPr>
              <w:t>29.354%</w:t>
            </w:r>
          </w:p>
        </w:tc>
      </w:tr>
      <w:tr w:rsidRPr="002F168A" w:rsidR="000F68B8" w:rsidTr="00921901" w14:paraId="05283BD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AEF320A" w14:textId="471526F1">
            <w:pPr>
              <w:tabs>
                <w:tab w:val="decimal" w:pos="255"/>
              </w:tabs>
              <w:jc w:val="right"/>
            </w:pPr>
            <w:r w:rsidRPr="000F68B8">
              <w:rPr>
                <w:color w:val="000000"/>
              </w:rPr>
              <w:t xml:space="preserve">5.039 </w:t>
            </w:r>
          </w:p>
        </w:tc>
        <w:tc>
          <w:tcPr>
            <w:tcW w:w="1820" w:type="dxa"/>
            <w:tcBorders>
              <w:top w:val="nil"/>
              <w:left w:val="nil"/>
              <w:bottom w:val="nil"/>
              <w:right w:val="nil"/>
            </w:tcBorders>
            <w:shd w:val="clear" w:color="auto" w:fill="auto"/>
            <w:noWrap/>
            <w:vAlign w:val="bottom"/>
          </w:tcPr>
          <w:p w:rsidRPr="000F68B8" w:rsidR="000F68B8" w:rsidP="000F68B8" w:rsidRDefault="000F68B8" w14:paraId="755F941A" w14:textId="79B4B935">
            <w:pPr>
              <w:jc w:val="left"/>
            </w:pPr>
            <w:r w:rsidRPr="000F68B8">
              <w:rPr>
                <w:color w:val="000000"/>
              </w:rPr>
              <w:t>2024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6EC1ADFE" w14:textId="4DBB4FF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73CCF8E" w14:textId="26744E3A">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12F32BD1" w14:textId="7D6194D2">
            <w:pPr>
              <w:tabs>
                <w:tab w:val="decimal" w:pos="975"/>
              </w:tabs>
              <w:jc w:val="left"/>
            </w:pPr>
            <w:r w:rsidRPr="000F68B8">
              <w:rPr>
                <w:color w:val="000000"/>
              </w:rPr>
              <w:t xml:space="preserve">1,085,000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5E4B15E" w14:textId="239737D9">
            <w:pPr>
              <w:tabs>
                <w:tab w:val="decimal" w:pos="1185"/>
              </w:tabs>
              <w:jc w:val="left"/>
            </w:pPr>
            <w:r w:rsidRPr="000F68B8">
              <w:rPr>
                <w:color w:val="000000"/>
              </w:rPr>
              <w:t xml:space="preserve">461,260,000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01751EB8" w14:textId="1BB188F3">
            <w:pPr>
              <w:tabs>
                <w:tab w:val="decimal" w:pos="330"/>
              </w:tabs>
              <w:jc w:val="left"/>
            </w:pPr>
            <w:r w:rsidRPr="000F68B8">
              <w:rPr>
                <w:color w:val="000000"/>
              </w:rPr>
              <w:t>29.424%</w:t>
            </w:r>
          </w:p>
        </w:tc>
      </w:tr>
      <w:tr w:rsidRPr="002F168A" w:rsidR="000F68B8" w:rsidTr="00921901" w14:paraId="5AE6766E"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56DA8B2"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AEDA788" w14:textId="25322E7A">
            <w:pPr>
              <w:jc w:val="left"/>
            </w:pPr>
            <w:r w:rsidRPr="000F68B8">
              <w:rPr>
                <w:color w:val="000000"/>
              </w:rPr>
              <w:t>2024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4A40D157" w14:textId="25F6E71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3ABD4A4" w14:textId="56E9D90A">
            <w:pPr>
              <w:jc w:val="center"/>
            </w:pPr>
            <w:r w:rsidRPr="000F68B8">
              <w:rPr>
                <w:color w:val="000000"/>
              </w:rPr>
              <w:t>7/1/2028</w:t>
            </w:r>
          </w:p>
        </w:tc>
        <w:tc>
          <w:tcPr>
            <w:tcW w:w="1220" w:type="dxa"/>
            <w:tcBorders>
              <w:top w:val="nil"/>
              <w:left w:val="nil"/>
              <w:bottom w:val="nil"/>
              <w:right w:val="nil"/>
            </w:tcBorders>
            <w:shd w:val="clear" w:color="auto" w:fill="auto"/>
            <w:noWrap/>
            <w:vAlign w:val="bottom"/>
          </w:tcPr>
          <w:p w:rsidRPr="000F68B8" w:rsidR="000F68B8" w:rsidP="000F68B8" w:rsidRDefault="000F68B8" w14:paraId="62096FD8" w14:textId="7B464789">
            <w:pPr>
              <w:tabs>
                <w:tab w:val="decimal" w:pos="975"/>
              </w:tabs>
              <w:jc w:val="left"/>
            </w:pPr>
            <w:r w:rsidRPr="000F68B8">
              <w:rPr>
                <w:color w:val="000000"/>
              </w:rPr>
              <w:t xml:space="preserve">1,130,000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F148A43" w14:textId="52334C74">
            <w:pPr>
              <w:tabs>
                <w:tab w:val="decimal" w:pos="1185"/>
              </w:tabs>
              <w:jc w:val="left"/>
            </w:pPr>
            <w:r w:rsidRPr="000F68B8">
              <w:rPr>
                <w:color w:val="000000"/>
              </w:rPr>
              <w:t xml:space="preserve">462,390,000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208E92E" w14:textId="04DFA59A">
            <w:pPr>
              <w:tabs>
                <w:tab w:val="decimal" w:pos="330"/>
              </w:tabs>
              <w:jc w:val="left"/>
            </w:pPr>
            <w:r w:rsidRPr="000F68B8">
              <w:rPr>
                <w:color w:val="000000"/>
              </w:rPr>
              <w:t>29.496%</w:t>
            </w:r>
          </w:p>
        </w:tc>
      </w:tr>
      <w:tr w:rsidRPr="002F168A" w:rsidR="000F68B8" w:rsidTr="00921901" w14:paraId="166ECF6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A7BB7F9" w14:textId="1183BD00">
            <w:pPr>
              <w:tabs>
                <w:tab w:val="decimal" w:pos="255"/>
              </w:tabs>
              <w:jc w:val="right"/>
            </w:pPr>
            <w:r w:rsidRPr="000F68B8">
              <w:rPr>
                <w:color w:val="000000"/>
              </w:rPr>
              <w:t xml:space="preserve">5.029 </w:t>
            </w:r>
          </w:p>
        </w:tc>
        <w:tc>
          <w:tcPr>
            <w:tcW w:w="1820" w:type="dxa"/>
            <w:tcBorders>
              <w:top w:val="nil"/>
              <w:left w:val="nil"/>
              <w:bottom w:val="nil"/>
              <w:right w:val="nil"/>
            </w:tcBorders>
            <w:shd w:val="clear" w:color="auto" w:fill="auto"/>
            <w:noWrap/>
            <w:vAlign w:val="bottom"/>
          </w:tcPr>
          <w:p w:rsidRPr="000F68B8" w:rsidR="000F68B8" w:rsidP="000F68B8" w:rsidRDefault="000F68B8" w14:paraId="074DB629" w14:textId="112DBA7E">
            <w:pPr>
              <w:jc w:val="left"/>
            </w:pPr>
            <w:r w:rsidRPr="000F68B8">
              <w:rPr>
                <w:color w:val="000000"/>
              </w:rPr>
              <w:t>2024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4B51E92F" w14:textId="0C0BE74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06B82F2" w14:textId="643849E5">
            <w:pPr>
              <w:jc w:val="center"/>
            </w:pPr>
            <w:r w:rsidRPr="000F68B8">
              <w:rPr>
                <w:color w:val="000000"/>
              </w:rPr>
              <w:t>1/1/2027</w:t>
            </w:r>
          </w:p>
        </w:tc>
        <w:tc>
          <w:tcPr>
            <w:tcW w:w="1220" w:type="dxa"/>
            <w:tcBorders>
              <w:top w:val="nil"/>
              <w:left w:val="nil"/>
              <w:bottom w:val="nil"/>
              <w:right w:val="nil"/>
            </w:tcBorders>
            <w:shd w:val="clear" w:color="auto" w:fill="auto"/>
            <w:noWrap/>
            <w:vAlign w:val="bottom"/>
          </w:tcPr>
          <w:p w:rsidRPr="000F68B8" w:rsidR="000F68B8" w:rsidP="000F68B8" w:rsidRDefault="000F68B8" w14:paraId="578B53B5" w14:textId="1508D762">
            <w:pPr>
              <w:tabs>
                <w:tab w:val="decimal" w:pos="975"/>
              </w:tabs>
              <w:jc w:val="left"/>
            </w:pPr>
            <w:r w:rsidRPr="000F68B8">
              <w:rPr>
                <w:color w:val="000000"/>
              </w:rPr>
              <w:t xml:space="preserve">785,000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7171FC6" w14:textId="0F3B8AE5">
            <w:pPr>
              <w:tabs>
                <w:tab w:val="decimal" w:pos="1185"/>
              </w:tabs>
              <w:jc w:val="left"/>
            </w:pPr>
            <w:r w:rsidRPr="000F68B8">
              <w:rPr>
                <w:color w:val="000000"/>
              </w:rPr>
              <w:t xml:space="preserve">463,175,000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D2A9A50" w14:textId="12E0B7D3">
            <w:pPr>
              <w:tabs>
                <w:tab w:val="decimal" w:pos="330"/>
              </w:tabs>
              <w:jc w:val="left"/>
            </w:pPr>
            <w:r w:rsidRPr="000F68B8">
              <w:rPr>
                <w:color w:val="000000"/>
              </w:rPr>
              <w:t>29.546%</w:t>
            </w:r>
          </w:p>
        </w:tc>
      </w:tr>
      <w:tr w:rsidRPr="002F168A" w:rsidR="000F68B8" w:rsidTr="00921901" w14:paraId="30446E3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50C2831" w14:textId="05F66D7D">
            <w:pPr>
              <w:tabs>
                <w:tab w:val="decimal" w:pos="255"/>
              </w:tabs>
              <w:jc w:val="right"/>
            </w:pPr>
            <w:r w:rsidRPr="000F68B8">
              <w:rPr>
                <w:color w:val="000000"/>
              </w:rPr>
              <w:t xml:space="preserve">5.026 </w:t>
            </w:r>
          </w:p>
        </w:tc>
        <w:tc>
          <w:tcPr>
            <w:tcW w:w="1820" w:type="dxa"/>
            <w:tcBorders>
              <w:top w:val="nil"/>
              <w:left w:val="nil"/>
              <w:bottom w:val="nil"/>
              <w:right w:val="nil"/>
            </w:tcBorders>
            <w:shd w:val="clear" w:color="auto" w:fill="auto"/>
            <w:noWrap/>
            <w:vAlign w:val="bottom"/>
          </w:tcPr>
          <w:p w:rsidRPr="000F68B8" w:rsidR="000F68B8" w:rsidP="000F68B8" w:rsidRDefault="000F68B8" w14:paraId="2E6EBC0A" w14:textId="225821C8">
            <w:pPr>
              <w:jc w:val="left"/>
            </w:pPr>
            <w:r w:rsidRPr="000F68B8">
              <w:rPr>
                <w:color w:val="000000"/>
              </w:rPr>
              <w:t>2023 SERIES A-2</w:t>
            </w:r>
          </w:p>
        </w:tc>
        <w:tc>
          <w:tcPr>
            <w:tcW w:w="1360" w:type="dxa"/>
            <w:tcBorders>
              <w:top w:val="nil"/>
              <w:left w:val="nil"/>
              <w:bottom w:val="nil"/>
              <w:right w:val="nil"/>
            </w:tcBorders>
            <w:shd w:val="clear" w:color="auto" w:fill="auto"/>
            <w:noWrap/>
            <w:vAlign w:val="bottom"/>
          </w:tcPr>
          <w:p w:rsidRPr="000F68B8" w:rsidR="000F68B8" w:rsidP="000F68B8" w:rsidRDefault="000F68B8" w14:paraId="6930961C" w14:textId="3FB334D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7FB9F25" w14:textId="5E77BA4B">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5B15024A" w14:textId="7A4C20D2">
            <w:pPr>
              <w:tabs>
                <w:tab w:val="decimal" w:pos="975"/>
              </w:tabs>
              <w:jc w:val="left"/>
            </w:pPr>
            <w:r w:rsidRPr="000F68B8">
              <w:rPr>
                <w:color w:val="000000"/>
              </w:rPr>
              <w:t xml:space="preserve">780,000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005C565" w14:textId="559409E1">
            <w:pPr>
              <w:tabs>
                <w:tab w:val="decimal" w:pos="1185"/>
              </w:tabs>
              <w:jc w:val="left"/>
            </w:pPr>
            <w:r w:rsidRPr="000F68B8">
              <w:rPr>
                <w:color w:val="000000"/>
              </w:rPr>
              <w:t xml:space="preserve">463,955,000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8729ED8" w14:textId="51F8D9F1">
            <w:pPr>
              <w:tabs>
                <w:tab w:val="decimal" w:pos="330"/>
              </w:tabs>
              <w:jc w:val="left"/>
            </w:pPr>
            <w:r w:rsidRPr="000F68B8">
              <w:rPr>
                <w:color w:val="000000"/>
              </w:rPr>
              <w:t>29.596%</w:t>
            </w:r>
          </w:p>
        </w:tc>
      </w:tr>
      <w:tr w:rsidRPr="002F168A" w:rsidR="000F68B8" w:rsidTr="00921901" w14:paraId="53A38920"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A8A443F" w14:textId="59D308A2">
            <w:pPr>
              <w:tabs>
                <w:tab w:val="decimal" w:pos="255"/>
              </w:tabs>
              <w:jc w:val="right"/>
            </w:pPr>
            <w:r w:rsidRPr="000F68B8">
              <w:rPr>
                <w:color w:val="000000"/>
              </w:rPr>
              <w:t xml:space="preserve">5.024 </w:t>
            </w:r>
          </w:p>
        </w:tc>
        <w:tc>
          <w:tcPr>
            <w:tcW w:w="1820" w:type="dxa"/>
            <w:tcBorders>
              <w:top w:val="nil"/>
              <w:left w:val="nil"/>
              <w:bottom w:val="nil"/>
              <w:right w:val="nil"/>
            </w:tcBorders>
            <w:shd w:val="clear" w:color="auto" w:fill="auto"/>
            <w:noWrap/>
            <w:vAlign w:val="bottom"/>
          </w:tcPr>
          <w:p w:rsidRPr="000F68B8" w:rsidR="000F68B8" w:rsidP="000F68B8" w:rsidRDefault="000F68B8" w14:paraId="55691E1F" w14:textId="2A14BD5D">
            <w:pPr>
              <w:jc w:val="left"/>
            </w:pPr>
            <w:r w:rsidRPr="000F68B8">
              <w:rPr>
                <w:color w:val="000000"/>
              </w:rPr>
              <w:t>2024 SERIES A-2</w:t>
            </w:r>
          </w:p>
        </w:tc>
        <w:tc>
          <w:tcPr>
            <w:tcW w:w="1360" w:type="dxa"/>
            <w:tcBorders>
              <w:top w:val="nil"/>
              <w:left w:val="nil"/>
              <w:bottom w:val="nil"/>
              <w:right w:val="nil"/>
            </w:tcBorders>
            <w:shd w:val="clear" w:color="auto" w:fill="auto"/>
            <w:noWrap/>
            <w:vAlign w:val="bottom"/>
          </w:tcPr>
          <w:p w:rsidRPr="000F68B8" w:rsidR="000F68B8" w:rsidP="000F68B8" w:rsidRDefault="000F68B8" w14:paraId="3CB5610E" w14:textId="58FE73C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5592F1B" w14:textId="3232C2DD">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1970CA32" w14:textId="2B4BE4AA">
            <w:pPr>
              <w:tabs>
                <w:tab w:val="decimal" w:pos="975"/>
              </w:tabs>
              <w:jc w:val="left"/>
            </w:pPr>
            <w:r w:rsidRPr="000F68B8">
              <w:rPr>
                <w:color w:val="000000"/>
              </w:rPr>
              <w:t xml:space="preserve">975,000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7099A29" w14:textId="19902520">
            <w:pPr>
              <w:tabs>
                <w:tab w:val="decimal" w:pos="1185"/>
              </w:tabs>
              <w:jc w:val="left"/>
            </w:pPr>
            <w:r w:rsidRPr="000F68B8">
              <w:rPr>
                <w:color w:val="000000"/>
              </w:rPr>
              <w:t xml:space="preserve">464,930,000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66BE0FF" w14:textId="52CDC68B">
            <w:pPr>
              <w:tabs>
                <w:tab w:val="decimal" w:pos="330"/>
              </w:tabs>
              <w:jc w:val="left"/>
            </w:pPr>
            <w:r w:rsidRPr="000F68B8">
              <w:rPr>
                <w:color w:val="000000"/>
              </w:rPr>
              <w:t>29.658%</w:t>
            </w:r>
          </w:p>
        </w:tc>
      </w:tr>
      <w:tr w:rsidRPr="002F168A" w:rsidR="000F68B8" w:rsidTr="00921901" w14:paraId="1302D75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EAF1C83" w14:textId="0FFF1FD9">
            <w:pPr>
              <w:tabs>
                <w:tab w:val="decimal" w:pos="255"/>
              </w:tabs>
              <w:jc w:val="right"/>
            </w:pPr>
            <w:r w:rsidRPr="000F68B8">
              <w:rPr>
                <w:color w:val="000000"/>
              </w:rPr>
              <w:t xml:space="preserve">5.002 </w:t>
            </w:r>
          </w:p>
        </w:tc>
        <w:tc>
          <w:tcPr>
            <w:tcW w:w="1820" w:type="dxa"/>
            <w:tcBorders>
              <w:top w:val="nil"/>
              <w:left w:val="nil"/>
              <w:bottom w:val="nil"/>
              <w:right w:val="nil"/>
            </w:tcBorders>
            <w:shd w:val="clear" w:color="auto" w:fill="auto"/>
            <w:noWrap/>
            <w:vAlign w:val="bottom"/>
          </w:tcPr>
          <w:p w:rsidRPr="000F68B8" w:rsidR="000F68B8" w:rsidP="000F68B8" w:rsidRDefault="000F68B8" w14:paraId="7EE5A674" w14:textId="78B16C1A">
            <w:pPr>
              <w:jc w:val="left"/>
            </w:pPr>
            <w:r w:rsidRPr="000F68B8">
              <w:rPr>
                <w:color w:val="000000"/>
              </w:rPr>
              <w:t>2023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4B2F9A50" w14:textId="34AD173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C3FD7BC" w14:textId="606A562D">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38443DFC" w14:textId="49ED0E85">
            <w:pPr>
              <w:tabs>
                <w:tab w:val="decimal" w:pos="975"/>
              </w:tabs>
              <w:jc w:val="left"/>
            </w:pPr>
            <w:r w:rsidRPr="000F68B8">
              <w:rPr>
                <w:color w:val="000000"/>
              </w:rPr>
              <w:t xml:space="preserve">950,000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D0ABB99" w14:textId="2652F29D">
            <w:pPr>
              <w:tabs>
                <w:tab w:val="decimal" w:pos="1185"/>
              </w:tabs>
              <w:jc w:val="left"/>
            </w:pPr>
            <w:r w:rsidRPr="000F68B8">
              <w:rPr>
                <w:color w:val="000000"/>
              </w:rPr>
              <w:t xml:space="preserve">465,880,000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0FCBA843" w14:textId="3B46B417">
            <w:pPr>
              <w:tabs>
                <w:tab w:val="decimal" w:pos="330"/>
              </w:tabs>
              <w:jc w:val="left"/>
            </w:pPr>
            <w:r w:rsidRPr="000F68B8">
              <w:rPr>
                <w:color w:val="000000"/>
              </w:rPr>
              <w:t>29.718%</w:t>
            </w:r>
          </w:p>
        </w:tc>
      </w:tr>
      <w:tr w:rsidRPr="002F168A" w:rsidR="000F68B8" w:rsidTr="00921901" w14:paraId="6213B3A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60EF309" w14:textId="49757803">
            <w:pPr>
              <w:tabs>
                <w:tab w:val="decimal" w:pos="255"/>
              </w:tabs>
              <w:jc w:val="right"/>
            </w:pPr>
            <w:r w:rsidRPr="000F68B8">
              <w:rPr>
                <w:color w:val="000000"/>
              </w:rPr>
              <w:t xml:space="preserve">5.000 </w:t>
            </w:r>
          </w:p>
        </w:tc>
        <w:tc>
          <w:tcPr>
            <w:tcW w:w="1820" w:type="dxa"/>
            <w:tcBorders>
              <w:top w:val="nil"/>
              <w:left w:val="nil"/>
              <w:bottom w:val="nil"/>
              <w:right w:val="nil"/>
            </w:tcBorders>
            <w:shd w:val="clear" w:color="auto" w:fill="auto"/>
            <w:noWrap/>
            <w:vAlign w:val="bottom"/>
          </w:tcPr>
          <w:p w:rsidRPr="000F68B8" w:rsidR="000F68B8" w:rsidP="000F68B8" w:rsidRDefault="000F68B8" w14:paraId="768E6E0B" w14:textId="498D210C">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51208AAA" w14:textId="6F60D5C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68748089" w14:textId="6A78D788">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5873ED5F" w14:textId="573232E5">
            <w:pPr>
              <w:tabs>
                <w:tab w:val="decimal" w:pos="975"/>
              </w:tabs>
              <w:jc w:val="left"/>
            </w:pPr>
            <w:r w:rsidRPr="000F68B8">
              <w:rPr>
                <w:color w:val="000000"/>
              </w:rPr>
              <w:t xml:space="preserve">710,000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2663B09" w14:textId="3BD76E6F">
            <w:pPr>
              <w:tabs>
                <w:tab w:val="decimal" w:pos="1185"/>
              </w:tabs>
              <w:jc w:val="left"/>
            </w:pPr>
            <w:r w:rsidRPr="000F68B8">
              <w:rPr>
                <w:color w:val="000000"/>
              </w:rPr>
              <w:t xml:space="preserve">466,590,000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6F3CD31" w14:textId="227797EB">
            <w:pPr>
              <w:tabs>
                <w:tab w:val="decimal" w:pos="330"/>
              </w:tabs>
              <w:jc w:val="left"/>
            </w:pPr>
            <w:r w:rsidRPr="000F68B8">
              <w:rPr>
                <w:color w:val="000000"/>
              </w:rPr>
              <w:t>29.764%</w:t>
            </w:r>
          </w:p>
        </w:tc>
      </w:tr>
      <w:tr w:rsidRPr="002F168A" w:rsidR="000F68B8" w:rsidTr="00921901" w14:paraId="31352FD4"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3E08FDF"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8FBFE61" w14:textId="4639B016">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565ABB0F" w14:textId="70F6E91E">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71C716E6" w14:textId="38F17EC8">
            <w:pPr>
              <w:jc w:val="center"/>
            </w:pPr>
            <w:r w:rsidRPr="000F68B8">
              <w:rPr>
                <w:color w:val="000000"/>
              </w:rPr>
              <w:t>7/1/2025</w:t>
            </w:r>
          </w:p>
        </w:tc>
        <w:tc>
          <w:tcPr>
            <w:tcW w:w="1220" w:type="dxa"/>
            <w:tcBorders>
              <w:top w:val="nil"/>
              <w:left w:val="nil"/>
              <w:bottom w:val="nil"/>
              <w:right w:val="nil"/>
            </w:tcBorders>
            <w:shd w:val="clear" w:color="auto" w:fill="auto"/>
            <w:noWrap/>
            <w:vAlign w:val="bottom"/>
          </w:tcPr>
          <w:p w:rsidRPr="000F68B8" w:rsidR="000F68B8" w:rsidP="000F68B8" w:rsidRDefault="000F68B8" w14:paraId="7DC65755" w14:textId="52B459BC">
            <w:pPr>
              <w:tabs>
                <w:tab w:val="decimal" w:pos="975"/>
              </w:tabs>
              <w:jc w:val="left"/>
            </w:pPr>
            <w:r w:rsidRPr="000F68B8">
              <w:rPr>
                <w:color w:val="000000"/>
              </w:rPr>
              <w:t xml:space="preserve">725,000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D1159BB" w14:textId="6BE37116">
            <w:pPr>
              <w:tabs>
                <w:tab w:val="decimal" w:pos="1185"/>
              </w:tabs>
              <w:jc w:val="left"/>
            </w:pPr>
            <w:r w:rsidRPr="000F68B8">
              <w:rPr>
                <w:color w:val="000000"/>
              </w:rPr>
              <w:t xml:space="preserve">467,315,000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5DAC2C87" w14:textId="610BE9BC">
            <w:pPr>
              <w:tabs>
                <w:tab w:val="decimal" w:pos="330"/>
              </w:tabs>
              <w:jc w:val="left"/>
            </w:pPr>
            <w:r w:rsidRPr="000F68B8">
              <w:rPr>
                <w:color w:val="000000"/>
              </w:rPr>
              <w:t>29.810%</w:t>
            </w:r>
          </w:p>
        </w:tc>
      </w:tr>
      <w:tr w:rsidRPr="002F168A" w:rsidR="000F68B8" w:rsidTr="00921901" w14:paraId="2E031B6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965F159"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6E8AA97" w14:textId="2E2516F5">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46E532BB" w14:textId="4B5A2766">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61D7FB89" w14:textId="23999A98">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35D99B2D" w14:textId="0F76597F">
            <w:pPr>
              <w:tabs>
                <w:tab w:val="decimal" w:pos="975"/>
              </w:tabs>
              <w:jc w:val="left"/>
            </w:pPr>
            <w:r w:rsidRPr="000F68B8">
              <w:rPr>
                <w:color w:val="000000"/>
              </w:rPr>
              <w:t xml:space="preserve">735,000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7822D01B" w14:textId="4A542465">
            <w:pPr>
              <w:tabs>
                <w:tab w:val="decimal" w:pos="1185"/>
              </w:tabs>
              <w:jc w:val="left"/>
            </w:pPr>
            <w:r w:rsidRPr="000F68B8">
              <w:rPr>
                <w:color w:val="000000"/>
              </w:rPr>
              <w:t xml:space="preserve">468,050,000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A9695F0" w14:textId="2112C98F">
            <w:pPr>
              <w:tabs>
                <w:tab w:val="decimal" w:pos="330"/>
              </w:tabs>
              <w:jc w:val="left"/>
            </w:pPr>
            <w:r w:rsidRPr="000F68B8">
              <w:rPr>
                <w:color w:val="000000"/>
              </w:rPr>
              <w:t>29.857%</w:t>
            </w:r>
          </w:p>
        </w:tc>
      </w:tr>
      <w:tr w:rsidRPr="002F168A" w:rsidR="000F68B8" w:rsidTr="00921901" w14:paraId="256ADC8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61CEC15"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E99BE2A" w14:textId="5FEE7C1C">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4B21379C" w14:textId="5CA64580">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545F3A28" w14:textId="56CC8E30">
            <w:pPr>
              <w:jc w:val="center"/>
            </w:pPr>
            <w:r w:rsidRPr="000F68B8">
              <w:rPr>
                <w:color w:val="000000"/>
              </w:rPr>
              <w:t>7/1/2026</w:t>
            </w:r>
          </w:p>
        </w:tc>
        <w:tc>
          <w:tcPr>
            <w:tcW w:w="1220" w:type="dxa"/>
            <w:tcBorders>
              <w:top w:val="nil"/>
              <w:left w:val="nil"/>
              <w:bottom w:val="nil"/>
              <w:right w:val="nil"/>
            </w:tcBorders>
            <w:shd w:val="clear" w:color="auto" w:fill="auto"/>
            <w:noWrap/>
            <w:vAlign w:val="bottom"/>
          </w:tcPr>
          <w:p w:rsidRPr="000F68B8" w:rsidR="000F68B8" w:rsidP="000F68B8" w:rsidRDefault="000F68B8" w14:paraId="6446EC3E" w14:textId="19050691">
            <w:pPr>
              <w:tabs>
                <w:tab w:val="decimal" w:pos="975"/>
              </w:tabs>
              <w:jc w:val="left"/>
            </w:pPr>
            <w:r w:rsidRPr="000F68B8">
              <w:rPr>
                <w:color w:val="000000"/>
              </w:rPr>
              <w:t xml:space="preserve">755,000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FE1ECF4" w14:textId="70D9B447">
            <w:pPr>
              <w:tabs>
                <w:tab w:val="decimal" w:pos="1185"/>
              </w:tabs>
              <w:jc w:val="left"/>
            </w:pPr>
            <w:r w:rsidRPr="000F68B8">
              <w:rPr>
                <w:color w:val="000000"/>
              </w:rPr>
              <w:t xml:space="preserve">468,805,000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94C0BBA" w14:textId="68CB3AE1">
            <w:pPr>
              <w:tabs>
                <w:tab w:val="decimal" w:pos="330"/>
              </w:tabs>
              <w:jc w:val="left"/>
            </w:pPr>
            <w:r w:rsidRPr="000F68B8">
              <w:rPr>
                <w:color w:val="000000"/>
              </w:rPr>
              <w:t>29.905%</w:t>
            </w:r>
          </w:p>
        </w:tc>
      </w:tr>
      <w:tr w:rsidRPr="002F168A" w:rsidR="000F68B8" w:rsidTr="00921901" w14:paraId="1B72C14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0800AB7"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B27BE23" w14:textId="5B1C2679">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5EB60C45" w14:textId="71C52A58">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09019ED1" w14:textId="0077A088">
            <w:pPr>
              <w:jc w:val="center"/>
            </w:pPr>
            <w:r w:rsidRPr="000F68B8">
              <w:rPr>
                <w:color w:val="000000"/>
              </w:rPr>
              <w:t>1/1/2027</w:t>
            </w:r>
          </w:p>
        </w:tc>
        <w:tc>
          <w:tcPr>
            <w:tcW w:w="1220" w:type="dxa"/>
            <w:tcBorders>
              <w:top w:val="nil"/>
              <w:left w:val="nil"/>
              <w:bottom w:val="nil"/>
              <w:right w:val="nil"/>
            </w:tcBorders>
            <w:shd w:val="clear" w:color="auto" w:fill="auto"/>
            <w:noWrap/>
            <w:vAlign w:val="bottom"/>
          </w:tcPr>
          <w:p w:rsidRPr="000F68B8" w:rsidR="000F68B8" w:rsidP="000F68B8" w:rsidRDefault="000F68B8" w14:paraId="1E36730C" w14:textId="6AE5EC32">
            <w:pPr>
              <w:tabs>
                <w:tab w:val="decimal" w:pos="975"/>
              </w:tabs>
              <w:jc w:val="left"/>
            </w:pPr>
            <w:r w:rsidRPr="000F68B8">
              <w:rPr>
                <w:color w:val="000000"/>
              </w:rPr>
              <w:t xml:space="preserve">765,000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9E852E6" w14:textId="11A3234B">
            <w:pPr>
              <w:tabs>
                <w:tab w:val="decimal" w:pos="1185"/>
              </w:tabs>
              <w:jc w:val="left"/>
            </w:pPr>
            <w:r w:rsidRPr="000F68B8">
              <w:rPr>
                <w:color w:val="000000"/>
              </w:rPr>
              <w:t xml:space="preserve">469,570,000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0C11C98" w14:textId="579EB1F6">
            <w:pPr>
              <w:tabs>
                <w:tab w:val="decimal" w:pos="330"/>
              </w:tabs>
              <w:jc w:val="left"/>
            </w:pPr>
            <w:r w:rsidRPr="000F68B8">
              <w:rPr>
                <w:color w:val="000000"/>
              </w:rPr>
              <w:t>29.954%</w:t>
            </w:r>
          </w:p>
        </w:tc>
      </w:tr>
      <w:tr w:rsidRPr="002F168A" w:rsidR="000F68B8" w:rsidTr="00921901" w14:paraId="26B46E7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E885958"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FD876A2" w14:textId="61FCC3CD">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3E4C13D2" w14:textId="33F672E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07A13982" w14:textId="085633C3">
            <w:pPr>
              <w:jc w:val="center"/>
            </w:pPr>
            <w:r w:rsidRPr="000F68B8">
              <w:rPr>
                <w:color w:val="000000"/>
              </w:rPr>
              <w:t>7/1/2027</w:t>
            </w:r>
          </w:p>
        </w:tc>
        <w:tc>
          <w:tcPr>
            <w:tcW w:w="1220" w:type="dxa"/>
            <w:tcBorders>
              <w:top w:val="nil"/>
              <w:left w:val="nil"/>
              <w:bottom w:val="nil"/>
              <w:right w:val="nil"/>
            </w:tcBorders>
            <w:shd w:val="clear" w:color="auto" w:fill="auto"/>
            <w:noWrap/>
            <w:vAlign w:val="bottom"/>
          </w:tcPr>
          <w:p w:rsidRPr="000F68B8" w:rsidR="000F68B8" w:rsidP="000F68B8" w:rsidRDefault="000F68B8" w14:paraId="4F27D803" w14:textId="3A8DA1BA">
            <w:pPr>
              <w:tabs>
                <w:tab w:val="decimal" w:pos="975"/>
              </w:tabs>
              <w:jc w:val="left"/>
            </w:pPr>
            <w:r w:rsidRPr="000F68B8">
              <w:rPr>
                <w:color w:val="000000"/>
              </w:rPr>
              <w:t xml:space="preserve">780,000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4696D63D" w14:textId="66824039">
            <w:pPr>
              <w:tabs>
                <w:tab w:val="decimal" w:pos="1185"/>
              </w:tabs>
              <w:jc w:val="left"/>
            </w:pPr>
            <w:r w:rsidRPr="000F68B8">
              <w:rPr>
                <w:color w:val="000000"/>
              </w:rPr>
              <w:t xml:space="preserve">470,350,000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3A5B243" w14:textId="7E1E1D9A">
            <w:pPr>
              <w:tabs>
                <w:tab w:val="decimal" w:pos="330"/>
              </w:tabs>
              <w:jc w:val="left"/>
            </w:pPr>
            <w:r w:rsidRPr="000F68B8">
              <w:rPr>
                <w:color w:val="000000"/>
              </w:rPr>
              <w:t>30.004%</w:t>
            </w:r>
          </w:p>
        </w:tc>
      </w:tr>
      <w:tr w:rsidRPr="002F168A" w:rsidR="000F68B8" w:rsidTr="00921901" w14:paraId="0A8F7B4F"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0E91E9C"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A480C5B" w14:textId="38F07321">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190ED60E" w14:textId="10A39271">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69368624" w14:textId="6E0C75B6">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6BC4EF9D" w14:textId="2DE6BAE0">
            <w:pPr>
              <w:tabs>
                <w:tab w:val="decimal" w:pos="975"/>
              </w:tabs>
              <w:jc w:val="left"/>
            </w:pPr>
            <w:r w:rsidRPr="000F68B8">
              <w:rPr>
                <w:color w:val="000000"/>
              </w:rPr>
              <w:t xml:space="preserve">700,000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D294062" w14:textId="079BF9FF">
            <w:pPr>
              <w:tabs>
                <w:tab w:val="decimal" w:pos="1185"/>
              </w:tabs>
              <w:jc w:val="left"/>
            </w:pPr>
            <w:r w:rsidRPr="000F68B8">
              <w:rPr>
                <w:color w:val="000000"/>
              </w:rPr>
              <w:t xml:space="preserve">471,050,000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297F49A" w14:textId="6462AB15">
            <w:pPr>
              <w:tabs>
                <w:tab w:val="decimal" w:pos="330"/>
              </w:tabs>
              <w:jc w:val="left"/>
            </w:pPr>
            <w:r w:rsidRPr="000F68B8">
              <w:rPr>
                <w:color w:val="000000"/>
              </w:rPr>
              <w:t>30.048%</w:t>
            </w:r>
          </w:p>
        </w:tc>
      </w:tr>
      <w:tr w:rsidRPr="002F168A" w:rsidR="000F68B8" w:rsidTr="00921901" w14:paraId="3A658C34"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9D9F2D6"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945E16B" w14:textId="7B7D82CA">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18E5B25F" w14:textId="6E35B032">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EF89A96" w14:textId="6F0CC375">
            <w:pPr>
              <w:jc w:val="center"/>
            </w:pPr>
            <w:r w:rsidRPr="000F68B8">
              <w:rPr>
                <w:color w:val="000000"/>
              </w:rPr>
              <w:t>7/1/2028</w:t>
            </w:r>
          </w:p>
        </w:tc>
        <w:tc>
          <w:tcPr>
            <w:tcW w:w="1220" w:type="dxa"/>
            <w:tcBorders>
              <w:top w:val="nil"/>
              <w:left w:val="nil"/>
              <w:bottom w:val="nil"/>
              <w:right w:val="nil"/>
            </w:tcBorders>
            <w:shd w:val="clear" w:color="auto" w:fill="auto"/>
            <w:noWrap/>
            <w:vAlign w:val="bottom"/>
          </w:tcPr>
          <w:p w:rsidRPr="000F68B8" w:rsidR="000F68B8" w:rsidP="000F68B8" w:rsidRDefault="000F68B8" w14:paraId="624F4F8C" w14:textId="05D25E38">
            <w:pPr>
              <w:tabs>
                <w:tab w:val="decimal" w:pos="975"/>
              </w:tabs>
              <w:jc w:val="left"/>
            </w:pPr>
            <w:r w:rsidRPr="000F68B8">
              <w:rPr>
                <w:color w:val="000000"/>
              </w:rPr>
              <w:t xml:space="preserve">550,000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7AB8CA5" w14:textId="72752EC2">
            <w:pPr>
              <w:tabs>
                <w:tab w:val="decimal" w:pos="1185"/>
              </w:tabs>
              <w:jc w:val="left"/>
            </w:pPr>
            <w:r w:rsidRPr="000F68B8">
              <w:rPr>
                <w:color w:val="000000"/>
              </w:rPr>
              <w:t xml:space="preserve">471,600,000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B3F672A" w14:textId="384A347F">
            <w:pPr>
              <w:tabs>
                <w:tab w:val="decimal" w:pos="330"/>
              </w:tabs>
              <w:jc w:val="left"/>
            </w:pPr>
            <w:r w:rsidRPr="000F68B8">
              <w:rPr>
                <w:color w:val="000000"/>
              </w:rPr>
              <w:t>30.083%</w:t>
            </w:r>
          </w:p>
        </w:tc>
      </w:tr>
      <w:tr w:rsidRPr="002F168A" w:rsidR="000F68B8" w:rsidTr="00921901" w14:paraId="4FA694CF"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33B30D8"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0CD9F05" w14:textId="190F7C5E">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5B5A4068" w14:textId="1CB56261">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065BB76" w14:textId="57B35D28">
            <w:pPr>
              <w:jc w:val="center"/>
            </w:pPr>
            <w:r w:rsidRPr="000F68B8">
              <w:rPr>
                <w:color w:val="000000"/>
              </w:rPr>
              <w:t>1/1/2029</w:t>
            </w:r>
          </w:p>
        </w:tc>
        <w:tc>
          <w:tcPr>
            <w:tcW w:w="1220" w:type="dxa"/>
            <w:tcBorders>
              <w:top w:val="nil"/>
              <w:left w:val="nil"/>
              <w:bottom w:val="nil"/>
              <w:right w:val="nil"/>
            </w:tcBorders>
            <w:shd w:val="clear" w:color="auto" w:fill="auto"/>
            <w:noWrap/>
            <w:vAlign w:val="bottom"/>
          </w:tcPr>
          <w:p w:rsidRPr="000F68B8" w:rsidR="000F68B8" w:rsidP="000F68B8" w:rsidRDefault="000F68B8" w14:paraId="49D56400" w14:textId="148FACF5">
            <w:pPr>
              <w:tabs>
                <w:tab w:val="decimal" w:pos="975"/>
              </w:tabs>
              <w:jc w:val="left"/>
            </w:pPr>
            <w:r w:rsidRPr="000F68B8">
              <w:rPr>
                <w:color w:val="000000"/>
              </w:rPr>
              <w:t xml:space="preserve">425,000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A6A2E71" w14:textId="66EAFCCE">
            <w:pPr>
              <w:tabs>
                <w:tab w:val="decimal" w:pos="1185"/>
              </w:tabs>
              <w:jc w:val="left"/>
            </w:pPr>
            <w:r w:rsidRPr="000F68B8">
              <w:rPr>
                <w:color w:val="000000"/>
              </w:rPr>
              <w:t xml:space="preserve">472,025,000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68461BD" w14:textId="11CCCD3F">
            <w:pPr>
              <w:tabs>
                <w:tab w:val="decimal" w:pos="330"/>
              </w:tabs>
              <w:jc w:val="left"/>
            </w:pPr>
            <w:r w:rsidRPr="000F68B8">
              <w:rPr>
                <w:color w:val="000000"/>
              </w:rPr>
              <w:t>30.110%</w:t>
            </w:r>
          </w:p>
        </w:tc>
      </w:tr>
      <w:tr w:rsidRPr="002F168A" w:rsidR="000F68B8" w:rsidTr="00921901" w14:paraId="4A100CB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2FCBC0E"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4C74A18" w14:textId="0222D4BB">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3C722880" w14:textId="758BF296">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02888FAB" w14:textId="1709B8E7">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4BFC4C71" w14:textId="5FF167D1">
            <w:pPr>
              <w:tabs>
                <w:tab w:val="decimal" w:pos="975"/>
              </w:tabs>
              <w:jc w:val="left"/>
            </w:pPr>
            <w:r w:rsidRPr="000F68B8">
              <w:rPr>
                <w:color w:val="000000"/>
              </w:rPr>
              <w:t xml:space="preserve">840,000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90D632C" w14:textId="4B2895DE">
            <w:pPr>
              <w:tabs>
                <w:tab w:val="decimal" w:pos="1185"/>
              </w:tabs>
              <w:jc w:val="left"/>
            </w:pPr>
            <w:r w:rsidRPr="000F68B8">
              <w:rPr>
                <w:color w:val="000000"/>
              </w:rPr>
              <w:t xml:space="preserve">472,865,000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1A24A7B" w14:textId="78EAACF2">
            <w:pPr>
              <w:tabs>
                <w:tab w:val="decimal" w:pos="330"/>
              </w:tabs>
              <w:jc w:val="left"/>
            </w:pPr>
            <w:r w:rsidRPr="000F68B8">
              <w:rPr>
                <w:color w:val="000000"/>
              </w:rPr>
              <w:t>30.164%</w:t>
            </w:r>
          </w:p>
        </w:tc>
      </w:tr>
      <w:tr w:rsidRPr="002F168A" w:rsidR="000F68B8" w:rsidTr="00921901" w14:paraId="3B7BDDC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AD3D67B"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0BD80F71" w14:textId="0D47AE5A">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7AD524F5" w14:textId="14E64C0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5DF7D312" w14:textId="6B072293">
            <w:pPr>
              <w:jc w:val="center"/>
            </w:pPr>
            <w:r w:rsidRPr="000F68B8">
              <w:rPr>
                <w:color w:val="000000"/>
              </w:rPr>
              <w:t>7/1/2025</w:t>
            </w:r>
          </w:p>
        </w:tc>
        <w:tc>
          <w:tcPr>
            <w:tcW w:w="1220" w:type="dxa"/>
            <w:tcBorders>
              <w:top w:val="nil"/>
              <w:left w:val="nil"/>
              <w:bottom w:val="nil"/>
              <w:right w:val="nil"/>
            </w:tcBorders>
            <w:shd w:val="clear" w:color="auto" w:fill="auto"/>
            <w:noWrap/>
            <w:vAlign w:val="bottom"/>
          </w:tcPr>
          <w:p w:rsidRPr="000F68B8" w:rsidR="000F68B8" w:rsidP="000F68B8" w:rsidRDefault="000F68B8" w14:paraId="0769545A" w14:textId="6F0A306D">
            <w:pPr>
              <w:tabs>
                <w:tab w:val="decimal" w:pos="975"/>
              </w:tabs>
              <w:jc w:val="left"/>
            </w:pPr>
            <w:r w:rsidRPr="000F68B8">
              <w:rPr>
                <w:color w:val="000000"/>
              </w:rPr>
              <w:t xml:space="preserve">1,775,000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ED5A901" w14:textId="74F0AA13">
            <w:pPr>
              <w:tabs>
                <w:tab w:val="decimal" w:pos="1185"/>
              </w:tabs>
              <w:jc w:val="left"/>
            </w:pPr>
            <w:r w:rsidRPr="000F68B8">
              <w:rPr>
                <w:color w:val="000000"/>
              </w:rPr>
              <w:t xml:space="preserve">474,640,000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5C180EE" w14:textId="5DF9AF8E">
            <w:pPr>
              <w:tabs>
                <w:tab w:val="decimal" w:pos="330"/>
              </w:tabs>
              <w:jc w:val="left"/>
            </w:pPr>
            <w:r w:rsidRPr="000F68B8">
              <w:rPr>
                <w:color w:val="000000"/>
              </w:rPr>
              <w:t>30.277%</w:t>
            </w:r>
          </w:p>
        </w:tc>
      </w:tr>
      <w:tr w:rsidRPr="002F168A" w:rsidR="000F68B8" w:rsidTr="00921901" w14:paraId="7C16B97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5851600"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0DA9EC5F" w14:textId="11F870D1">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4ADDC16B" w14:textId="62001D08">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851F598" w14:textId="0BC64523">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3B47AC40" w14:textId="4FB98B12">
            <w:pPr>
              <w:tabs>
                <w:tab w:val="decimal" w:pos="975"/>
              </w:tabs>
              <w:jc w:val="left"/>
            </w:pPr>
            <w:r w:rsidRPr="000F68B8">
              <w:rPr>
                <w:color w:val="000000"/>
              </w:rPr>
              <w:t xml:space="preserve">1,805,000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7A7D988" w14:textId="1C19083C">
            <w:pPr>
              <w:tabs>
                <w:tab w:val="decimal" w:pos="1185"/>
              </w:tabs>
              <w:jc w:val="left"/>
            </w:pPr>
            <w:r w:rsidRPr="000F68B8">
              <w:rPr>
                <w:color w:val="000000"/>
              </w:rPr>
              <w:t xml:space="preserve">476,445,000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D511EC9" w14:textId="4ED0CD4D">
            <w:pPr>
              <w:tabs>
                <w:tab w:val="decimal" w:pos="330"/>
              </w:tabs>
              <w:jc w:val="left"/>
            </w:pPr>
            <w:r w:rsidRPr="000F68B8">
              <w:rPr>
                <w:color w:val="000000"/>
              </w:rPr>
              <w:t>30.392%</w:t>
            </w:r>
          </w:p>
        </w:tc>
      </w:tr>
      <w:tr w:rsidRPr="002F168A" w:rsidR="000F68B8" w:rsidTr="00921901" w14:paraId="558FE4F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8965C51"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0B605470" w14:textId="030CBC4A">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09940B55" w14:textId="3966B058">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0F8369AA" w14:textId="5056FA33">
            <w:pPr>
              <w:jc w:val="center"/>
            </w:pPr>
            <w:r w:rsidRPr="000F68B8">
              <w:rPr>
                <w:color w:val="000000"/>
              </w:rPr>
              <w:t>7/1/2026</w:t>
            </w:r>
          </w:p>
        </w:tc>
        <w:tc>
          <w:tcPr>
            <w:tcW w:w="1220" w:type="dxa"/>
            <w:tcBorders>
              <w:top w:val="nil"/>
              <w:left w:val="nil"/>
              <w:bottom w:val="nil"/>
              <w:right w:val="nil"/>
            </w:tcBorders>
            <w:shd w:val="clear" w:color="auto" w:fill="auto"/>
            <w:noWrap/>
            <w:vAlign w:val="bottom"/>
          </w:tcPr>
          <w:p w:rsidRPr="000F68B8" w:rsidR="000F68B8" w:rsidP="000F68B8" w:rsidRDefault="000F68B8" w14:paraId="3F79518F" w14:textId="075D9F58">
            <w:pPr>
              <w:tabs>
                <w:tab w:val="decimal" w:pos="975"/>
              </w:tabs>
              <w:jc w:val="left"/>
            </w:pPr>
            <w:r w:rsidRPr="000F68B8">
              <w:rPr>
                <w:color w:val="000000"/>
              </w:rPr>
              <w:t xml:space="preserve">1,840,000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C3ABAA2" w14:textId="2DB6B9A1">
            <w:pPr>
              <w:tabs>
                <w:tab w:val="decimal" w:pos="1185"/>
              </w:tabs>
              <w:jc w:val="left"/>
            </w:pPr>
            <w:r w:rsidRPr="000F68B8">
              <w:rPr>
                <w:color w:val="000000"/>
              </w:rPr>
              <w:t xml:space="preserve">478,285,000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416B0F7" w14:textId="3B60E055">
            <w:pPr>
              <w:tabs>
                <w:tab w:val="decimal" w:pos="330"/>
              </w:tabs>
              <w:jc w:val="left"/>
            </w:pPr>
            <w:r w:rsidRPr="000F68B8">
              <w:rPr>
                <w:color w:val="000000"/>
              </w:rPr>
              <w:t>30.510%</w:t>
            </w:r>
          </w:p>
        </w:tc>
      </w:tr>
      <w:tr w:rsidRPr="002F168A" w:rsidR="000F68B8" w:rsidTr="00921901" w14:paraId="35B604D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F9C3B10"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792A5F6" w14:textId="1AA01A38">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6FF59D57" w14:textId="33880426">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CA1FDAE" w14:textId="33C94FFE">
            <w:pPr>
              <w:jc w:val="center"/>
            </w:pPr>
            <w:r w:rsidRPr="000F68B8">
              <w:rPr>
                <w:color w:val="000000"/>
              </w:rPr>
              <w:t>1/1/2027</w:t>
            </w:r>
          </w:p>
        </w:tc>
        <w:tc>
          <w:tcPr>
            <w:tcW w:w="1220" w:type="dxa"/>
            <w:tcBorders>
              <w:top w:val="nil"/>
              <w:left w:val="nil"/>
              <w:bottom w:val="nil"/>
              <w:right w:val="nil"/>
            </w:tcBorders>
            <w:shd w:val="clear" w:color="auto" w:fill="auto"/>
            <w:noWrap/>
            <w:vAlign w:val="bottom"/>
          </w:tcPr>
          <w:p w:rsidRPr="000F68B8" w:rsidR="000F68B8" w:rsidP="000F68B8" w:rsidRDefault="000F68B8" w14:paraId="2D8DC56B" w14:textId="55FC13FA">
            <w:pPr>
              <w:tabs>
                <w:tab w:val="decimal" w:pos="975"/>
              </w:tabs>
              <w:jc w:val="left"/>
            </w:pPr>
            <w:r w:rsidRPr="000F68B8">
              <w:rPr>
                <w:color w:val="000000"/>
              </w:rPr>
              <w:t xml:space="preserve">1,880,000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2DB5F1B" w14:textId="42974A64">
            <w:pPr>
              <w:tabs>
                <w:tab w:val="decimal" w:pos="1185"/>
              </w:tabs>
              <w:jc w:val="left"/>
            </w:pPr>
            <w:r w:rsidRPr="000F68B8">
              <w:rPr>
                <w:color w:val="000000"/>
              </w:rPr>
              <w:t xml:space="preserve">480,165,000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4DC625B" w14:textId="0E8B0329">
            <w:pPr>
              <w:tabs>
                <w:tab w:val="decimal" w:pos="330"/>
              </w:tabs>
              <w:jc w:val="left"/>
            </w:pPr>
            <w:r w:rsidRPr="000F68B8">
              <w:rPr>
                <w:color w:val="000000"/>
              </w:rPr>
              <w:t>30.630%</w:t>
            </w:r>
          </w:p>
        </w:tc>
      </w:tr>
      <w:tr w:rsidRPr="002F168A" w:rsidR="000F68B8" w:rsidTr="00921901" w14:paraId="04965270"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01AD557"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07751A1" w14:textId="0B1AA270">
            <w:pPr>
              <w:jc w:val="left"/>
            </w:pPr>
            <w:r w:rsidRPr="000F68B8">
              <w:rPr>
                <w:color w:val="000000"/>
              </w:rPr>
              <w:t>2020 SERIES B-2</w:t>
            </w:r>
          </w:p>
        </w:tc>
        <w:tc>
          <w:tcPr>
            <w:tcW w:w="1360" w:type="dxa"/>
            <w:tcBorders>
              <w:top w:val="nil"/>
              <w:left w:val="nil"/>
              <w:bottom w:val="nil"/>
              <w:right w:val="nil"/>
            </w:tcBorders>
            <w:shd w:val="clear" w:color="auto" w:fill="auto"/>
            <w:noWrap/>
            <w:vAlign w:val="bottom"/>
          </w:tcPr>
          <w:p w:rsidRPr="000F68B8" w:rsidR="000F68B8" w:rsidP="000F68B8" w:rsidRDefault="000F68B8" w14:paraId="5C838453" w14:textId="0413FA07">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C784124" w14:textId="4D0E9877">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6C67C583" w14:textId="410DBFBC">
            <w:pPr>
              <w:tabs>
                <w:tab w:val="decimal" w:pos="975"/>
              </w:tabs>
              <w:jc w:val="left"/>
            </w:pPr>
            <w:r w:rsidRPr="000F68B8">
              <w:rPr>
                <w:color w:val="000000"/>
              </w:rPr>
              <w:t xml:space="preserve">900,000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4111EB6" w14:textId="47816E3B">
            <w:pPr>
              <w:tabs>
                <w:tab w:val="decimal" w:pos="1185"/>
              </w:tabs>
              <w:jc w:val="left"/>
            </w:pPr>
            <w:r w:rsidRPr="000F68B8">
              <w:rPr>
                <w:color w:val="000000"/>
              </w:rPr>
              <w:t xml:space="preserve">481,065,000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FD40A26" w14:textId="0604ED0D">
            <w:pPr>
              <w:tabs>
                <w:tab w:val="decimal" w:pos="330"/>
              </w:tabs>
              <w:jc w:val="left"/>
            </w:pPr>
            <w:r w:rsidRPr="000F68B8">
              <w:rPr>
                <w:color w:val="000000"/>
              </w:rPr>
              <w:t>30.687%</w:t>
            </w:r>
          </w:p>
        </w:tc>
      </w:tr>
      <w:tr w:rsidRPr="002F168A" w:rsidR="000F68B8" w:rsidTr="00921901" w14:paraId="6386CDCF"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DEA155E"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08427053" w14:textId="17D66B7C">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77DBC3F7" w14:textId="0D6B9851">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44F9D430" w14:textId="43FBFB3A">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3F4E2036" w14:textId="4B6EAC98">
            <w:pPr>
              <w:tabs>
                <w:tab w:val="decimal" w:pos="975"/>
              </w:tabs>
              <w:jc w:val="left"/>
            </w:pPr>
            <w:r w:rsidRPr="000F68B8">
              <w:rPr>
                <w:color w:val="000000"/>
              </w:rPr>
              <w:t xml:space="preserve">610,000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3368B3D" w14:textId="6FE010EB">
            <w:pPr>
              <w:tabs>
                <w:tab w:val="decimal" w:pos="1185"/>
              </w:tabs>
              <w:jc w:val="left"/>
            </w:pPr>
            <w:r w:rsidRPr="000F68B8">
              <w:rPr>
                <w:color w:val="000000"/>
              </w:rPr>
              <w:t xml:space="preserve">481,675,000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E8871E9" w14:textId="0606C532">
            <w:pPr>
              <w:tabs>
                <w:tab w:val="decimal" w:pos="330"/>
              </w:tabs>
              <w:jc w:val="left"/>
            </w:pPr>
            <w:r w:rsidRPr="000F68B8">
              <w:rPr>
                <w:color w:val="000000"/>
              </w:rPr>
              <w:t>30.726%</w:t>
            </w:r>
          </w:p>
        </w:tc>
      </w:tr>
      <w:tr w:rsidRPr="002F168A" w:rsidR="000F68B8" w:rsidTr="00921901" w14:paraId="74890ABE"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C11E7D5"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5F7977D" w14:textId="17E62624">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367B90B2" w14:textId="73BF109F">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D6AC0ED" w14:textId="34E1AC6C">
            <w:pPr>
              <w:jc w:val="center"/>
            </w:pPr>
            <w:r w:rsidRPr="000F68B8">
              <w:rPr>
                <w:color w:val="000000"/>
              </w:rPr>
              <w:t>7/1/2025</w:t>
            </w:r>
          </w:p>
        </w:tc>
        <w:tc>
          <w:tcPr>
            <w:tcW w:w="1220" w:type="dxa"/>
            <w:tcBorders>
              <w:top w:val="nil"/>
              <w:left w:val="nil"/>
              <w:bottom w:val="nil"/>
              <w:right w:val="nil"/>
            </w:tcBorders>
            <w:shd w:val="clear" w:color="auto" w:fill="auto"/>
            <w:noWrap/>
            <w:vAlign w:val="bottom"/>
          </w:tcPr>
          <w:p w:rsidRPr="000F68B8" w:rsidR="000F68B8" w:rsidP="000F68B8" w:rsidRDefault="000F68B8" w14:paraId="437809C8" w14:textId="01F5EF13">
            <w:pPr>
              <w:tabs>
                <w:tab w:val="decimal" w:pos="975"/>
              </w:tabs>
              <w:jc w:val="left"/>
            </w:pPr>
            <w:r w:rsidRPr="000F68B8">
              <w:rPr>
                <w:color w:val="000000"/>
              </w:rPr>
              <w:t xml:space="preserve">625,000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F1C14A5" w14:textId="52E16E5D">
            <w:pPr>
              <w:tabs>
                <w:tab w:val="decimal" w:pos="1185"/>
              </w:tabs>
              <w:jc w:val="left"/>
            </w:pPr>
            <w:r w:rsidRPr="000F68B8">
              <w:rPr>
                <w:color w:val="000000"/>
              </w:rPr>
              <w:t xml:space="preserve">482,300,000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350F9BA" w14:textId="4CC7CEDA">
            <w:pPr>
              <w:tabs>
                <w:tab w:val="decimal" w:pos="330"/>
              </w:tabs>
              <w:jc w:val="left"/>
            </w:pPr>
            <w:r w:rsidRPr="000F68B8">
              <w:rPr>
                <w:color w:val="000000"/>
              </w:rPr>
              <w:t>30.766%</w:t>
            </w:r>
          </w:p>
        </w:tc>
      </w:tr>
      <w:tr w:rsidRPr="002F168A" w:rsidR="000F68B8" w:rsidTr="00921901" w14:paraId="1C39BA54"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70315CC"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C683483" w14:textId="7351E3BE">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54B353BD" w14:textId="03EDA29F">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7EA064CE" w14:textId="50A08898">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6A48294C" w14:textId="2D53C40C">
            <w:pPr>
              <w:tabs>
                <w:tab w:val="decimal" w:pos="975"/>
              </w:tabs>
              <w:jc w:val="left"/>
            </w:pPr>
            <w:r w:rsidRPr="000F68B8">
              <w:rPr>
                <w:color w:val="000000"/>
              </w:rPr>
              <w:t xml:space="preserve">630,000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D652931" w14:textId="0194DE2C">
            <w:pPr>
              <w:tabs>
                <w:tab w:val="decimal" w:pos="1185"/>
              </w:tabs>
              <w:jc w:val="left"/>
            </w:pPr>
            <w:r w:rsidRPr="000F68B8">
              <w:rPr>
                <w:color w:val="000000"/>
              </w:rPr>
              <w:t xml:space="preserve">482,930,000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CEA1BCF" w14:textId="28576A2C">
            <w:pPr>
              <w:tabs>
                <w:tab w:val="decimal" w:pos="330"/>
              </w:tabs>
              <w:jc w:val="left"/>
            </w:pPr>
            <w:r w:rsidRPr="000F68B8">
              <w:rPr>
                <w:color w:val="000000"/>
              </w:rPr>
              <w:t>30.806%</w:t>
            </w:r>
          </w:p>
        </w:tc>
      </w:tr>
      <w:tr w:rsidRPr="002F168A" w:rsidR="000F68B8" w:rsidTr="00921901" w14:paraId="728F5A5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14371CF"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371F94D" w14:textId="279ADC1C">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0675D66B" w14:textId="4E844ECE">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71AF795F" w14:textId="39A5157F">
            <w:pPr>
              <w:jc w:val="center"/>
            </w:pPr>
            <w:r w:rsidRPr="000F68B8">
              <w:rPr>
                <w:color w:val="000000"/>
              </w:rPr>
              <w:t>7/1/2026</w:t>
            </w:r>
          </w:p>
        </w:tc>
        <w:tc>
          <w:tcPr>
            <w:tcW w:w="1220" w:type="dxa"/>
            <w:tcBorders>
              <w:top w:val="nil"/>
              <w:left w:val="nil"/>
              <w:bottom w:val="nil"/>
              <w:right w:val="nil"/>
            </w:tcBorders>
            <w:shd w:val="clear" w:color="auto" w:fill="auto"/>
            <w:noWrap/>
            <w:vAlign w:val="bottom"/>
          </w:tcPr>
          <w:p w:rsidRPr="000F68B8" w:rsidR="000F68B8" w:rsidP="000F68B8" w:rsidRDefault="000F68B8" w14:paraId="73D01BAF" w14:textId="471C0158">
            <w:pPr>
              <w:tabs>
                <w:tab w:val="decimal" w:pos="975"/>
              </w:tabs>
              <w:jc w:val="left"/>
            </w:pPr>
            <w:r w:rsidRPr="000F68B8">
              <w:rPr>
                <w:color w:val="000000"/>
              </w:rPr>
              <w:t xml:space="preserve">645,000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1C2F141" w14:textId="186C7220">
            <w:pPr>
              <w:tabs>
                <w:tab w:val="decimal" w:pos="1185"/>
              </w:tabs>
              <w:jc w:val="left"/>
            </w:pPr>
            <w:r w:rsidRPr="000F68B8">
              <w:rPr>
                <w:color w:val="000000"/>
              </w:rPr>
              <w:t xml:space="preserve">483,575,000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EADF4A5" w14:textId="3C90DFD1">
            <w:pPr>
              <w:tabs>
                <w:tab w:val="decimal" w:pos="330"/>
              </w:tabs>
              <w:jc w:val="left"/>
            </w:pPr>
            <w:r w:rsidRPr="000F68B8">
              <w:rPr>
                <w:color w:val="000000"/>
              </w:rPr>
              <w:t>30.847%</w:t>
            </w:r>
          </w:p>
        </w:tc>
      </w:tr>
      <w:tr w:rsidRPr="002F168A" w:rsidR="000F68B8" w:rsidTr="00921901" w14:paraId="2F46E89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57254D1"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E2CCA11" w14:textId="7AFAE593">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3750B67C" w14:textId="44D012A5">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2E757163" w14:textId="0D3680A8">
            <w:pPr>
              <w:jc w:val="center"/>
            </w:pPr>
            <w:r w:rsidRPr="000F68B8">
              <w:rPr>
                <w:color w:val="000000"/>
              </w:rPr>
              <w:t>1/1/2027</w:t>
            </w:r>
          </w:p>
        </w:tc>
        <w:tc>
          <w:tcPr>
            <w:tcW w:w="1220" w:type="dxa"/>
            <w:tcBorders>
              <w:top w:val="nil"/>
              <w:left w:val="nil"/>
              <w:bottom w:val="nil"/>
              <w:right w:val="nil"/>
            </w:tcBorders>
            <w:shd w:val="clear" w:color="auto" w:fill="auto"/>
            <w:noWrap/>
            <w:vAlign w:val="bottom"/>
          </w:tcPr>
          <w:p w:rsidRPr="000F68B8" w:rsidR="000F68B8" w:rsidP="000F68B8" w:rsidRDefault="000F68B8" w14:paraId="6A8BC199" w14:textId="1362FCCF">
            <w:pPr>
              <w:tabs>
                <w:tab w:val="decimal" w:pos="975"/>
              </w:tabs>
              <w:jc w:val="left"/>
            </w:pPr>
            <w:r w:rsidRPr="000F68B8">
              <w:rPr>
                <w:color w:val="000000"/>
              </w:rPr>
              <w:t xml:space="preserve">655,000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E8EF43C" w14:textId="57895A1A">
            <w:pPr>
              <w:tabs>
                <w:tab w:val="decimal" w:pos="1185"/>
              </w:tabs>
              <w:jc w:val="left"/>
            </w:pPr>
            <w:r w:rsidRPr="000F68B8">
              <w:rPr>
                <w:color w:val="000000"/>
              </w:rPr>
              <w:t xml:space="preserve">484,230,000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D3C599F" w14:textId="1CE739DB">
            <w:pPr>
              <w:tabs>
                <w:tab w:val="decimal" w:pos="330"/>
              </w:tabs>
              <w:jc w:val="left"/>
            </w:pPr>
            <w:r w:rsidRPr="000F68B8">
              <w:rPr>
                <w:color w:val="000000"/>
              </w:rPr>
              <w:t>30.889%</w:t>
            </w:r>
          </w:p>
        </w:tc>
      </w:tr>
      <w:tr w:rsidRPr="002F168A" w:rsidR="000F68B8" w:rsidTr="00921901" w14:paraId="55C2EC5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E1E7A1C"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23F6A27" w14:textId="06463C94">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75D815E2" w14:textId="7D682DA9">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7DCC7662" w14:textId="7EF2667F">
            <w:pPr>
              <w:jc w:val="center"/>
            </w:pPr>
            <w:r w:rsidRPr="000F68B8">
              <w:rPr>
                <w:color w:val="000000"/>
              </w:rPr>
              <w:t>7/1/2027</w:t>
            </w:r>
          </w:p>
        </w:tc>
        <w:tc>
          <w:tcPr>
            <w:tcW w:w="1220" w:type="dxa"/>
            <w:tcBorders>
              <w:top w:val="nil"/>
              <w:left w:val="nil"/>
              <w:bottom w:val="nil"/>
              <w:right w:val="nil"/>
            </w:tcBorders>
            <w:shd w:val="clear" w:color="auto" w:fill="auto"/>
            <w:noWrap/>
            <w:vAlign w:val="bottom"/>
          </w:tcPr>
          <w:p w:rsidRPr="000F68B8" w:rsidR="000F68B8" w:rsidP="000F68B8" w:rsidRDefault="000F68B8" w14:paraId="27E69466" w14:textId="4B528D88">
            <w:pPr>
              <w:tabs>
                <w:tab w:val="decimal" w:pos="975"/>
              </w:tabs>
              <w:jc w:val="left"/>
            </w:pPr>
            <w:r w:rsidRPr="000F68B8">
              <w:rPr>
                <w:color w:val="000000"/>
              </w:rPr>
              <w:t xml:space="preserve">665,000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53D7DE33" w14:textId="390C7E70">
            <w:pPr>
              <w:tabs>
                <w:tab w:val="decimal" w:pos="1185"/>
              </w:tabs>
              <w:jc w:val="left"/>
            </w:pPr>
            <w:r w:rsidRPr="000F68B8">
              <w:rPr>
                <w:color w:val="000000"/>
              </w:rPr>
              <w:t xml:space="preserve">484,895,000 </w:t>
            </w:r>
          </w:p>
        </w:tc>
        <w:tc>
          <w:tcPr>
            <w:tcW w:w="1160" w:type="dxa"/>
            <w:tcBorders>
              <w:top w:val="nil"/>
              <w:left w:val="nil"/>
              <w:bottom w:val="nil"/>
              <w:right w:val="nil"/>
            </w:tcBorders>
            <w:shd w:val="clear" w:color="auto" w:fill="auto"/>
            <w:noWrap/>
            <w:vAlign w:val="bottom"/>
          </w:tcPr>
          <w:p w:rsidRPr="000F68B8" w:rsidR="000F68B8" w:rsidP="000F68B8" w:rsidRDefault="000F68B8" w14:paraId="1B743FDE" w14:textId="6DA353BB">
            <w:pPr>
              <w:tabs>
                <w:tab w:val="decimal" w:pos="330"/>
              </w:tabs>
              <w:jc w:val="left"/>
            </w:pPr>
            <w:r w:rsidRPr="000F68B8">
              <w:rPr>
                <w:color w:val="000000"/>
              </w:rPr>
              <w:t>30.931%</w:t>
            </w:r>
          </w:p>
        </w:tc>
      </w:tr>
      <w:tr w:rsidRPr="002F168A" w:rsidR="000F68B8" w:rsidTr="00921901" w14:paraId="6A5E2A6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BF6D9FE"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815DEA7" w14:textId="4F8EBD20">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7A0BB6C2" w14:textId="20ACB7EA">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2E6F27B0" w14:textId="3453228E">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79526479" w14:textId="2F5B54F9">
            <w:pPr>
              <w:tabs>
                <w:tab w:val="decimal" w:pos="975"/>
              </w:tabs>
              <w:jc w:val="left"/>
            </w:pPr>
            <w:r w:rsidRPr="000F68B8">
              <w:rPr>
                <w:color w:val="000000"/>
              </w:rPr>
              <w:t xml:space="preserve">675,000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8E5787B" w14:textId="5DD79678">
            <w:pPr>
              <w:tabs>
                <w:tab w:val="decimal" w:pos="1185"/>
              </w:tabs>
              <w:jc w:val="left"/>
            </w:pPr>
            <w:r w:rsidRPr="000F68B8">
              <w:rPr>
                <w:color w:val="000000"/>
              </w:rPr>
              <w:t xml:space="preserve">485,570,000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64BF0B5" w14:textId="2DD03096">
            <w:pPr>
              <w:tabs>
                <w:tab w:val="decimal" w:pos="330"/>
              </w:tabs>
              <w:jc w:val="left"/>
            </w:pPr>
            <w:r w:rsidRPr="000F68B8">
              <w:rPr>
                <w:color w:val="000000"/>
              </w:rPr>
              <w:t>30.974%</w:t>
            </w:r>
          </w:p>
        </w:tc>
      </w:tr>
      <w:tr w:rsidRPr="002F168A" w:rsidR="000F68B8" w:rsidTr="00921901" w14:paraId="03B2FCC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A6274CF"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E280344" w14:textId="31FA59C8">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001207EC" w14:textId="1D1847E1">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4EC68F66" w14:textId="74616458">
            <w:pPr>
              <w:jc w:val="center"/>
            </w:pPr>
            <w:r w:rsidRPr="000F68B8">
              <w:rPr>
                <w:color w:val="000000"/>
              </w:rPr>
              <w:t>7/1/2028</w:t>
            </w:r>
          </w:p>
        </w:tc>
        <w:tc>
          <w:tcPr>
            <w:tcW w:w="1220" w:type="dxa"/>
            <w:tcBorders>
              <w:top w:val="nil"/>
              <w:left w:val="nil"/>
              <w:bottom w:val="nil"/>
              <w:right w:val="nil"/>
            </w:tcBorders>
            <w:shd w:val="clear" w:color="auto" w:fill="auto"/>
            <w:noWrap/>
            <w:vAlign w:val="bottom"/>
          </w:tcPr>
          <w:p w:rsidRPr="000F68B8" w:rsidR="000F68B8" w:rsidP="000F68B8" w:rsidRDefault="000F68B8" w14:paraId="32780B68" w14:textId="32B45468">
            <w:pPr>
              <w:tabs>
                <w:tab w:val="decimal" w:pos="975"/>
              </w:tabs>
              <w:jc w:val="left"/>
            </w:pPr>
            <w:r w:rsidRPr="000F68B8">
              <w:rPr>
                <w:color w:val="000000"/>
              </w:rPr>
              <w:t xml:space="preserve">685,000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25A639B" w14:textId="4B16F951">
            <w:pPr>
              <w:tabs>
                <w:tab w:val="decimal" w:pos="1185"/>
              </w:tabs>
              <w:jc w:val="left"/>
            </w:pPr>
            <w:r w:rsidRPr="000F68B8">
              <w:rPr>
                <w:color w:val="000000"/>
              </w:rPr>
              <w:t xml:space="preserve">486,255,000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0AC0E72" w14:textId="26E4A384">
            <w:pPr>
              <w:tabs>
                <w:tab w:val="decimal" w:pos="330"/>
              </w:tabs>
              <w:jc w:val="left"/>
            </w:pPr>
            <w:r w:rsidRPr="000F68B8">
              <w:rPr>
                <w:color w:val="000000"/>
              </w:rPr>
              <w:t>31.018%</w:t>
            </w:r>
          </w:p>
        </w:tc>
      </w:tr>
      <w:tr w:rsidRPr="002F168A" w:rsidR="000F68B8" w:rsidTr="00921901" w14:paraId="0C707EA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292BCC4"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2608916" w14:textId="6C53095F">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2C7801B0" w14:textId="478A3B3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12E5779C" w14:textId="57537E1A">
            <w:pPr>
              <w:jc w:val="center"/>
            </w:pPr>
            <w:r w:rsidRPr="000F68B8">
              <w:rPr>
                <w:color w:val="000000"/>
              </w:rPr>
              <w:t>1/1/2029</w:t>
            </w:r>
          </w:p>
        </w:tc>
        <w:tc>
          <w:tcPr>
            <w:tcW w:w="1220" w:type="dxa"/>
            <w:tcBorders>
              <w:top w:val="nil"/>
              <w:left w:val="nil"/>
              <w:bottom w:val="nil"/>
              <w:right w:val="nil"/>
            </w:tcBorders>
            <w:shd w:val="clear" w:color="auto" w:fill="auto"/>
            <w:noWrap/>
            <w:vAlign w:val="bottom"/>
          </w:tcPr>
          <w:p w:rsidRPr="000F68B8" w:rsidR="000F68B8" w:rsidP="000F68B8" w:rsidRDefault="000F68B8" w14:paraId="082A57C5" w14:textId="4B67629B">
            <w:pPr>
              <w:tabs>
                <w:tab w:val="decimal" w:pos="975"/>
              </w:tabs>
              <w:jc w:val="left"/>
            </w:pPr>
            <w:r w:rsidRPr="000F68B8">
              <w:rPr>
                <w:color w:val="000000"/>
              </w:rPr>
              <w:t xml:space="preserve">700,000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B75C79A" w14:textId="583EA767">
            <w:pPr>
              <w:tabs>
                <w:tab w:val="decimal" w:pos="1185"/>
              </w:tabs>
              <w:jc w:val="left"/>
            </w:pPr>
            <w:r w:rsidRPr="000F68B8">
              <w:rPr>
                <w:color w:val="000000"/>
              </w:rPr>
              <w:t xml:space="preserve">486,955,000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50775123" w14:textId="2C61BB32">
            <w:pPr>
              <w:tabs>
                <w:tab w:val="decimal" w:pos="330"/>
              </w:tabs>
              <w:jc w:val="left"/>
            </w:pPr>
            <w:r w:rsidRPr="000F68B8">
              <w:rPr>
                <w:color w:val="000000"/>
              </w:rPr>
              <w:t>31.063%</w:t>
            </w:r>
          </w:p>
        </w:tc>
      </w:tr>
      <w:tr w:rsidRPr="002F168A" w:rsidR="000F68B8" w:rsidTr="00921901" w14:paraId="1BBA1D3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F13E4F1"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942C94B" w14:textId="489B78CC">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023110A0" w14:textId="1D0F44FD">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2F577D74" w14:textId="39198848">
            <w:pPr>
              <w:jc w:val="center"/>
            </w:pPr>
            <w:r w:rsidRPr="000F68B8">
              <w:rPr>
                <w:color w:val="000000"/>
              </w:rPr>
              <w:t>7/1/2029</w:t>
            </w:r>
          </w:p>
        </w:tc>
        <w:tc>
          <w:tcPr>
            <w:tcW w:w="1220" w:type="dxa"/>
            <w:tcBorders>
              <w:top w:val="nil"/>
              <w:left w:val="nil"/>
              <w:bottom w:val="nil"/>
              <w:right w:val="nil"/>
            </w:tcBorders>
            <w:shd w:val="clear" w:color="auto" w:fill="auto"/>
            <w:noWrap/>
            <w:vAlign w:val="bottom"/>
          </w:tcPr>
          <w:p w:rsidRPr="000F68B8" w:rsidR="000F68B8" w:rsidP="000F68B8" w:rsidRDefault="000F68B8" w14:paraId="4A748EE1" w14:textId="76A9051D">
            <w:pPr>
              <w:tabs>
                <w:tab w:val="decimal" w:pos="975"/>
              </w:tabs>
              <w:jc w:val="left"/>
            </w:pPr>
            <w:r w:rsidRPr="000F68B8">
              <w:rPr>
                <w:color w:val="000000"/>
              </w:rPr>
              <w:t xml:space="preserve">710,000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49A2002" w14:textId="4D361C8D">
            <w:pPr>
              <w:tabs>
                <w:tab w:val="decimal" w:pos="1185"/>
              </w:tabs>
              <w:jc w:val="left"/>
            </w:pPr>
            <w:r w:rsidRPr="000F68B8">
              <w:rPr>
                <w:color w:val="000000"/>
              </w:rPr>
              <w:t xml:space="preserve">487,665,000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57CAD780" w14:textId="3C574881">
            <w:pPr>
              <w:tabs>
                <w:tab w:val="decimal" w:pos="330"/>
              </w:tabs>
              <w:jc w:val="left"/>
            </w:pPr>
            <w:r w:rsidRPr="000F68B8">
              <w:rPr>
                <w:color w:val="000000"/>
              </w:rPr>
              <w:t>31.108%</w:t>
            </w:r>
          </w:p>
        </w:tc>
      </w:tr>
      <w:tr w:rsidRPr="002F168A" w:rsidR="000F68B8" w:rsidTr="00921901" w14:paraId="1EBE1FC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F8AF410"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0C20705" w14:textId="0F760A8C">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6E94125F" w14:textId="6DD66FBB">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4191B242" w14:textId="238E0E05">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0D706F9D" w14:textId="2FF2202B">
            <w:pPr>
              <w:tabs>
                <w:tab w:val="decimal" w:pos="975"/>
              </w:tabs>
              <w:jc w:val="left"/>
            </w:pPr>
            <w:r w:rsidRPr="000F68B8">
              <w:rPr>
                <w:color w:val="000000"/>
              </w:rPr>
              <w:t xml:space="preserve">1,245,000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D768126" w14:textId="76C8EE61">
            <w:pPr>
              <w:tabs>
                <w:tab w:val="decimal" w:pos="1185"/>
              </w:tabs>
              <w:jc w:val="left"/>
            </w:pPr>
            <w:r w:rsidRPr="000F68B8">
              <w:rPr>
                <w:color w:val="000000"/>
              </w:rPr>
              <w:t xml:space="preserve">488,910,000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645619A" w14:textId="7B854072">
            <w:pPr>
              <w:tabs>
                <w:tab w:val="decimal" w:pos="330"/>
              </w:tabs>
              <w:jc w:val="left"/>
            </w:pPr>
            <w:r w:rsidRPr="000F68B8">
              <w:rPr>
                <w:color w:val="000000"/>
              </w:rPr>
              <w:t>31.187%</w:t>
            </w:r>
          </w:p>
        </w:tc>
      </w:tr>
      <w:tr w:rsidRPr="002F168A" w:rsidR="000F68B8" w:rsidTr="00921901" w14:paraId="0D6CEAE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2E9C6B8"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D793BBC" w14:textId="3E7F4792">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2EF592A9" w14:textId="56894042">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1E081E82" w14:textId="1BBCA3D2">
            <w:pPr>
              <w:jc w:val="center"/>
            </w:pPr>
            <w:r w:rsidRPr="000F68B8">
              <w:rPr>
                <w:color w:val="000000"/>
              </w:rPr>
              <w:t>7/1/2025</w:t>
            </w:r>
          </w:p>
        </w:tc>
        <w:tc>
          <w:tcPr>
            <w:tcW w:w="1220" w:type="dxa"/>
            <w:tcBorders>
              <w:top w:val="nil"/>
              <w:left w:val="nil"/>
              <w:bottom w:val="nil"/>
              <w:right w:val="nil"/>
            </w:tcBorders>
            <w:shd w:val="clear" w:color="auto" w:fill="auto"/>
            <w:noWrap/>
            <w:vAlign w:val="bottom"/>
          </w:tcPr>
          <w:p w:rsidRPr="000F68B8" w:rsidR="000F68B8" w:rsidP="000F68B8" w:rsidRDefault="000F68B8" w14:paraId="38873526" w14:textId="156DFA80">
            <w:pPr>
              <w:tabs>
                <w:tab w:val="decimal" w:pos="975"/>
              </w:tabs>
              <w:jc w:val="left"/>
            </w:pPr>
            <w:r w:rsidRPr="000F68B8">
              <w:rPr>
                <w:color w:val="000000"/>
              </w:rPr>
              <w:t xml:space="preserve">1,260,000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60EB711" w14:textId="372FAC55">
            <w:pPr>
              <w:tabs>
                <w:tab w:val="decimal" w:pos="1185"/>
              </w:tabs>
              <w:jc w:val="left"/>
            </w:pPr>
            <w:r w:rsidRPr="000F68B8">
              <w:rPr>
                <w:color w:val="000000"/>
              </w:rPr>
              <w:t xml:space="preserve">490,170,000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D91CCDB" w14:textId="42064F79">
            <w:pPr>
              <w:tabs>
                <w:tab w:val="decimal" w:pos="330"/>
              </w:tabs>
              <w:jc w:val="left"/>
            </w:pPr>
            <w:r w:rsidRPr="000F68B8">
              <w:rPr>
                <w:color w:val="000000"/>
              </w:rPr>
              <w:t>31.268%</w:t>
            </w:r>
          </w:p>
        </w:tc>
      </w:tr>
      <w:tr w:rsidRPr="002F168A" w:rsidR="000F68B8" w:rsidTr="00921901" w14:paraId="605F2EA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2F3EE54"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30AE5FB" w14:textId="33E9740C">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1425A361" w14:textId="6A731065">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02F987E0" w14:textId="2EE56623">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39DE425D" w14:textId="3AF31CAF">
            <w:pPr>
              <w:tabs>
                <w:tab w:val="decimal" w:pos="975"/>
              </w:tabs>
              <w:jc w:val="left"/>
            </w:pPr>
            <w:r w:rsidRPr="000F68B8">
              <w:rPr>
                <w:color w:val="000000"/>
              </w:rPr>
              <w:t xml:space="preserve">1,290,000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EA4C727" w14:textId="1BA03D51">
            <w:pPr>
              <w:tabs>
                <w:tab w:val="decimal" w:pos="1185"/>
              </w:tabs>
              <w:jc w:val="left"/>
            </w:pPr>
            <w:r w:rsidRPr="000F68B8">
              <w:rPr>
                <w:color w:val="000000"/>
              </w:rPr>
              <w:t xml:space="preserve">491,460,000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278D3B9" w14:textId="0723AAC1">
            <w:pPr>
              <w:tabs>
                <w:tab w:val="decimal" w:pos="330"/>
              </w:tabs>
              <w:jc w:val="left"/>
            </w:pPr>
            <w:r w:rsidRPr="000F68B8">
              <w:rPr>
                <w:color w:val="000000"/>
              </w:rPr>
              <w:t>31.350%</w:t>
            </w:r>
          </w:p>
        </w:tc>
      </w:tr>
      <w:tr w:rsidRPr="002F168A" w:rsidR="000F68B8" w:rsidTr="00921901" w14:paraId="45FE793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402732D"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D095239" w14:textId="1E15B931">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29A43C7C" w14:textId="5B48EC86">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1CB12A7B" w14:textId="318C250E">
            <w:pPr>
              <w:jc w:val="center"/>
            </w:pPr>
            <w:r w:rsidRPr="000F68B8">
              <w:rPr>
                <w:color w:val="000000"/>
              </w:rPr>
              <w:t>7/1/2026</w:t>
            </w:r>
          </w:p>
        </w:tc>
        <w:tc>
          <w:tcPr>
            <w:tcW w:w="1220" w:type="dxa"/>
            <w:tcBorders>
              <w:top w:val="nil"/>
              <w:left w:val="nil"/>
              <w:bottom w:val="nil"/>
              <w:right w:val="nil"/>
            </w:tcBorders>
            <w:shd w:val="clear" w:color="auto" w:fill="auto"/>
            <w:noWrap/>
            <w:vAlign w:val="bottom"/>
          </w:tcPr>
          <w:p w:rsidRPr="000F68B8" w:rsidR="000F68B8" w:rsidP="000F68B8" w:rsidRDefault="000F68B8" w14:paraId="53B76475" w14:textId="6D5D1ACC">
            <w:pPr>
              <w:tabs>
                <w:tab w:val="decimal" w:pos="975"/>
              </w:tabs>
              <w:jc w:val="left"/>
            </w:pPr>
            <w:r w:rsidRPr="000F68B8">
              <w:rPr>
                <w:color w:val="000000"/>
              </w:rPr>
              <w:t xml:space="preserve">1,305,000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D95CA0D" w14:textId="27DA042A">
            <w:pPr>
              <w:tabs>
                <w:tab w:val="decimal" w:pos="1185"/>
              </w:tabs>
              <w:jc w:val="left"/>
            </w:pPr>
            <w:r w:rsidRPr="000F68B8">
              <w:rPr>
                <w:color w:val="000000"/>
              </w:rPr>
              <w:t xml:space="preserve">492,765,000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6751DA1" w14:textId="7E5A60C3">
            <w:pPr>
              <w:tabs>
                <w:tab w:val="decimal" w:pos="330"/>
              </w:tabs>
              <w:jc w:val="left"/>
            </w:pPr>
            <w:r w:rsidRPr="000F68B8">
              <w:rPr>
                <w:color w:val="000000"/>
              </w:rPr>
              <w:t>31.433%</w:t>
            </w:r>
          </w:p>
        </w:tc>
      </w:tr>
      <w:tr w:rsidRPr="002F168A" w:rsidR="000F68B8" w:rsidTr="00921901" w14:paraId="5CE32F0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81643BC"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0931897F" w14:textId="426E558E">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4C748CE6" w14:textId="17A6B7D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2E4E4380" w14:textId="687669D8">
            <w:pPr>
              <w:jc w:val="center"/>
            </w:pPr>
            <w:r w:rsidRPr="000F68B8">
              <w:rPr>
                <w:color w:val="000000"/>
              </w:rPr>
              <w:t>1/1/2027</w:t>
            </w:r>
          </w:p>
        </w:tc>
        <w:tc>
          <w:tcPr>
            <w:tcW w:w="1220" w:type="dxa"/>
            <w:tcBorders>
              <w:top w:val="nil"/>
              <w:left w:val="nil"/>
              <w:bottom w:val="nil"/>
              <w:right w:val="nil"/>
            </w:tcBorders>
            <w:shd w:val="clear" w:color="auto" w:fill="auto"/>
            <w:noWrap/>
            <w:vAlign w:val="bottom"/>
          </w:tcPr>
          <w:p w:rsidRPr="000F68B8" w:rsidR="000F68B8" w:rsidP="000F68B8" w:rsidRDefault="000F68B8" w14:paraId="0B804737" w14:textId="71DE8311">
            <w:pPr>
              <w:tabs>
                <w:tab w:val="decimal" w:pos="975"/>
              </w:tabs>
              <w:jc w:val="left"/>
            </w:pPr>
            <w:r w:rsidRPr="000F68B8">
              <w:rPr>
                <w:color w:val="000000"/>
              </w:rPr>
              <w:t xml:space="preserve">1,335,000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5338C7EB" w14:textId="00570BC8">
            <w:pPr>
              <w:tabs>
                <w:tab w:val="decimal" w:pos="1185"/>
              </w:tabs>
              <w:jc w:val="left"/>
            </w:pPr>
            <w:r w:rsidRPr="000F68B8">
              <w:rPr>
                <w:color w:val="000000"/>
              </w:rPr>
              <w:t xml:space="preserve">494,100,000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45A7264" w14:textId="6C3F10F3">
            <w:pPr>
              <w:tabs>
                <w:tab w:val="decimal" w:pos="330"/>
              </w:tabs>
              <w:jc w:val="left"/>
            </w:pPr>
            <w:r w:rsidRPr="000F68B8">
              <w:rPr>
                <w:color w:val="000000"/>
              </w:rPr>
              <w:t>31.519%</w:t>
            </w:r>
          </w:p>
        </w:tc>
      </w:tr>
      <w:tr w:rsidRPr="002F168A" w:rsidR="000F68B8" w:rsidTr="00921901" w14:paraId="6FB6E8C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688EFBF"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E623467" w14:textId="1DD510BD">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388107DE" w14:textId="71E82AF7">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4917AF2F" w14:textId="21C7628E">
            <w:pPr>
              <w:jc w:val="center"/>
            </w:pPr>
            <w:r w:rsidRPr="000F68B8">
              <w:rPr>
                <w:color w:val="000000"/>
              </w:rPr>
              <w:t>7/1/2027</w:t>
            </w:r>
          </w:p>
        </w:tc>
        <w:tc>
          <w:tcPr>
            <w:tcW w:w="1220" w:type="dxa"/>
            <w:tcBorders>
              <w:top w:val="nil"/>
              <w:left w:val="nil"/>
              <w:bottom w:val="nil"/>
              <w:right w:val="nil"/>
            </w:tcBorders>
            <w:shd w:val="clear" w:color="auto" w:fill="auto"/>
            <w:noWrap/>
            <w:vAlign w:val="bottom"/>
          </w:tcPr>
          <w:p w:rsidRPr="000F68B8" w:rsidR="000F68B8" w:rsidP="000F68B8" w:rsidRDefault="000F68B8" w14:paraId="2CA86841" w14:textId="266B9AA6">
            <w:pPr>
              <w:tabs>
                <w:tab w:val="decimal" w:pos="975"/>
              </w:tabs>
              <w:jc w:val="left"/>
            </w:pPr>
            <w:r w:rsidRPr="000F68B8">
              <w:rPr>
                <w:color w:val="000000"/>
              </w:rPr>
              <w:t xml:space="preserve">1,355,000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53B458B5" w14:textId="0918A57B">
            <w:pPr>
              <w:tabs>
                <w:tab w:val="decimal" w:pos="1185"/>
              </w:tabs>
              <w:jc w:val="left"/>
            </w:pPr>
            <w:r w:rsidRPr="000F68B8">
              <w:rPr>
                <w:color w:val="000000"/>
              </w:rPr>
              <w:t xml:space="preserve">495,455,000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8BC0274" w14:textId="4A7A1AB6">
            <w:pPr>
              <w:tabs>
                <w:tab w:val="decimal" w:pos="330"/>
              </w:tabs>
              <w:jc w:val="left"/>
            </w:pPr>
            <w:r w:rsidRPr="000F68B8">
              <w:rPr>
                <w:color w:val="000000"/>
              </w:rPr>
              <w:t>31.605%</w:t>
            </w:r>
          </w:p>
        </w:tc>
      </w:tr>
      <w:tr w:rsidRPr="002F168A" w:rsidR="000F68B8" w:rsidTr="00921901" w14:paraId="35CE010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7E041D8"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14AEE8F" w14:textId="11EFE892">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42AEBDCA" w14:textId="72C540D6">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44B3C00E" w14:textId="791CA851">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3EDBB27A" w14:textId="11911303">
            <w:pPr>
              <w:tabs>
                <w:tab w:val="decimal" w:pos="975"/>
              </w:tabs>
              <w:jc w:val="left"/>
            </w:pPr>
            <w:r w:rsidRPr="000F68B8">
              <w:rPr>
                <w:color w:val="000000"/>
              </w:rPr>
              <w:t xml:space="preserve">1,380,000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0D5AC08D" w14:textId="05931DD4">
            <w:pPr>
              <w:tabs>
                <w:tab w:val="decimal" w:pos="1185"/>
              </w:tabs>
              <w:jc w:val="left"/>
            </w:pPr>
            <w:r w:rsidRPr="000F68B8">
              <w:rPr>
                <w:color w:val="000000"/>
              </w:rPr>
              <w:t xml:space="preserve">496,835,000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D99869C" w14:textId="495F8944">
            <w:pPr>
              <w:tabs>
                <w:tab w:val="decimal" w:pos="330"/>
              </w:tabs>
              <w:jc w:val="left"/>
            </w:pPr>
            <w:r w:rsidRPr="000F68B8">
              <w:rPr>
                <w:color w:val="000000"/>
              </w:rPr>
              <w:t>31.693%</w:t>
            </w:r>
          </w:p>
        </w:tc>
      </w:tr>
      <w:tr w:rsidRPr="002F168A" w:rsidR="000F68B8" w:rsidTr="00921901" w14:paraId="18CFD20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BC775BC"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DFC6BB6" w14:textId="3BB9EE93">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67BD0AB8" w14:textId="14553C5E">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5A511A5F" w14:textId="5B72173F">
            <w:pPr>
              <w:jc w:val="center"/>
            </w:pPr>
            <w:r w:rsidRPr="000F68B8">
              <w:rPr>
                <w:color w:val="000000"/>
              </w:rPr>
              <w:t>7/1/2028</w:t>
            </w:r>
          </w:p>
        </w:tc>
        <w:tc>
          <w:tcPr>
            <w:tcW w:w="1220" w:type="dxa"/>
            <w:tcBorders>
              <w:top w:val="nil"/>
              <w:left w:val="nil"/>
              <w:bottom w:val="nil"/>
              <w:right w:val="nil"/>
            </w:tcBorders>
            <w:shd w:val="clear" w:color="auto" w:fill="auto"/>
            <w:noWrap/>
            <w:vAlign w:val="bottom"/>
          </w:tcPr>
          <w:p w:rsidRPr="000F68B8" w:rsidR="000F68B8" w:rsidP="000F68B8" w:rsidRDefault="000F68B8" w14:paraId="746D8D11" w14:textId="77EC0948">
            <w:pPr>
              <w:tabs>
                <w:tab w:val="decimal" w:pos="975"/>
              </w:tabs>
              <w:jc w:val="left"/>
            </w:pPr>
            <w:r w:rsidRPr="000F68B8">
              <w:rPr>
                <w:color w:val="000000"/>
              </w:rPr>
              <w:t xml:space="preserve">1,405,000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9C9CE39" w14:textId="352D02FF">
            <w:pPr>
              <w:tabs>
                <w:tab w:val="decimal" w:pos="1185"/>
              </w:tabs>
              <w:jc w:val="left"/>
            </w:pPr>
            <w:r w:rsidRPr="000F68B8">
              <w:rPr>
                <w:color w:val="000000"/>
              </w:rPr>
              <w:t xml:space="preserve">498,240,000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DF91CBA" w14:textId="7121C4AD">
            <w:pPr>
              <w:tabs>
                <w:tab w:val="decimal" w:pos="330"/>
              </w:tabs>
              <w:jc w:val="left"/>
            </w:pPr>
            <w:r w:rsidRPr="000F68B8">
              <w:rPr>
                <w:color w:val="000000"/>
              </w:rPr>
              <w:t>31.783%</w:t>
            </w:r>
          </w:p>
        </w:tc>
      </w:tr>
      <w:tr w:rsidRPr="002F168A" w:rsidR="000F68B8" w:rsidTr="00921901" w14:paraId="1AFEE6B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A7025BD"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B64B9AC" w14:textId="67024675">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2233D89F" w14:textId="24F9A7E9">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A0A1D22" w14:textId="42F2B469">
            <w:pPr>
              <w:jc w:val="center"/>
            </w:pPr>
            <w:r w:rsidRPr="000F68B8">
              <w:rPr>
                <w:color w:val="000000"/>
              </w:rPr>
              <w:t>1/1/2027</w:t>
            </w:r>
          </w:p>
        </w:tc>
        <w:tc>
          <w:tcPr>
            <w:tcW w:w="1220" w:type="dxa"/>
            <w:tcBorders>
              <w:top w:val="nil"/>
              <w:left w:val="nil"/>
              <w:bottom w:val="nil"/>
              <w:right w:val="nil"/>
            </w:tcBorders>
            <w:shd w:val="clear" w:color="auto" w:fill="auto"/>
            <w:noWrap/>
            <w:vAlign w:val="bottom"/>
          </w:tcPr>
          <w:p w:rsidRPr="000F68B8" w:rsidR="000F68B8" w:rsidP="000F68B8" w:rsidRDefault="000F68B8" w14:paraId="310C853B" w14:textId="1AD8C396">
            <w:pPr>
              <w:tabs>
                <w:tab w:val="decimal" w:pos="975"/>
              </w:tabs>
              <w:jc w:val="left"/>
            </w:pPr>
            <w:r w:rsidRPr="000F68B8">
              <w:rPr>
                <w:color w:val="000000"/>
              </w:rPr>
              <w:t xml:space="preserve">780,000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48600725" w14:textId="08D407E5">
            <w:pPr>
              <w:tabs>
                <w:tab w:val="decimal" w:pos="1185"/>
              </w:tabs>
              <w:jc w:val="left"/>
            </w:pPr>
            <w:r w:rsidRPr="000F68B8">
              <w:rPr>
                <w:color w:val="000000"/>
              </w:rPr>
              <w:t xml:space="preserve">499,020,000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6FEE0B2" w14:textId="37830BEC">
            <w:pPr>
              <w:tabs>
                <w:tab w:val="decimal" w:pos="330"/>
              </w:tabs>
              <w:jc w:val="left"/>
            </w:pPr>
            <w:r w:rsidRPr="000F68B8">
              <w:rPr>
                <w:color w:val="000000"/>
              </w:rPr>
              <w:t>31.832%</w:t>
            </w:r>
          </w:p>
        </w:tc>
      </w:tr>
      <w:tr w:rsidRPr="002F168A" w:rsidR="000F68B8" w:rsidTr="00921901" w14:paraId="0BE37C6F"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45CA9E4"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1EE5E95" w14:textId="5D55D42A">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00AF29F0" w14:textId="18AB4D3E">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5AE88B51" w14:textId="740008E4">
            <w:pPr>
              <w:jc w:val="center"/>
            </w:pPr>
            <w:r w:rsidRPr="000F68B8">
              <w:rPr>
                <w:color w:val="000000"/>
              </w:rPr>
              <w:t>7/1/2027</w:t>
            </w:r>
          </w:p>
        </w:tc>
        <w:tc>
          <w:tcPr>
            <w:tcW w:w="1220" w:type="dxa"/>
            <w:tcBorders>
              <w:top w:val="nil"/>
              <w:left w:val="nil"/>
              <w:bottom w:val="nil"/>
              <w:right w:val="nil"/>
            </w:tcBorders>
            <w:shd w:val="clear" w:color="auto" w:fill="auto"/>
            <w:noWrap/>
            <w:vAlign w:val="bottom"/>
          </w:tcPr>
          <w:p w:rsidRPr="000F68B8" w:rsidR="000F68B8" w:rsidP="000F68B8" w:rsidRDefault="000F68B8" w14:paraId="263585EF" w14:textId="493F8AB9">
            <w:pPr>
              <w:tabs>
                <w:tab w:val="decimal" w:pos="975"/>
              </w:tabs>
              <w:jc w:val="left"/>
            </w:pPr>
            <w:r w:rsidRPr="000F68B8">
              <w:rPr>
                <w:color w:val="000000"/>
              </w:rPr>
              <w:t xml:space="preserve">840,000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E5FE927" w14:textId="25B9AD55">
            <w:pPr>
              <w:tabs>
                <w:tab w:val="decimal" w:pos="1185"/>
              </w:tabs>
              <w:jc w:val="left"/>
            </w:pPr>
            <w:r w:rsidRPr="000F68B8">
              <w:rPr>
                <w:color w:val="000000"/>
              </w:rPr>
              <w:t xml:space="preserve">499,860,000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0807A5F" w14:textId="396D25F1">
            <w:pPr>
              <w:tabs>
                <w:tab w:val="decimal" w:pos="330"/>
              </w:tabs>
              <w:jc w:val="left"/>
            </w:pPr>
            <w:r w:rsidRPr="000F68B8">
              <w:rPr>
                <w:color w:val="000000"/>
              </w:rPr>
              <w:t>31.886%</w:t>
            </w:r>
          </w:p>
        </w:tc>
      </w:tr>
      <w:tr w:rsidRPr="002F168A" w:rsidR="000F68B8" w:rsidTr="00921901" w14:paraId="00D6B62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8C3FFCE"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239700E" w14:textId="40B92B0C">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308CAA58" w14:textId="7EBF14D1">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1F6FC2F8" w14:textId="4062107C">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1D976522" w14:textId="5F3B4C5A">
            <w:pPr>
              <w:tabs>
                <w:tab w:val="decimal" w:pos="975"/>
              </w:tabs>
              <w:jc w:val="left"/>
            </w:pPr>
            <w:r w:rsidRPr="000F68B8">
              <w:rPr>
                <w:color w:val="000000"/>
              </w:rPr>
              <w:t xml:space="preserve">850,000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40F964D" w14:textId="00ECF490">
            <w:pPr>
              <w:tabs>
                <w:tab w:val="decimal" w:pos="1185"/>
              </w:tabs>
              <w:jc w:val="left"/>
            </w:pPr>
            <w:r w:rsidRPr="000F68B8">
              <w:rPr>
                <w:color w:val="000000"/>
              </w:rPr>
              <w:t xml:space="preserve">500,710,000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505F6B7" w14:textId="2B5553C9">
            <w:pPr>
              <w:tabs>
                <w:tab w:val="decimal" w:pos="330"/>
              </w:tabs>
              <w:jc w:val="left"/>
            </w:pPr>
            <w:r w:rsidRPr="000F68B8">
              <w:rPr>
                <w:color w:val="000000"/>
              </w:rPr>
              <w:t>31.940%</w:t>
            </w:r>
          </w:p>
        </w:tc>
      </w:tr>
      <w:tr w:rsidRPr="002F168A" w:rsidR="000F68B8" w:rsidTr="00921901" w14:paraId="2B79930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3C3574D"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7F91271" w14:textId="1AB53265">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0945615B" w14:textId="038E9934">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45B48D8A" w14:textId="0D1F300E">
            <w:pPr>
              <w:jc w:val="center"/>
            </w:pPr>
            <w:r w:rsidRPr="000F68B8">
              <w:rPr>
                <w:color w:val="000000"/>
              </w:rPr>
              <w:t>7/1/2028</w:t>
            </w:r>
          </w:p>
        </w:tc>
        <w:tc>
          <w:tcPr>
            <w:tcW w:w="1220" w:type="dxa"/>
            <w:tcBorders>
              <w:top w:val="nil"/>
              <w:left w:val="nil"/>
              <w:bottom w:val="nil"/>
              <w:right w:val="nil"/>
            </w:tcBorders>
            <w:shd w:val="clear" w:color="auto" w:fill="auto"/>
            <w:noWrap/>
            <w:vAlign w:val="bottom"/>
          </w:tcPr>
          <w:p w:rsidRPr="000F68B8" w:rsidR="000F68B8" w:rsidP="000F68B8" w:rsidRDefault="000F68B8" w14:paraId="3AA6CACA" w14:textId="1D6EDFF4">
            <w:pPr>
              <w:tabs>
                <w:tab w:val="decimal" w:pos="975"/>
              </w:tabs>
              <w:jc w:val="left"/>
            </w:pPr>
            <w:r w:rsidRPr="000F68B8">
              <w:rPr>
                <w:color w:val="000000"/>
              </w:rPr>
              <w:t xml:space="preserve">870,000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BBE7130" w14:textId="41924A7D">
            <w:pPr>
              <w:tabs>
                <w:tab w:val="decimal" w:pos="1185"/>
              </w:tabs>
              <w:jc w:val="left"/>
            </w:pPr>
            <w:r w:rsidRPr="000F68B8">
              <w:rPr>
                <w:color w:val="000000"/>
              </w:rPr>
              <w:t xml:space="preserve">501,580,000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409150E" w14:textId="037C1992">
            <w:pPr>
              <w:tabs>
                <w:tab w:val="decimal" w:pos="330"/>
              </w:tabs>
              <w:jc w:val="left"/>
            </w:pPr>
            <w:r w:rsidRPr="000F68B8">
              <w:rPr>
                <w:color w:val="000000"/>
              </w:rPr>
              <w:t>31.996%</w:t>
            </w:r>
          </w:p>
        </w:tc>
      </w:tr>
      <w:tr w:rsidRPr="002F168A" w:rsidR="000F68B8" w:rsidTr="00921901" w14:paraId="25A2CA04"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CB27DF2"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6968DF3" w14:textId="345B07A9">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78D05F5E" w14:textId="10981C5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6CE78CE9" w14:textId="008335BF">
            <w:pPr>
              <w:jc w:val="center"/>
            </w:pPr>
            <w:r w:rsidRPr="000F68B8">
              <w:rPr>
                <w:color w:val="000000"/>
              </w:rPr>
              <w:t>1/1/2029</w:t>
            </w:r>
          </w:p>
        </w:tc>
        <w:tc>
          <w:tcPr>
            <w:tcW w:w="1220" w:type="dxa"/>
            <w:tcBorders>
              <w:top w:val="nil"/>
              <w:left w:val="nil"/>
              <w:bottom w:val="nil"/>
              <w:right w:val="nil"/>
            </w:tcBorders>
            <w:shd w:val="clear" w:color="auto" w:fill="auto"/>
            <w:noWrap/>
            <w:vAlign w:val="bottom"/>
          </w:tcPr>
          <w:p w:rsidRPr="000F68B8" w:rsidR="000F68B8" w:rsidP="000F68B8" w:rsidRDefault="000F68B8" w14:paraId="0A15B8EA" w14:textId="24408141">
            <w:pPr>
              <w:tabs>
                <w:tab w:val="decimal" w:pos="975"/>
              </w:tabs>
              <w:jc w:val="left"/>
            </w:pPr>
            <w:r w:rsidRPr="000F68B8">
              <w:rPr>
                <w:color w:val="000000"/>
              </w:rPr>
              <w:t xml:space="preserve">885,000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7E639CA1" w14:textId="59AB62B1">
            <w:pPr>
              <w:tabs>
                <w:tab w:val="decimal" w:pos="1185"/>
              </w:tabs>
              <w:jc w:val="left"/>
            </w:pPr>
            <w:r w:rsidRPr="000F68B8">
              <w:rPr>
                <w:color w:val="000000"/>
              </w:rPr>
              <w:t xml:space="preserve">502,465,000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E7CD276" w14:textId="4AED9775">
            <w:pPr>
              <w:tabs>
                <w:tab w:val="decimal" w:pos="330"/>
              </w:tabs>
              <w:jc w:val="left"/>
            </w:pPr>
            <w:r w:rsidRPr="000F68B8">
              <w:rPr>
                <w:color w:val="000000"/>
              </w:rPr>
              <w:t>32.052%</w:t>
            </w:r>
          </w:p>
        </w:tc>
      </w:tr>
      <w:tr w:rsidRPr="002F168A" w:rsidR="000F68B8" w:rsidTr="00921901" w14:paraId="4D8FBFC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B6EC312"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33E4DA7" w14:textId="2341B65D">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2835B76B" w14:textId="3684BF4D">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2FCA3CBE" w14:textId="44B19DC1">
            <w:pPr>
              <w:jc w:val="center"/>
            </w:pPr>
            <w:r w:rsidRPr="000F68B8">
              <w:rPr>
                <w:color w:val="000000"/>
              </w:rPr>
              <w:t>7/1/2029</w:t>
            </w:r>
          </w:p>
        </w:tc>
        <w:tc>
          <w:tcPr>
            <w:tcW w:w="1220" w:type="dxa"/>
            <w:tcBorders>
              <w:top w:val="nil"/>
              <w:left w:val="nil"/>
              <w:bottom w:val="nil"/>
              <w:right w:val="nil"/>
            </w:tcBorders>
            <w:shd w:val="clear" w:color="auto" w:fill="auto"/>
            <w:noWrap/>
            <w:vAlign w:val="bottom"/>
          </w:tcPr>
          <w:p w:rsidRPr="000F68B8" w:rsidR="000F68B8" w:rsidP="000F68B8" w:rsidRDefault="000F68B8" w14:paraId="7C8919B0" w14:textId="1EF61677">
            <w:pPr>
              <w:tabs>
                <w:tab w:val="decimal" w:pos="975"/>
              </w:tabs>
              <w:jc w:val="left"/>
            </w:pPr>
            <w:r w:rsidRPr="000F68B8">
              <w:rPr>
                <w:color w:val="000000"/>
              </w:rPr>
              <w:t xml:space="preserve">905,000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2AB7EE2" w14:textId="61C897DD">
            <w:pPr>
              <w:tabs>
                <w:tab w:val="decimal" w:pos="1185"/>
              </w:tabs>
              <w:jc w:val="left"/>
            </w:pPr>
            <w:r w:rsidRPr="000F68B8">
              <w:rPr>
                <w:color w:val="000000"/>
              </w:rPr>
              <w:t xml:space="preserve">503,370,000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82F6702" w14:textId="17D83DCC">
            <w:pPr>
              <w:tabs>
                <w:tab w:val="decimal" w:pos="330"/>
              </w:tabs>
              <w:jc w:val="left"/>
            </w:pPr>
            <w:r w:rsidRPr="000F68B8">
              <w:rPr>
                <w:color w:val="000000"/>
              </w:rPr>
              <w:t>32.110%</w:t>
            </w:r>
          </w:p>
        </w:tc>
      </w:tr>
      <w:tr w:rsidRPr="002F168A" w:rsidR="000F68B8" w:rsidTr="00921901" w14:paraId="329DED2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759A4B3"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51038B3" w14:textId="2AFDCAB4">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7A5C046A" w14:textId="1DABCA8F">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7224B19" w14:textId="6CFDC5E2">
            <w:pPr>
              <w:jc w:val="center"/>
            </w:pPr>
            <w:r w:rsidRPr="000F68B8">
              <w:rPr>
                <w:color w:val="000000"/>
              </w:rPr>
              <w:t>1/1/2030</w:t>
            </w:r>
          </w:p>
        </w:tc>
        <w:tc>
          <w:tcPr>
            <w:tcW w:w="1220" w:type="dxa"/>
            <w:tcBorders>
              <w:top w:val="nil"/>
              <w:left w:val="nil"/>
              <w:bottom w:val="nil"/>
              <w:right w:val="nil"/>
            </w:tcBorders>
            <w:shd w:val="clear" w:color="auto" w:fill="auto"/>
            <w:noWrap/>
            <w:vAlign w:val="bottom"/>
          </w:tcPr>
          <w:p w:rsidRPr="000F68B8" w:rsidR="000F68B8" w:rsidP="000F68B8" w:rsidRDefault="000F68B8" w14:paraId="39A7C9D6" w14:textId="6776E1CF">
            <w:pPr>
              <w:tabs>
                <w:tab w:val="decimal" w:pos="975"/>
              </w:tabs>
              <w:jc w:val="left"/>
            </w:pPr>
            <w:r w:rsidRPr="000F68B8">
              <w:rPr>
                <w:color w:val="000000"/>
              </w:rPr>
              <w:t xml:space="preserve">915,000 </w:t>
            </w:r>
          </w:p>
        </w:tc>
        <w:tc>
          <w:tcPr>
            <w:tcW w:w="1580" w:type="dxa"/>
            <w:tcBorders>
              <w:top w:val="nil"/>
              <w:left w:val="nil"/>
              <w:bottom w:val="nil"/>
              <w:right w:val="nil"/>
            </w:tcBorders>
            <w:shd w:val="clear" w:color="auto" w:fill="auto"/>
            <w:noWrap/>
            <w:vAlign w:val="bottom"/>
          </w:tcPr>
          <w:p w:rsidRPr="000F68B8" w:rsidR="000F68B8" w:rsidP="000F68B8" w:rsidRDefault="000F68B8" w14:paraId="74F6E2B7" w14:textId="56C1AAF3">
            <w:pPr>
              <w:tabs>
                <w:tab w:val="decimal" w:pos="1185"/>
              </w:tabs>
              <w:jc w:val="left"/>
            </w:pPr>
            <w:r w:rsidRPr="000F68B8">
              <w:rPr>
                <w:color w:val="000000"/>
              </w:rPr>
              <w:t xml:space="preserve">504,285,000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E648DBA" w14:textId="5DC769DD">
            <w:pPr>
              <w:tabs>
                <w:tab w:val="decimal" w:pos="330"/>
              </w:tabs>
              <w:jc w:val="left"/>
            </w:pPr>
            <w:r w:rsidRPr="000F68B8">
              <w:rPr>
                <w:color w:val="000000"/>
              </w:rPr>
              <w:t>32.168%</w:t>
            </w:r>
          </w:p>
        </w:tc>
      </w:tr>
      <w:tr w:rsidRPr="002F168A" w:rsidR="000F68B8" w:rsidTr="00921901" w14:paraId="4B81FD0E"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9DD394B"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6EBD4B3" w14:textId="655628B7">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004BCACC" w14:textId="6286A4C4">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76AF9992" w14:textId="5E9D736C">
            <w:pPr>
              <w:jc w:val="center"/>
            </w:pPr>
            <w:r w:rsidRPr="000F68B8">
              <w:rPr>
                <w:color w:val="000000"/>
              </w:rPr>
              <w:t>7/1/2030</w:t>
            </w:r>
          </w:p>
        </w:tc>
        <w:tc>
          <w:tcPr>
            <w:tcW w:w="1220" w:type="dxa"/>
            <w:tcBorders>
              <w:top w:val="nil"/>
              <w:left w:val="nil"/>
              <w:bottom w:val="nil"/>
              <w:right w:val="nil"/>
            </w:tcBorders>
            <w:shd w:val="clear" w:color="auto" w:fill="auto"/>
            <w:noWrap/>
            <w:vAlign w:val="bottom"/>
          </w:tcPr>
          <w:p w:rsidRPr="000F68B8" w:rsidR="000F68B8" w:rsidP="000F68B8" w:rsidRDefault="000F68B8" w14:paraId="49A36F59" w14:textId="5EC80391">
            <w:pPr>
              <w:tabs>
                <w:tab w:val="decimal" w:pos="975"/>
              </w:tabs>
              <w:jc w:val="left"/>
            </w:pPr>
            <w:r w:rsidRPr="000F68B8">
              <w:rPr>
                <w:color w:val="000000"/>
              </w:rPr>
              <w:t xml:space="preserve">935,000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DF3948F" w14:textId="3A3DC2F8">
            <w:pPr>
              <w:tabs>
                <w:tab w:val="decimal" w:pos="1185"/>
              </w:tabs>
              <w:jc w:val="left"/>
            </w:pPr>
            <w:r w:rsidRPr="000F68B8">
              <w:rPr>
                <w:color w:val="000000"/>
              </w:rPr>
              <w:t xml:space="preserve">505,220,000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496E2A8" w14:textId="46352A50">
            <w:pPr>
              <w:tabs>
                <w:tab w:val="decimal" w:pos="330"/>
              </w:tabs>
              <w:jc w:val="left"/>
            </w:pPr>
            <w:r w:rsidRPr="000F68B8">
              <w:rPr>
                <w:color w:val="000000"/>
              </w:rPr>
              <w:t>32.228%</w:t>
            </w:r>
          </w:p>
        </w:tc>
      </w:tr>
      <w:tr w:rsidRPr="002F168A" w:rsidR="000F68B8" w:rsidTr="00921901" w14:paraId="7E03CA5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CB9C69F"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E05B2E7" w14:textId="3564DFB4">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1BAD2C66" w14:textId="626BE4B8">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5D8D0EC8" w14:textId="5961EE0B">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077D04AC" w14:textId="6E6D7025">
            <w:pPr>
              <w:tabs>
                <w:tab w:val="decimal" w:pos="975"/>
              </w:tabs>
              <w:jc w:val="left"/>
            </w:pPr>
            <w:r w:rsidRPr="000F68B8">
              <w:rPr>
                <w:color w:val="000000"/>
              </w:rPr>
              <w:t xml:space="preserve">830,000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228F12E" w14:textId="7774234A">
            <w:pPr>
              <w:tabs>
                <w:tab w:val="decimal" w:pos="1185"/>
              </w:tabs>
              <w:jc w:val="left"/>
            </w:pPr>
            <w:r w:rsidRPr="000F68B8">
              <w:rPr>
                <w:color w:val="000000"/>
              </w:rPr>
              <w:t xml:space="preserve">506,050,000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7B9627A" w14:textId="00A50F8A">
            <w:pPr>
              <w:tabs>
                <w:tab w:val="decimal" w:pos="330"/>
              </w:tabs>
              <w:jc w:val="left"/>
            </w:pPr>
            <w:r w:rsidRPr="000F68B8">
              <w:rPr>
                <w:color w:val="000000"/>
              </w:rPr>
              <w:t>32.281%</w:t>
            </w:r>
          </w:p>
        </w:tc>
      </w:tr>
      <w:tr w:rsidRPr="002F168A" w:rsidR="000F68B8" w:rsidTr="00921901" w14:paraId="2680AC1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58324A4"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321974C" w14:textId="79E6D374">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7AB611DA" w14:textId="603247CD">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5D7D0D5" w14:textId="1CF606D9">
            <w:pPr>
              <w:jc w:val="center"/>
            </w:pPr>
            <w:r w:rsidRPr="000F68B8">
              <w:rPr>
                <w:color w:val="000000"/>
              </w:rPr>
              <w:t>7/1/2025</w:t>
            </w:r>
          </w:p>
        </w:tc>
        <w:tc>
          <w:tcPr>
            <w:tcW w:w="1220" w:type="dxa"/>
            <w:tcBorders>
              <w:top w:val="nil"/>
              <w:left w:val="nil"/>
              <w:bottom w:val="nil"/>
              <w:right w:val="nil"/>
            </w:tcBorders>
            <w:shd w:val="clear" w:color="auto" w:fill="auto"/>
            <w:noWrap/>
            <w:vAlign w:val="bottom"/>
          </w:tcPr>
          <w:p w:rsidRPr="000F68B8" w:rsidR="000F68B8" w:rsidP="000F68B8" w:rsidRDefault="000F68B8" w14:paraId="33733FF0" w14:textId="3D7AC4CB">
            <w:pPr>
              <w:tabs>
                <w:tab w:val="decimal" w:pos="975"/>
              </w:tabs>
              <w:jc w:val="left"/>
            </w:pPr>
            <w:r w:rsidRPr="000F68B8">
              <w:rPr>
                <w:color w:val="000000"/>
              </w:rPr>
              <w:t xml:space="preserve">845,000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768BBBE" w14:textId="29DC83C7">
            <w:pPr>
              <w:tabs>
                <w:tab w:val="decimal" w:pos="1185"/>
              </w:tabs>
              <w:jc w:val="left"/>
            </w:pPr>
            <w:r w:rsidRPr="000F68B8">
              <w:rPr>
                <w:color w:val="000000"/>
              </w:rPr>
              <w:t xml:space="preserve">506,895,000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7F754E5" w14:textId="5751D7C1">
            <w:pPr>
              <w:tabs>
                <w:tab w:val="decimal" w:pos="330"/>
              </w:tabs>
              <w:jc w:val="left"/>
            </w:pPr>
            <w:r w:rsidRPr="000F68B8">
              <w:rPr>
                <w:color w:val="000000"/>
              </w:rPr>
              <w:t>32.335%</w:t>
            </w:r>
          </w:p>
        </w:tc>
      </w:tr>
      <w:tr w:rsidRPr="002F168A" w:rsidR="000F68B8" w:rsidTr="00921901" w14:paraId="1DA8FC0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B539FB7" w14:textId="77777777">
            <w:pPr>
              <w:tabs>
                <w:tab w:val="decimal" w:pos="255"/>
              </w:tabs>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2231635" w14:textId="274B0BE4">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7717CA37" w14:textId="03F95EF7">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tcPr>
          <w:p w:rsidRPr="000F68B8" w:rsidR="000F68B8" w:rsidP="000F68B8" w:rsidRDefault="000F68B8" w14:paraId="66B58D73" w14:textId="2571670F">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5E005D27" w14:textId="0BB82F94">
            <w:pPr>
              <w:tabs>
                <w:tab w:val="decimal" w:pos="975"/>
              </w:tabs>
              <w:jc w:val="left"/>
            </w:pPr>
            <w:r w:rsidRPr="000F68B8">
              <w:rPr>
                <w:color w:val="000000"/>
              </w:rPr>
              <w:t xml:space="preserve">860,000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4F027BFB" w14:textId="340602C7">
            <w:pPr>
              <w:tabs>
                <w:tab w:val="decimal" w:pos="1185"/>
              </w:tabs>
              <w:jc w:val="left"/>
            </w:pPr>
            <w:r w:rsidRPr="000F68B8">
              <w:rPr>
                <w:color w:val="000000"/>
              </w:rPr>
              <w:t xml:space="preserve">507,755,000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D5B2BB8" w14:textId="79CEF0E9">
            <w:pPr>
              <w:tabs>
                <w:tab w:val="decimal" w:pos="330"/>
              </w:tabs>
              <w:jc w:val="left"/>
            </w:pPr>
            <w:r w:rsidRPr="000F68B8">
              <w:rPr>
                <w:color w:val="000000"/>
              </w:rPr>
              <w:t>32.390%</w:t>
            </w:r>
          </w:p>
        </w:tc>
      </w:tr>
      <w:tr w:rsidRPr="002F168A" w:rsidR="000F68B8" w:rsidTr="00921901" w14:paraId="7242650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44453C9" w14:textId="3A89DD10">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C4EFB5F" w14:textId="6BA9CB1E">
            <w:pPr>
              <w:jc w:val="left"/>
            </w:pPr>
            <w:r w:rsidRPr="000F68B8">
              <w:rPr>
                <w:color w:val="000000"/>
              </w:rPr>
              <w:t>2022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D0E2B94" w14:textId="373FFA48">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3AA8BDB" w14:textId="231756CF">
            <w:pPr>
              <w:jc w:val="center"/>
            </w:pPr>
            <w:r w:rsidRPr="000F68B8">
              <w:rPr>
                <w:color w:val="000000"/>
              </w:rPr>
              <w:t>7/1/2026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0C42827" w14:textId="15715658">
            <w:pPr>
              <w:tabs>
                <w:tab w:val="decimal" w:pos="975"/>
              </w:tabs>
              <w:jc w:val="left"/>
            </w:pPr>
            <w:r w:rsidRPr="000F68B8">
              <w:rPr>
                <w:color w:val="000000"/>
              </w:rPr>
              <w:t xml:space="preserve">880,000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045209C" w14:textId="7B18DCE6">
            <w:pPr>
              <w:tabs>
                <w:tab w:val="decimal" w:pos="1185"/>
              </w:tabs>
              <w:jc w:val="left"/>
            </w:pPr>
            <w:r w:rsidRPr="000F68B8">
              <w:rPr>
                <w:color w:val="000000"/>
              </w:rPr>
              <w:t xml:space="preserve">508,635,000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700BC3D" w14:textId="11B13761">
            <w:pPr>
              <w:tabs>
                <w:tab w:val="decimal" w:pos="330"/>
              </w:tabs>
              <w:jc w:val="left"/>
            </w:pPr>
            <w:r w:rsidRPr="000F68B8">
              <w:rPr>
                <w:color w:val="000000"/>
              </w:rPr>
              <w:t>32.446%</w:t>
            </w:r>
          </w:p>
        </w:tc>
      </w:tr>
      <w:tr w:rsidRPr="002F168A" w:rsidR="000F68B8" w:rsidTr="00921901" w14:paraId="5C37920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829E101" w14:textId="55F27DB6">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9A9D720" w14:textId="6102425D">
            <w:pPr>
              <w:jc w:val="left"/>
            </w:pPr>
            <w:r w:rsidRPr="000F68B8">
              <w:rPr>
                <w:color w:val="000000"/>
              </w:rPr>
              <w:t>2022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3AED8E5" w14:textId="17472F22">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5C37CD1" w14:textId="6DBB07E2">
            <w:pPr>
              <w:jc w:val="center"/>
            </w:pPr>
            <w:r w:rsidRPr="000F68B8">
              <w:rPr>
                <w:color w:val="000000"/>
              </w:rPr>
              <w:t>1/1/2027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7983D89" w14:textId="28C9E044">
            <w:pPr>
              <w:tabs>
                <w:tab w:val="decimal" w:pos="975"/>
              </w:tabs>
              <w:jc w:val="left"/>
            </w:pPr>
            <w:r w:rsidRPr="000F68B8">
              <w:rPr>
                <w:color w:val="000000"/>
              </w:rPr>
              <w:t xml:space="preserve">890,000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67D81EB" w14:textId="0DD1D433">
            <w:pPr>
              <w:tabs>
                <w:tab w:val="decimal" w:pos="1185"/>
              </w:tabs>
              <w:jc w:val="left"/>
            </w:pPr>
            <w:r w:rsidRPr="000F68B8">
              <w:rPr>
                <w:color w:val="000000"/>
              </w:rPr>
              <w:t xml:space="preserve">509,525,000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7EDE358" w14:textId="43AB4285">
            <w:pPr>
              <w:tabs>
                <w:tab w:val="decimal" w:pos="330"/>
              </w:tabs>
              <w:jc w:val="left"/>
            </w:pPr>
            <w:r w:rsidRPr="000F68B8">
              <w:rPr>
                <w:color w:val="000000"/>
              </w:rPr>
              <w:t>32.502%</w:t>
            </w:r>
          </w:p>
        </w:tc>
      </w:tr>
      <w:tr w:rsidRPr="002F168A" w:rsidR="000F68B8" w:rsidTr="00921901" w14:paraId="0B5092D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AEA7920" w14:textId="52CD933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035A540" w14:textId="03E783C3">
            <w:pPr>
              <w:jc w:val="left"/>
            </w:pPr>
            <w:r w:rsidRPr="000F68B8">
              <w:rPr>
                <w:color w:val="000000"/>
              </w:rPr>
              <w:t>2022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5118647" w14:textId="7956A874">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C593FB7" w14:textId="60E0B781">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6EE14DE" w14:textId="65A4C575">
            <w:pPr>
              <w:tabs>
                <w:tab w:val="decimal" w:pos="975"/>
              </w:tabs>
              <w:jc w:val="left"/>
            </w:pPr>
            <w:r w:rsidRPr="000F68B8">
              <w:rPr>
                <w:color w:val="000000"/>
              </w:rPr>
              <w:t xml:space="preserve">915,000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6A343C5" w14:textId="67795D63">
            <w:pPr>
              <w:tabs>
                <w:tab w:val="decimal" w:pos="1185"/>
              </w:tabs>
              <w:jc w:val="left"/>
            </w:pPr>
            <w:r w:rsidRPr="000F68B8">
              <w:rPr>
                <w:color w:val="000000"/>
              </w:rPr>
              <w:t xml:space="preserve">510,440,000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06B9C1C" w14:textId="23F31DA9">
            <w:pPr>
              <w:tabs>
                <w:tab w:val="decimal" w:pos="330"/>
              </w:tabs>
              <w:jc w:val="left"/>
            </w:pPr>
            <w:r w:rsidRPr="000F68B8">
              <w:rPr>
                <w:color w:val="000000"/>
              </w:rPr>
              <w:t>32.561%</w:t>
            </w:r>
          </w:p>
        </w:tc>
      </w:tr>
      <w:tr w:rsidRPr="002F168A" w:rsidR="000F68B8" w:rsidTr="00921901" w14:paraId="4C3DACC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D1E5CE9" w14:textId="3395BEF6">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0DF1477" w14:textId="6D093E63">
            <w:pPr>
              <w:jc w:val="left"/>
            </w:pPr>
            <w:r w:rsidRPr="000F68B8">
              <w:rPr>
                <w:color w:val="000000"/>
              </w:rPr>
              <w:t>2022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920C717" w14:textId="0D65B371">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9827720" w14:textId="3EC6BE16">
            <w:pPr>
              <w:jc w:val="center"/>
            </w:pPr>
            <w:r w:rsidRPr="000F68B8">
              <w:rPr>
                <w:color w:val="000000"/>
              </w:rPr>
              <w:t>1/1/2028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D20EDB1" w14:textId="4EDBDDD4">
            <w:pPr>
              <w:tabs>
                <w:tab w:val="decimal" w:pos="975"/>
              </w:tabs>
              <w:jc w:val="left"/>
            </w:pPr>
            <w:r w:rsidRPr="000F68B8">
              <w:rPr>
                <w:color w:val="000000"/>
              </w:rPr>
              <w:t xml:space="preserve">925,000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34B6009" w14:textId="3CB9EA89">
            <w:pPr>
              <w:tabs>
                <w:tab w:val="decimal" w:pos="1185"/>
              </w:tabs>
              <w:jc w:val="left"/>
            </w:pPr>
            <w:r w:rsidRPr="000F68B8">
              <w:rPr>
                <w:color w:val="000000"/>
              </w:rPr>
              <w:t xml:space="preserve">511,365,000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DB03713" w14:textId="7971AA0C">
            <w:pPr>
              <w:tabs>
                <w:tab w:val="decimal" w:pos="330"/>
              </w:tabs>
              <w:jc w:val="left"/>
            </w:pPr>
            <w:r w:rsidRPr="000F68B8">
              <w:rPr>
                <w:color w:val="000000"/>
              </w:rPr>
              <w:t>32.620%</w:t>
            </w:r>
          </w:p>
        </w:tc>
      </w:tr>
      <w:tr w:rsidRPr="002F168A" w:rsidR="000F68B8" w:rsidTr="00921901" w14:paraId="21B0D51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519C560" w14:textId="12CBA143">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8B5DC79" w14:textId="44B149C0">
            <w:pPr>
              <w:jc w:val="left"/>
            </w:pPr>
            <w:r w:rsidRPr="000F68B8">
              <w:rPr>
                <w:color w:val="000000"/>
              </w:rPr>
              <w:t>2022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3D7FDAC" w14:textId="03F3FA92">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02BA918" w14:textId="1C2CB84E">
            <w:pPr>
              <w:jc w:val="center"/>
            </w:pPr>
            <w:r w:rsidRPr="000F68B8">
              <w:rPr>
                <w:color w:val="000000"/>
              </w:rPr>
              <w:t>7/1/2028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602D010" w14:textId="725952D7">
            <w:pPr>
              <w:tabs>
                <w:tab w:val="decimal" w:pos="975"/>
              </w:tabs>
              <w:jc w:val="left"/>
            </w:pPr>
            <w:r w:rsidRPr="000F68B8">
              <w:rPr>
                <w:color w:val="000000"/>
              </w:rPr>
              <w:t xml:space="preserve">945,000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4F4E78E" w14:textId="14769102">
            <w:pPr>
              <w:tabs>
                <w:tab w:val="decimal" w:pos="1185"/>
              </w:tabs>
              <w:jc w:val="left"/>
            </w:pPr>
            <w:r w:rsidRPr="000F68B8">
              <w:rPr>
                <w:color w:val="000000"/>
              </w:rPr>
              <w:t xml:space="preserve">512,310,000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2640217" w14:textId="3AFB6DF6">
            <w:pPr>
              <w:tabs>
                <w:tab w:val="decimal" w:pos="330"/>
              </w:tabs>
              <w:jc w:val="left"/>
            </w:pPr>
            <w:r w:rsidRPr="000F68B8">
              <w:rPr>
                <w:color w:val="000000"/>
              </w:rPr>
              <w:t>32.680%</w:t>
            </w:r>
          </w:p>
        </w:tc>
      </w:tr>
      <w:tr w:rsidRPr="002F168A" w:rsidR="000F68B8" w:rsidTr="00921901" w14:paraId="61ECBBA9"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7ECB28C" w14:textId="28F63C2B">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E8A65BF" w14:textId="706F20F7">
            <w:pPr>
              <w:jc w:val="left"/>
            </w:pPr>
            <w:r w:rsidRPr="000F68B8">
              <w:rPr>
                <w:color w:val="000000"/>
              </w:rPr>
              <w:t>2022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E6E35C4" w14:textId="57681788">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51170E6" w14:textId="7BF394A3">
            <w:pPr>
              <w:jc w:val="center"/>
            </w:pPr>
            <w:r w:rsidRPr="000F68B8">
              <w:rPr>
                <w:color w:val="000000"/>
              </w:rPr>
              <w:t>1/1/2029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9251972" w14:textId="2509A00A">
            <w:pPr>
              <w:tabs>
                <w:tab w:val="decimal" w:pos="975"/>
              </w:tabs>
              <w:jc w:val="left"/>
            </w:pPr>
            <w:r w:rsidRPr="000F68B8">
              <w:rPr>
                <w:color w:val="000000"/>
              </w:rPr>
              <w:t xml:space="preserve">965,000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F4E07D9" w14:textId="1E70DD32">
            <w:pPr>
              <w:tabs>
                <w:tab w:val="decimal" w:pos="1185"/>
              </w:tabs>
              <w:jc w:val="left"/>
            </w:pPr>
            <w:r w:rsidRPr="000F68B8">
              <w:rPr>
                <w:color w:val="000000"/>
              </w:rPr>
              <w:t xml:space="preserve">513,275,000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F8FFD14" w14:textId="1EB9F83B">
            <w:pPr>
              <w:tabs>
                <w:tab w:val="decimal" w:pos="330"/>
              </w:tabs>
              <w:jc w:val="left"/>
            </w:pPr>
            <w:r w:rsidRPr="000F68B8">
              <w:rPr>
                <w:color w:val="000000"/>
              </w:rPr>
              <w:t>32.742%</w:t>
            </w:r>
          </w:p>
        </w:tc>
      </w:tr>
      <w:tr w:rsidRPr="002F168A" w:rsidR="000F68B8" w:rsidTr="00921901" w14:paraId="58E56CC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1E8229A" w14:textId="096EF346">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184507A" w14:textId="170D6345">
            <w:pPr>
              <w:jc w:val="left"/>
            </w:pPr>
            <w:r w:rsidRPr="000F68B8">
              <w:rPr>
                <w:color w:val="000000"/>
              </w:rPr>
              <w:t>2022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C102CB0" w14:textId="08C7D33E">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38F4A01" w14:textId="183E696E">
            <w:pPr>
              <w:jc w:val="center"/>
            </w:pPr>
            <w:r w:rsidRPr="000F68B8">
              <w:rPr>
                <w:color w:val="000000"/>
              </w:rPr>
              <w:t>7/1/2029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B17020C" w14:textId="0DEF3299">
            <w:pPr>
              <w:tabs>
                <w:tab w:val="decimal" w:pos="975"/>
              </w:tabs>
              <w:jc w:val="left"/>
            </w:pPr>
            <w:r w:rsidRPr="000F68B8">
              <w:rPr>
                <w:color w:val="000000"/>
              </w:rPr>
              <w:t xml:space="preserve">980,000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CB65F9A" w14:textId="1856C7D9">
            <w:pPr>
              <w:tabs>
                <w:tab w:val="decimal" w:pos="1185"/>
              </w:tabs>
              <w:jc w:val="left"/>
            </w:pPr>
            <w:r w:rsidRPr="000F68B8">
              <w:rPr>
                <w:color w:val="000000"/>
              </w:rPr>
              <w:t xml:space="preserve">514,255,000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B7E573D" w14:textId="1ADC5C53">
            <w:pPr>
              <w:tabs>
                <w:tab w:val="decimal" w:pos="330"/>
              </w:tabs>
              <w:jc w:val="left"/>
            </w:pPr>
            <w:r w:rsidRPr="000F68B8">
              <w:rPr>
                <w:color w:val="000000"/>
              </w:rPr>
              <w:t>32.804%</w:t>
            </w:r>
          </w:p>
        </w:tc>
      </w:tr>
      <w:tr w:rsidRPr="002F168A" w:rsidR="000F68B8" w:rsidTr="00921901" w14:paraId="57B3ADE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48B72F9" w14:textId="00777A02">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4C6A262" w14:textId="3A89D5A5">
            <w:pPr>
              <w:jc w:val="left"/>
            </w:pPr>
            <w:r w:rsidRPr="000F68B8">
              <w:rPr>
                <w:color w:val="000000"/>
              </w:rPr>
              <w:t>2022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350610A" w14:textId="0DF9A7B8">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DA7BBDC" w14:textId="4116D1BE">
            <w:pPr>
              <w:jc w:val="center"/>
            </w:pPr>
            <w:r w:rsidRPr="000F68B8">
              <w:rPr>
                <w:color w:val="000000"/>
              </w:rPr>
              <w:t>1/1/2030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6DED13E" w14:textId="5789F7DE">
            <w:pPr>
              <w:tabs>
                <w:tab w:val="decimal" w:pos="975"/>
              </w:tabs>
              <w:jc w:val="left"/>
            </w:pPr>
            <w:r w:rsidRPr="000F68B8">
              <w:rPr>
                <w:color w:val="000000"/>
              </w:rPr>
              <w:t xml:space="preserve">1,000,000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D0E2E23" w14:textId="375DAFE8">
            <w:pPr>
              <w:tabs>
                <w:tab w:val="decimal" w:pos="1185"/>
              </w:tabs>
              <w:jc w:val="left"/>
            </w:pPr>
            <w:r w:rsidRPr="000F68B8">
              <w:rPr>
                <w:color w:val="000000"/>
              </w:rPr>
              <w:t xml:space="preserve">515,255,000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40CBCCB" w14:textId="1BB06AE9">
            <w:pPr>
              <w:tabs>
                <w:tab w:val="decimal" w:pos="330"/>
              </w:tabs>
              <w:jc w:val="left"/>
            </w:pPr>
            <w:r w:rsidRPr="000F68B8">
              <w:rPr>
                <w:color w:val="000000"/>
              </w:rPr>
              <w:t>32.868%</w:t>
            </w:r>
          </w:p>
        </w:tc>
      </w:tr>
      <w:tr w:rsidRPr="002F168A" w:rsidR="000F68B8" w:rsidTr="00921901" w14:paraId="5921335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3238848" w14:textId="02904D56">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52FF452" w14:textId="3024E26E">
            <w:pPr>
              <w:jc w:val="left"/>
            </w:pPr>
            <w:r w:rsidRPr="000F68B8">
              <w:rPr>
                <w:color w:val="000000"/>
              </w:rPr>
              <w:t>2022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BBCB02D" w14:textId="56761C90">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0BF85A3" w14:textId="7D2977BD">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E76AF81" w14:textId="3C99B1B7">
            <w:pPr>
              <w:tabs>
                <w:tab w:val="decimal" w:pos="975"/>
              </w:tabs>
              <w:jc w:val="left"/>
            </w:pPr>
            <w:r w:rsidRPr="000F68B8">
              <w:rPr>
                <w:color w:val="000000"/>
              </w:rPr>
              <w:t xml:space="preserve">1,020,000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A37DA48" w14:textId="0E8E816E">
            <w:pPr>
              <w:tabs>
                <w:tab w:val="decimal" w:pos="1185"/>
              </w:tabs>
              <w:jc w:val="left"/>
            </w:pPr>
            <w:r w:rsidRPr="000F68B8">
              <w:rPr>
                <w:color w:val="000000"/>
              </w:rPr>
              <w:t xml:space="preserve">516,275,000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BBDBDA5" w14:textId="1FA26AE9">
            <w:pPr>
              <w:tabs>
                <w:tab w:val="decimal" w:pos="330"/>
              </w:tabs>
              <w:jc w:val="left"/>
            </w:pPr>
            <w:r w:rsidRPr="000F68B8">
              <w:rPr>
                <w:color w:val="000000"/>
              </w:rPr>
              <w:t>32.933%</w:t>
            </w:r>
          </w:p>
        </w:tc>
      </w:tr>
      <w:tr w:rsidRPr="002F168A" w:rsidR="000F68B8" w:rsidTr="00921901" w14:paraId="6309A3A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9BB669F" w14:textId="74F38EF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55CCFAE" w14:textId="75DC1628">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49831F5" w14:textId="0CEBD4D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DC1657C" w14:textId="468F8B6A">
            <w:pPr>
              <w:jc w:val="center"/>
            </w:pPr>
            <w:r w:rsidRPr="000F68B8">
              <w:rPr>
                <w:color w:val="000000"/>
              </w:rPr>
              <w:t>1/1/2025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F5F2BF3" w14:textId="2C956D91">
            <w:pPr>
              <w:tabs>
                <w:tab w:val="decimal" w:pos="975"/>
              </w:tabs>
              <w:jc w:val="left"/>
            </w:pPr>
            <w:r w:rsidRPr="000F68B8">
              <w:rPr>
                <w:color w:val="000000"/>
              </w:rPr>
              <w:t xml:space="preserve">840,000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125E451" w14:textId="3CA24794">
            <w:pPr>
              <w:tabs>
                <w:tab w:val="decimal" w:pos="1185"/>
              </w:tabs>
              <w:jc w:val="left"/>
            </w:pPr>
            <w:r w:rsidRPr="000F68B8">
              <w:rPr>
                <w:color w:val="000000"/>
              </w:rPr>
              <w:t xml:space="preserve">517,115,000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5B4C580" w14:textId="61963710">
            <w:pPr>
              <w:tabs>
                <w:tab w:val="decimal" w:pos="330"/>
              </w:tabs>
              <w:jc w:val="left"/>
            </w:pPr>
            <w:r w:rsidRPr="000F68B8">
              <w:rPr>
                <w:color w:val="000000"/>
              </w:rPr>
              <w:t>32.987%</w:t>
            </w:r>
          </w:p>
        </w:tc>
      </w:tr>
      <w:tr w:rsidRPr="002F168A" w:rsidR="000F68B8" w:rsidTr="00921901" w14:paraId="093F387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3D91E6F" w14:textId="3EC0A44F">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B714218" w14:textId="33E27DA1">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3016E49" w14:textId="2FD6A150">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8F098A5" w14:textId="4DF0B510">
            <w:pPr>
              <w:jc w:val="center"/>
            </w:pPr>
            <w:r w:rsidRPr="000F68B8">
              <w:rPr>
                <w:color w:val="000000"/>
              </w:rPr>
              <w:t>7/1/2025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11CDFA3" w14:textId="093B7E55">
            <w:pPr>
              <w:tabs>
                <w:tab w:val="decimal" w:pos="975"/>
              </w:tabs>
              <w:jc w:val="left"/>
            </w:pPr>
            <w:r w:rsidRPr="000F68B8">
              <w:rPr>
                <w:color w:val="000000"/>
              </w:rPr>
              <w:t xml:space="preserve">870,000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BBC5E0E" w14:textId="6A99B15D">
            <w:pPr>
              <w:tabs>
                <w:tab w:val="decimal" w:pos="1185"/>
              </w:tabs>
              <w:jc w:val="left"/>
            </w:pPr>
            <w:r w:rsidRPr="000F68B8">
              <w:rPr>
                <w:color w:val="000000"/>
              </w:rPr>
              <w:t xml:space="preserve">517,985,000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4714A62" w14:textId="4222C401">
            <w:pPr>
              <w:tabs>
                <w:tab w:val="decimal" w:pos="330"/>
              </w:tabs>
              <w:jc w:val="left"/>
            </w:pPr>
            <w:r w:rsidRPr="000F68B8">
              <w:rPr>
                <w:color w:val="000000"/>
              </w:rPr>
              <w:t>33.042%</w:t>
            </w:r>
          </w:p>
        </w:tc>
      </w:tr>
      <w:tr w:rsidRPr="002F168A" w:rsidR="000F68B8" w:rsidTr="00921901" w14:paraId="141B47F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966F7AA" w14:textId="7F6C3EB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E380FF2" w14:textId="29EF88A1">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7C892EE" w14:textId="447D6C0F">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4B96A09" w14:textId="27D39F62">
            <w:pPr>
              <w:jc w:val="center"/>
            </w:pPr>
            <w:r w:rsidRPr="000F68B8">
              <w:rPr>
                <w:color w:val="000000"/>
              </w:rPr>
              <w:t>1/1/2026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825B03C" w14:textId="28A137B1">
            <w:pPr>
              <w:tabs>
                <w:tab w:val="decimal" w:pos="975"/>
              </w:tabs>
              <w:jc w:val="left"/>
            </w:pPr>
            <w:r w:rsidRPr="000F68B8">
              <w:rPr>
                <w:color w:val="000000"/>
              </w:rPr>
              <w:t xml:space="preserve">890,000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8E6ED41" w14:textId="4584891D">
            <w:pPr>
              <w:tabs>
                <w:tab w:val="decimal" w:pos="1185"/>
              </w:tabs>
              <w:jc w:val="left"/>
            </w:pPr>
            <w:r w:rsidRPr="000F68B8">
              <w:rPr>
                <w:color w:val="000000"/>
              </w:rPr>
              <w:t xml:space="preserve">518,875,000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E2888F8" w14:textId="2F3832CC">
            <w:pPr>
              <w:tabs>
                <w:tab w:val="decimal" w:pos="330"/>
              </w:tabs>
              <w:jc w:val="left"/>
            </w:pPr>
            <w:r w:rsidRPr="000F68B8">
              <w:rPr>
                <w:color w:val="000000"/>
              </w:rPr>
              <w:t>33.099%</w:t>
            </w:r>
          </w:p>
        </w:tc>
      </w:tr>
      <w:tr w:rsidRPr="002F168A" w:rsidR="000F68B8" w:rsidTr="00921901" w14:paraId="4B1C29F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5A4BF92" w14:textId="76ADFDE4">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C563302" w14:textId="3023ED71">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1EFAE04" w14:textId="1F775574">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2F3A493" w14:textId="28B82DFF">
            <w:pPr>
              <w:jc w:val="center"/>
            </w:pPr>
            <w:r w:rsidRPr="000F68B8">
              <w:rPr>
                <w:color w:val="000000"/>
              </w:rPr>
              <w:t>7/1/2026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7FD5C10" w14:textId="21B8FE09">
            <w:pPr>
              <w:tabs>
                <w:tab w:val="decimal" w:pos="975"/>
              </w:tabs>
              <w:jc w:val="left"/>
            </w:pPr>
            <w:r w:rsidRPr="000F68B8">
              <w:rPr>
                <w:color w:val="000000"/>
              </w:rPr>
              <w:t xml:space="preserve">910,000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DC1C8A7" w14:textId="14EDF9C5">
            <w:pPr>
              <w:tabs>
                <w:tab w:val="decimal" w:pos="1185"/>
              </w:tabs>
              <w:jc w:val="left"/>
            </w:pPr>
            <w:r w:rsidRPr="000F68B8">
              <w:rPr>
                <w:color w:val="000000"/>
              </w:rPr>
              <w:t xml:space="preserve">519,785,000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E3B7C4A" w14:textId="4AA8B406">
            <w:pPr>
              <w:tabs>
                <w:tab w:val="decimal" w:pos="330"/>
              </w:tabs>
              <w:jc w:val="left"/>
            </w:pPr>
            <w:r w:rsidRPr="000F68B8">
              <w:rPr>
                <w:color w:val="000000"/>
              </w:rPr>
              <w:t>33.157%</w:t>
            </w:r>
          </w:p>
        </w:tc>
      </w:tr>
      <w:tr w:rsidRPr="002F168A" w:rsidR="000F68B8" w:rsidTr="00921901" w14:paraId="516FA79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28348D8" w14:textId="0BF1FBC2">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18E44F5" w14:textId="020A859B">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9F85793" w14:textId="2AA4E364">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74483D0" w14:textId="1567846D">
            <w:pPr>
              <w:jc w:val="center"/>
            </w:pPr>
            <w:r w:rsidRPr="000F68B8">
              <w:rPr>
                <w:color w:val="000000"/>
              </w:rPr>
              <w:t>1/1/2027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A817B23" w14:textId="240A335C">
            <w:pPr>
              <w:tabs>
                <w:tab w:val="decimal" w:pos="975"/>
              </w:tabs>
              <w:jc w:val="left"/>
            </w:pPr>
            <w:r w:rsidRPr="000F68B8">
              <w:rPr>
                <w:color w:val="000000"/>
              </w:rPr>
              <w:t xml:space="preserve">940,000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45DA683" w14:textId="46FB70E5">
            <w:pPr>
              <w:tabs>
                <w:tab w:val="decimal" w:pos="1185"/>
              </w:tabs>
              <w:jc w:val="left"/>
            </w:pPr>
            <w:r w:rsidRPr="000F68B8">
              <w:rPr>
                <w:color w:val="000000"/>
              </w:rPr>
              <w:t xml:space="preserve">520,725,000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7C9BD4B" w14:textId="74359F56">
            <w:pPr>
              <w:tabs>
                <w:tab w:val="decimal" w:pos="330"/>
              </w:tabs>
              <w:jc w:val="left"/>
            </w:pPr>
            <w:r w:rsidRPr="000F68B8">
              <w:rPr>
                <w:color w:val="000000"/>
              </w:rPr>
              <w:t>33.217%</w:t>
            </w:r>
          </w:p>
        </w:tc>
      </w:tr>
      <w:tr w:rsidRPr="002F168A" w:rsidR="000F68B8" w:rsidTr="00921901" w14:paraId="42675A1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37CE7F4" w14:textId="5D53F28E">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9DB59E7" w14:textId="63ABCFC8">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F14B9B9" w14:textId="2A74371F">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925E0FF" w14:textId="7D8C7277">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D357AF6" w14:textId="66CAA94E">
            <w:pPr>
              <w:tabs>
                <w:tab w:val="decimal" w:pos="975"/>
              </w:tabs>
              <w:jc w:val="left"/>
            </w:pPr>
            <w:r w:rsidRPr="000F68B8">
              <w:rPr>
                <w:color w:val="000000"/>
              </w:rPr>
              <w:t xml:space="preserve">965,000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7BB37E4" w14:textId="029120B2">
            <w:pPr>
              <w:tabs>
                <w:tab w:val="decimal" w:pos="1185"/>
              </w:tabs>
              <w:jc w:val="left"/>
            </w:pPr>
            <w:r w:rsidRPr="000F68B8">
              <w:rPr>
                <w:color w:val="000000"/>
              </w:rPr>
              <w:t xml:space="preserve">521,690,000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45BD782" w14:textId="3CAC4384">
            <w:pPr>
              <w:tabs>
                <w:tab w:val="decimal" w:pos="330"/>
              </w:tabs>
              <w:jc w:val="left"/>
            </w:pPr>
            <w:r w:rsidRPr="000F68B8">
              <w:rPr>
                <w:color w:val="000000"/>
              </w:rPr>
              <w:t>33.278%</w:t>
            </w:r>
          </w:p>
        </w:tc>
      </w:tr>
      <w:tr w:rsidRPr="002F168A" w:rsidR="000F68B8" w:rsidTr="00921901" w14:paraId="1BF7407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1F8D3BE" w14:textId="788D0A73">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1DFE543" w14:textId="62082E7C">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56AE885" w14:textId="3259DD8D">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1672477" w14:textId="576D38F4">
            <w:pPr>
              <w:jc w:val="center"/>
            </w:pPr>
            <w:r w:rsidRPr="000F68B8">
              <w:rPr>
                <w:color w:val="000000"/>
              </w:rPr>
              <w:t>1/1/2028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CEE9D27" w14:textId="5982B321">
            <w:pPr>
              <w:tabs>
                <w:tab w:val="decimal" w:pos="975"/>
              </w:tabs>
              <w:jc w:val="left"/>
            </w:pPr>
            <w:r w:rsidRPr="000F68B8">
              <w:rPr>
                <w:color w:val="000000"/>
              </w:rPr>
              <w:t xml:space="preserve">990,000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90FDCA7" w14:textId="6AE09A46">
            <w:pPr>
              <w:tabs>
                <w:tab w:val="decimal" w:pos="1185"/>
              </w:tabs>
              <w:jc w:val="left"/>
            </w:pPr>
            <w:r w:rsidRPr="000F68B8">
              <w:rPr>
                <w:color w:val="000000"/>
              </w:rPr>
              <w:t xml:space="preserve">522,680,000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090BEE0" w14:textId="19111309">
            <w:pPr>
              <w:tabs>
                <w:tab w:val="decimal" w:pos="330"/>
              </w:tabs>
              <w:jc w:val="left"/>
            </w:pPr>
            <w:r w:rsidRPr="000F68B8">
              <w:rPr>
                <w:color w:val="000000"/>
              </w:rPr>
              <w:t>33.342%</w:t>
            </w:r>
          </w:p>
        </w:tc>
      </w:tr>
      <w:tr w:rsidRPr="002F168A" w:rsidR="000F68B8" w:rsidTr="00921901" w14:paraId="6DDE877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76FD0D7" w14:textId="55D6C7F3">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7ABC53D" w14:textId="76F92B7C">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3BA75D3" w14:textId="45276E12">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346F021" w14:textId="62B68588">
            <w:pPr>
              <w:jc w:val="center"/>
            </w:pPr>
            <w:r w:rsidRPr="000F68B8">
              <w:rPr>
                <w:color w:val="000000"/>
              </w:rPr>
              <w:t>7/1/2028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376D89D" w14:textId="11C2061E">
            <w:pPr>
              <w:tabs>
                <w:tab w:val="decimal" w:pos="975"/>
              </w:tabs>
              <w:jc w:val="left"/>
            </w:pPr>
            <w:r w:rsidRPr="000F68B8">
              <w:rPr>
                <w:color w:val="000000"/>
              </w:rPr>
              <w:t xml:space="preserve">1,015,000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160C279" w14:textId="26014644">
            <w:pPr>
              <w:tabs>
                <w:tab w:val="decimal" w:pos="1185"/>
              </w:tabs>
              <w:jc w:val="left"/>
            </w:pPr>
            <w:r w:rsidRPr="000F68B8">
              <w:rPr>
                <w:color w:val="000000"/>
              </w:rPr>
              <w:t xml:space="preserve">523,695,000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81161B8" w14:textId="7EDBF121">
            <w:pPr>
              <w:tabs>
                <w:tab w:val="decimal" w:pos="330"/>
              </w:tabs>
              <w:jc w:val="left"/>
            </w:pPr>
            <w:r w:rsidRPr="000F68B8">
              <w:rPr>
                <w:color w:val="000000"/>
              </w:rPr>
              <w:t>33.406%</w:t>
            </w:r>
          </w:p>
        </w:tc>
      </w:tr>
      <w:tr w:rsidRPr="002F168A" w:rsidR="000F68B8" w:rsidTr="00921901" w14:paraId="6EE17DC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CFECB5A" w14:textId="2BC19DF4">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5CBF252" w14:textId="165D6C0A">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C1BF73A" w14:textId="397DCBD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7E831D3" w14:textId="656690A5">
            <w:pPr>
              <w:jc w:val="center"/>
            </w:pPr>
            <w:r w:rsidRPr="000F68B8">
              <w:rPr>
                <w:color w:val="000000"/>
              </w:rPr>
              <w:t>1/1/2029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1CC6FFA" w14:textId="5DF831B2">
            <w:pPr>
              <w:tabs>
                <w:tab w:val="decimal" w:pos="975"/>
              </w:tabs>
              <w:jc w:val="left"/>
            </w:pPr>
            <w:r w:rsidRPr="000F68B8">
              <w:rPr>
                <w:color w:val="000000"/>
              </w:rPr>
              <w:t xml:space="preserve">1,045,000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AF09B45" w14:textId="6A9EDFB2">
            <w:pPr>
              <w:tabs>
                <w:tab w:val="decimal" w:pos="1185"/>
              </w:tabs>
              <w:jc w:val="left"/>
            </w:pPr>
            <w:r w:rsidRPr="000F68B8">
              <w:rPr>
                <w:color w:val="000000"/>
              </w:rPr>
              <w:t xml:space="preserve">524,740,000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B816A8D" w14:textId="63258383">
            <w:pPr>
              <w:tabs>
                <w:tab w:val="decimal" w:pos="330"/>
              </w:tabs>
              <w:jc w:val="left"/>
            </w:pPr>
            <w:r w:rsidRPr="000F68B8">
              <w:rPr>
                <w:color w:val="000000"/>
              </w:rPr>
              <w:t>33.473%</w:t>
            </w:r>
          </w:p>
        </w:tc>
      </w:tr>
      <w:tr w:rsidRPr="002F168A" w:rsidR="000F68B8" w:rsidTr="00921901" w14:paraId="4990F0E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BA45F31" w14:textId="3DD569F7">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BE4B158" w14:textId="26997A14">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F744EF1" w14:textId="3C6A7DB0">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C054273" w14:textId="566268D0">
            <w:pPr>
              <w:jc w:val="center"/>
            </w:pPr>
            <w:r w:rsidRPr="000F68B8">
              <w:rPr>
                <w:color w:val="000000"/>
              </w:rPr>
              <w:t>7/1/2029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0D319E3" w14:textId="3B972AD1">
            <w:pPr>
              <w:tabs>
                <w:tab w:val="decimal" w:pos="975"/>
              </w:tabs>
              <w:jc w:val="left"/>
            </w:pPr>
            <w:r w:rsidRPr="000F68B8">
              <w:rPr>
                <w:color w:val="000000"/>
              </w:rPr>
              <w:t xml:space="preserve">1,075,000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D94C05A" w14:textId="4135D64A">
            <w:pPr>
              <w:tabs>
                <w:tab w:val="decimal" w:pos="1185"/>
              </w:tabs>
              <w:jc w:val="left"/>
            </w:pPr>
            <w:r w:rsidRPr="000F68B8">
              <w:rPr>
                <w:color w:val="000000"/>
              </w:rPr>
              <w:t xml:space="preserve">525,815,000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EA420F4" w14:textId="11705F74">
            <w:pPr>
              <w:tabs>
                <w:tab w:val="decimal" w:pos="330"/>
              </w:tabs>
              <w:jc w:val="left"/>
            </w:pPr>
            <w:r w:rsidRPr="000F68B8">
              <w:rPr>
                <w:color w:val="000000"/>
              </w:rPr>
              <w:t>33.542%</w:t>
            </w:r>
          </w:p>
        </w:tc>
      </w:tr>
      <w:tr w:rsidRPr="002F168A" w:rsidR="000F68B8" w:rsidTr="00921901" w14:paraId="1DA338F9"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877AE74" w14:textId="3F4EF7C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26C89BC" w14:textId="6BBB7213">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8ECB2DD" w14:textId="1CF63042">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B96794A" w14:textId="1525D71E">
            <w:pPr>
              <w:jc w:val="center"/>
            </w:pPr>
            <w:r w:rsidRPr="000F68B8">
              <w:rPr>
                <w:color w:val="000000"/>
              </w:rPr>
              <w:t>1/1/2030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6B7F4C8" w14:textId="1E786CF7">
            <w:pPr>
              <w:tabs>
                <w:tab w:val="decimal" w:pos="975"/>
              </w:tabs>
              <w:jc w:val="left"/>
            </w:pPr>
            <w:r w:rsidRPr="000F68B8">
              <w:rPr>
                <w:color w:val="000000"/>
              </w:rPr>
              <w:t xml:space="preserve">1,100,000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A3681E3" w14:textId="48266C70">
            <w:pPr>
              <w:tabs>
                <w:tab w:val="decimal" w:pos="1185"/>
              </w:tabs>
              <w:jc w:val="left"/>
            </w:pPr>
            <w:r w:rsidRPr="000F68B8">
              <w:rPr>
                <w:color w:val="000000"/>
              </w:rPr>
              <w:t xml:space="preserve">526,915,000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821A426" w14:textId="73FB1DAA">
            <w:pPr>
              <w:tabs>
                <w:tab w:val="decimal" w:pos="330"/>
              </w:tabs>
              <w:jc w:val="left"/>
            </w:pPr>
            <w:r w:rsidRPr="000F68B8">
              <w:rPr>
                <w:color w:val="000000"/>
              </w:rPr>
              <w:t>33.612%</w:t>
            </w:r>
          </w:p>
        </w:tc>
      </w:tr>
      <w:tr w:rsidRPr="002F168A" w:rsidR="000F68B8" w:rsidTr="00921901" w14:paraId="4427CD6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9CD62E7" w14:textId="53847F55">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7580577" w14:textId="50F4D96A">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6D6A65D" w14:textId="1EEE16F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3B8E246" w14:textId="7430EB46">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6CD82E1" w14:textId="75B1D1DD">
            <w:pPr>
              <w:tabs>
                <w:tab w:val="decimal" w:pos="975"/>
              </w:tabs>
              <w:jc w:val="left"/>
            </w:pPr>
            <w:r w:rsidRPr="000F68B8">
              <w:rPr>
                <w:color w:val="000000"/>
              </w:rPr>
              <w:t xml:space="preserve">1,135,000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522B77F" w14:textId="70899FD0">
            <w:pPr>
              <w:tabs>
                <w:tab w:val="decimal" w:pos="1185"/>
              </w:tabs>
              <w:jc w:val="left"/>
            </w:pPr>
            <w:r w:rsidRPr="000F68B8">
              <w:rPr>
                <w:color w:val="000000"/>
              </w:rPr>
              <w:t xml:space="preserve">528,050,000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FE66118" w14:textId="42A3AC7F">
            <w:pPr>
              <w:tabs>
                <w:tab w:val="decimal" w:pos="330"/>
              </w:tabs>
              <w:jc w:val="left"/>
            </w:pPr>
            <w:r w:rsidRPr="000F68B8">
              <w:rPr>
                <w:color w:val="000000"/>
              </w:rPr>
              <w:t>33.684%</w:t>
            </w:r>
          </w:p>
        </w:tc>
      </w:tr>
      <w:tr w:rsidRPr="002F168A" w:rsidR="000F68B8" w:rsidTr="00921901" w14:paraId="4C54C5D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5FEDF39" w14:textId="1D15CB4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DC67781" w14:textId="75C5DF67">
            <w:pPr>
              <w:jc w:val="left"/>
            </w:pPr>
            <w:r w:rsidRPr="000F68B8">
              <w:rPr>
                <w:color w:val="000000"/>
              </w:rPr>
              <w:t>2022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1E37BFD" w14:textId="72AA7F51">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F185082" w14:textId="1962C45C">
            <w:pPr>
              <w:jc w:val="center"/>
            </w:pPr>
            <w:r w:rsidRPr="000F68B8">
              <w:rPr>
                <w:color w:val="000000"/>
              </w:rPr>
              <w:t>7/1/2053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2D55C86" w14:textId="1D25E844">
            <w:pPr>
              <w:tabs>
                <w:tab w:val="decimal" w:pos="975"/>
              </w:tabs>
              <w:jc w:val="left"/>
            </w:pPr>
            <w:r w:rsidRPr="000F68B8">
              <w:rPr>
                <w:color w:val="000000"/>
              </w:rPr>
              <w:t xml:space="preserve">23,090,000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E4B5D97" w14:textId="4F0E34F8">
            <w:pPr>
              <w:tabs>
                <w:tab w:val="decimal" w:pos="1185"/>
              </w:tabs>
              <w:jc w:val="left"/>
            </w:pPr>
            <w:r w:rsidRPr="000F68B8">
              <w:rPr>
                <w:color w:val="000000"/>
              </w:rPr>
              <w:t xml:space="preserve">551,140,000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C524CB0" w14:textId="2BD0C6D5">
            <w:pPr>
              <w:tabs>
                <w:tab w:val="decimal" w:pos="330"/>
              </w:tabs>
              <w:jc w:val="left"/>
            </w:pPr>
            <w:r w:rsidRPr="000F68B8">
              <w:rPr>
                <w:color w:val="000000"/>
              </w:rPr>
              <w:t>35.157%</w:t>
            </w:r>
          </w:p>
        </w:tc>
      </w:tr>
      <w:tr w:rsidRPr="002F168A" w:rsidR="000F68B8" w:rsidTr="00921901" w14:paraId="29A8EBA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B35C082" w14:textId="68233B40">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827366A" w14:textId="1C39EC34">
            <w:pPr>
              <w:jc w:val="left"/>
            </w:pPr>
            <w:r w:rsidRPr="000F68B8">
              <w:rPr>
                <w:color w:val="000000"/>
              </w:rPr>
              <w:t>2023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35F254C" w14:textId="536A8AA7">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426B591" w14:textId="7B502CDD">
            <w:pPr>
              <w:jc w:val="center"/>
            </w:pPr>
            <w:r w:rsidRPr="000F68B8">
              <w:rPr>
                <w:color w:val="000000"/>
              </w:rPr>
              <w:t>1/1/2025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C105729" w14:textId="4421C471">
            <w:pPr>
              <w:tabs>
                <w:tab w:val="decimal" w:pos="975"/>
              </w:tabs>
              <w:jc w:val="left"/>
            </w:pPr>
            <w:r w:rsidRPr="000F68B8">
              <w:rPr>
                <w:color w:val="000000"/>
              </w:rPr>
              <w:t xml:space="preserve">680,000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9ECB7C8" w14:textId="0B996977">
            <w:pPr>
              <w:tabs>
                <w:tab w:val="decimal" w:pos="1185"/>
              </w:tabs>
              <w:jc w:val="left"/>
            </w:pPr>
            <w:r w:rsidRPr="000F68B8">
              <w:rPr>
                <w:color w:val="000000"/>
              </w:rPr>
              <w:t xml:space="preserve">551,820,000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9533F1D" w14:textId="6109B006">
            <w:pPr>
              <w:tabs>
                <w:tab w:val="decimal" w:pos="330"/>
              </w:tabs>
              <w:jc w:val="left"/>
            </w:pPr>
            <w:r w:rsidRPr="000F68B8">
              <w:rPr>
                <w:color w:val="000000"/>
              </w:rPr>
              <w:t>35.200%</w:t>
            </w:r>
          </w:p>
        </w:tc>
      </w:tr>
      <w:tr w:rsidRPr="002F168A" w:rsidR="000F68B8" w:rsidTr="00921901" w14:paraId="57AA387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064BD95" w14:textId="2AA500C2">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3C9D026" w14:textId="7EB485C5">
            <w:pPr>
              <w:jc w:val="left"/>
            </w:pPr>
            <w:r w:rsidRPr="000F68B8">
              <w:rPr>
                <w:color w:val="000000"/>
              </w:rPr>
              <w:t>2023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0432589" w14:textId="35FE0C21">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B03C98B" w14:textId="2A97B597">
            <w:pPr>
              <w:jc w:val="center"/>
            </w:pPr>
            <w:r w:rsidRPr="000F68B8">
              <w:rPr>
                <w:color w:val="000000"/>
              </w:rPr>
              <w:t>7/1/2025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B57ABFD" w14:textId="33987CB8">
            <w:pPr>
              <w:tabs>
                <w:tab w:val="decimal" w:pos="975"/>
              </w:tabs>
              <w:jc w:val="left"/>
            </w:pPr>
            <w:r w:rsidRPr="000F68B8">
              <w:rPr>
                <w:color w:val="000000"/>
              </w:rPr>
              <w:t xml:space="preserve">705,000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D6E0896" w14:textId="10D93DA2">
            <w:pPr>
              <w:tabs>
                <w:tab w:val="decimal" w:pos="1185"/>
              </w:tabs>
              <w:jc w:val="left"/>
            </w:pPr>
            <w:r w:rsidRPr="000F68B8">
              <w:rPr>
                <w:color w:val="000000"/>
              </w:rPr>
              <w:t xml:space="preserve">552,525,000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14C501D" w14:textId="25926DE4">
            <w:pPr>
              <w:tabs>
                <w:tab w:val="decimal" w:pos="330"/>
              </w:tabs>
              <w:jc w:val="left"/>
            </w:pPr>
            <w:r w:rsidRPr="000F68B8">
              <w:rPr>
                <w:color w:val="000000"/>
              </w:rPr>
              <w:t>35.245%</w:t>
            </w:r>
          </w:p>
        </w:tc>
      </w:tr>
      <w:tr w:rsidRPr="002F168A" w:rsidR="000F68B8" w:rsidTr="00921901" w14:paraId="5B99057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845BF9E" w14:textId="171AEBA5">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6D4F0AE" w14:textId="483C3ECF">
            <w:pPr>
              <w:jc w:val="left"/>
            </w:pPr>
            <w:r w:rsidRPr="000F68B8">
              <w:rPr>
                <w:color w:val="000000"/>
              </w:rPr>
              <w:t>2023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2222CB7" w14:textId="7AABB21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41A125E" w14:textId="336A00F0">
            <w:pPr>
              <w:jc w:val="center"/>
            </w:pPr>
            <w:r w:rsidRPr="000F68B8">
              <w:rPr>
                <w:color w:val="000000"/>
              </w:rPr>
              <w:t>1/1/2026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73F683B" w14:textId="13B42566">
            <w:pPr>
              <w:tabs>
                <w:tab w:val="decimal" w:pos="975"/>
              </w:tabs>
              <w:jc w:val="left"/>
            </w:pPr>
            <w:r w:rsidRPr="000F68B8">
              <w:rPr>
                <w:color w:val="000000"/>
              </w:rPr>
              <w:t xml:space="preserve">730,000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68E6F3C" w14:textId="2F504240">
            <w:pPr>
              <w:tabs>
                <w:tab w:val="decimal" w:pos="1185"/>
              </w:tabs>
              <w:jc w:val="left"/>
            </w:pPr>
            <w:r w:rsidRPr="000F68B8">
              <w:rPr>
                <w:color w:val="000000"/>
              </w:rPr>
              <w:t xml:space="preserve">553,255,000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14E156E" w14:textId="5E3E949A">
            <w:pPr>
              <w:tabs>
                <w:tab w:val="decimal" w:pos="330"/>
              </w:tabs>
              <w:jc w:val="left"/>
            </w:pPr>
            <w:r w:rsidRPr="000F68B8">
              <w:rPr>
                <w:color w:val="000000"/>
              </w:rPr>
              <w:t>35.292%</w:t>
            </w:r>
          </w:p>
        </w:tc>
      </w:tr>
      <w:tr w:rsidRPr="002F168A" w:rsidR="000F68B8" w:rsidTr="00921901" w14:paraId="2F6208F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8744EE0" w14:textId="7ECED242">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1029F46" w14:textId="72EE227D">
            <w:pPr>
              <w:jc w:val="left"/>
            </w:pPr>
            <w:r w:rsidRPr="000F68B8">
              <w:rPr>
                <w:color w:val="000000"/>
              </w:rPr>
              <w:t>2023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CA5073D" w14:textId="5CE2B8EF">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2137B97" w14:textId="5A2C752C">
            <w:pPr>
              <w:jc w:val="center"/>
            </w:pPr>
            <w:r w:rsidRPr="000F68B8">
              <w:rPr>
                <w:color w:val="000000"/>
              </w:rPr>
              <w:t>7/1/2026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0790DD2" w14:textId="6AB87A2A">
            <w:pPr>
              <w:tabs>
                <w:tab w:val="decimal" w:pos="975"/>
              </w:tabs>
              <w:jc w:val="left"/>
            </w:pPr>
            <w:r w:rsidRPr="000F68B8">
              <w:rPr>
                <w:color w:val="000000"/>
              </w:rPr>
              <w:t xml:space="preserve">765,000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F141372" w14:textId="5164970E">
            <w:pPr>
              <w:tabs>
                <w:tab w:val="decimal" w:pos="1185"/>
              </w:tabs>
              <w:jc w:val="left"/>
            </w:pPr>
            <w:r w:rsidRPr="000F68B8">
              <w:rPr>
                <w:color w:val="000000"/>
              </w:rPr>
              <w:t xml:space="preserve">554,020,000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03AEB4F" w14:textId="6AD7BD2C">
            <w:pPr>
              <w:tabs>
                <w:tab w:val="decimal" w:pos="330"/>
              </w:tabs>
              <w:jc w:val="left"/>
            </w:pPr>
            <w:r w:rsidRPr="000F68B8">
              <w:rPr>
                <w:color w:val="000000"/>
              </w:rPr>
              <w:t>35.341%</w:t>
            </w:r>
          </w:p>
        </w:tc>
      </w:tr>
      <w:tr w:rsidRPr="002F168A" w:rsidR="000F68B8" w:rsidTr="00921901" w14:paraId="34E0DBE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EFDFE2F" w14:textId="5F652C74">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10D3BD9" w14:textId="12FC16C1">
            <w:pPr>
              <w:jc w:val="left"/>
            </w:pPr>
            <w:r w:rsidRPr="000F68B8">
              <w:rPr>
                <w:color w:val="000000"/>
              </w:rPr>
              <w:t>2023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3BDC775" w14:textId="4F040D3F">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2997BE4" w14:textId="3FC9A920">
            <w:pPr>
              <w:jc w:val="center"/>
            </w:pPr>
            <w:r w:rsidRPr="000F68B8">
              <w:rPr>
                <w:color w:val="000000"/>
              </w:rPr>
              <w:t>1/1/2027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532AFFE" w14:textId="7BE8CFCD">
            <w:pPr>
              <w:tabs>
                <w:tab w:val="decimal" w:pos="975"/>
              </w:tabs>
              <w:jc w:val="left"/>
            </w:pPr>
            <w:r w:rsidRPr="000F68B8">
              <w:rPr>
                <w:color w:val="000000"/>
              </w:rPr>
              <w:t xml:space="preserve">785,000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4969F22" w14:textId="1215E7AF">
            <w:pPr>
              <w:tabs>
                <w:tab w:val="decimal" w:pos="1185"/>
              </w:tabs>
              <w:jc w:val="left"/>
            </w:pPr>
            <w:r w:rsidRPr="000F68B8">
              <w:rPr>
                <w:color w:val="000000"/>
              </w:rPr>
              <w:t xml:space="preserve">554,805,000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1639892" w14:textId="0424FD6A">
            <w:pPr>
              <w:tabs>
                <w:tab w:val="decimal" w:pos="330"/>
              </w:tabs>
              <w:jc w:val="left"/>
            </w:pPr>
            <w:r w:rsidRPr="000F68B8">
              <w:rPr>
                <w:color w:val="000000"/>
              </w:rPr>
              <w:t>35.391%</w:t>
            </w:r>
          </w:p>
        </w:tc>
      </w:tr>
      <w:tr w:rsidRPr="002F168A" w:rsidR="000F68B8" w:rsidTr="00921901" w14:paraId="7442C81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15FFB1D" w14:textId="47674F5B">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A31601A" w14:textId="165D8C24">
            <w:pPr>
              <w:jc w:val="left"/>
            </w:pPr>
            <w:r w:rsidRPr="000F68B8">
              <w:rPr>
                <w:color w:val="000000"/>
              </w:rPr>
              <w:t>2023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34093BE" w14:textId="7B723A4C">
            <w:pPr>
              <w:jc w:val="left"/>
            </w:pPr>
            <w:r w:rsidRPr="000F68B8">
              <w:rPr>
                <w:color w:val="000000"/>
              </w:rPr>
              <w:t xml:space="preserve"> Non-Callable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F70D91C" w14:textId="1B6B5C90">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745CF07" w14:textId="7A45F80D">
            <w:pPr>
              <w:tabs>
                <w:tab w:val="decimal" w:pos="975"/>
              </w:tabs>
              <w:jc w:val="left"/>
            </w:pPr>
            <w:r w:rsidRPr="000F68B8">
              <w:rPr>
                <w:color w:val="000000"/>
              </w:rPr>
              <w:t xml:space="preserve">225,000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C2420CC" w14:textId="577284C7">
            <w:pPr>
              <w:tabs>
                <w:tab w:val="decimal" w:pos="1185"/>
              </w:tabs>
              <w:jc w:val="left"/>
            </w:pPr>
            <w:r w:rsidRPr="000F68B8">
              <w:rPr>
                <w:color w:val="000000"/>
              </w:rPr>
              <w:t xml:space="preserve">555,030,000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10B2979" w14:textId="081B7D7A">
            <w:pPr>
              <w:tabs>
                <w:tab w:val="decimal" w:pos="330"/>
              </w:tabs>
              <w:jc w:val="left"/>
            </w:pPr>
            <w:r w:rsidRPr="000F68B8">
              <w:rPr>
                <w:color w:val="000000"/>
              </w:rPr>
              <w:t>35.405%</w:t>
            </w:r>
          </w:p>
        </w:tc>
      </w:tr>
      <w:tr w:rsidRPr="002F168A" w:rsidR="000F68B8" w:rsidTr="00921901" w14:paraId="703E5BA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1022E76" w14:textId="615C4181">
            <w:pPr>
              <w:tabs>
                <w:tab w:val="decimal" w:pos="255"/>
              </w:tabs>
              <w:jc w:val="right"/>
            </w:pPr>
            <w:bookmarkStart w:name="ElPgBr100" w:id="1075"/>
            <w:bookmarkEnd w:id="1075"/>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BBD2921" w14:textId="35446F8D">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2DF9CAB" w14:textId="1AB6ED3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78A497B" w14:textId="7D31C91A">
            <w:pPr>
              <w:jc w:val="center"/>
            </w:pPr>
            <w:r w:rsidRPr="000F68B8">
              <w:rPr>
                <w:color w:val="000000"/>
              </w:rPr>
              <w:t>7/1/2043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F31A2D0" w14:textId="7EF6AFD7">
            <w:pPr>
              <w:tabs>
                <w:tab w:val="decimal" w:pos="975"/>
              </w:tabs>
              <w:jc w:val="left"/>
            </w:pPr>
            <w:r w:rsidRPr="000F68B8">
              <w:rPr>
                <w:color w:val="000000"/>
              </w:rPr>
              <w:t xml:space="preserve">10,325,000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E3FE912" w14:textId="0FB2D325">
            <w:pPr>
              <w:tabs>
                <w:tab w:val="decimal" w:pos="1185"/>
              </w:tabs>
              <w:jc w:val="left"/>
            </w:pPr>
            <w:r w:rsidRPr="000F68B8">
              <w:rPr>
                <w:color w:val="000000"/>
              </w:rPr>
              <w:t xml:space="preserve">565,355,000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4DD1368" w14:textId="7C2AA528">
            <w:pPr>
              <w:tabs>
                <w:tab w:val="decimal" w:pos="330"/>
              </w:tabs>
              <w:jc w:val="left"/>
            </w:pPr>
            <w:r w:rsidRPr="000F68B8">
              <w:rPr>
                <w:color w:val="000000"/>
              </w:rPr>
              <w:t>36.064%</w:t>
            </w:r>
          </w:p>
        </w:tc>
      </w:tr>
      <w:tr w:rsidRPr="002F168A" w:rsidR="000F68B8" w:rsidTr="00921901" w14:paraId="5B4D9B3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34E7AC5" w14:textId="4BD02AC4">
            <w:pPr>
              <w:tabs>
                <w:tab w:val="decimal" w:pos="255"/>
              </w:tabs>
              <w:jc w:val="right"/>
            </w:pPr>
            <w:r w:rsidRPr="000F68B8">
              <w:rPr>
                <w:color w:val="000000"/>
              </w:rPr>
              <w:t xml:space="preserve">4.990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4C8A977" w14:textId="290D27DE">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11A0229" w14:textId="0F48CD5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DD1C720" w14:textId="74615B01">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3D0BD37" w14:textId="6AD769B0">
            <w:pPr>
              <w:tabs>
                <w:tab w:val="decimal" w:pos="975"/>
              </w:tabs>
              <w:jc w:val="left"/>
            </w:pPr>
            <w:r w:rsidRPr="000F68B8">
              <w:rPr>
                <w:color w:val="000000"/>
              </w:rPr>
              <w:t xml:space="preserve">920,000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9F7AF5D" w14:textId="133268A9">
            <w:pPr>
              <w:tabs>
                <w:tab w:val="decimal" w:pos="1185"/>
              </w:tabs>
              <w:jc w:val="left"/>
            </w:pPr>
            <w:r w:rsidRPr="000F68B8">
              <w:rPr>
                <w:color w:val="000000"/>
              </w:rPr>
              <w:t xml:space="preserve">566,275,000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E0F4817" w14:textId="544CB0DB">
            <w:pPr>
              <w:tabs>
                <w:tab w:val="decimal" w:pos="330"/>
              </w:tabs>
              <w:jc w:val="left"/>
            </w:pPr>
            <w:r w:rsidRPr="000F68B8">
              <w:rPr>
                <w:color w:val="000000"/>
              </w:rPr>
              <w:t>36.123%</w:t>
            </w:r>
          </w:p>
        </w:tc>
      </w:tr>
      <w:tr w:rsidRPr="002F168A" w:rsidR="000F68B8" w:rsidTr="00921901" w14:paraId="3C3CB48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B491075" w14:textId="4942A72F">
            <w:pPr>
              <w:tabs>
                <w:tab w:val="decimal" w:pos="255"/>
              </w:tabs>
              <w:jc w:val="right"/>
            </w:pPr>
            <w:r w:rsidRPr="000F68B8">
              <w:rPr>
                <w:color w:val="000000"/>
              </w:rPr>
              <w:t xml:space="preserve">4.984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D09332B" w14:textId="5CE3588C">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4FCCA37" w14:textId="5E42FD7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0E698C4" w14:textId="07B412DC">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97F698D" w14:textId="7CBFC3E1">
            <w:pPr>
              <w:tabs>
                <w:tab w:val="decimal" w:pos="975"/>
              </w:tabs>
              <w:jc w:val="left"/>
            </w:pPr>
            <w:r w:rsidRPr="000F68B8">
              <w:rPr>
                <w:color w:val="000000"/>
              </w:rPr>
              <w:t xml:space="preserve">940,000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801119A" w14:textId="6E6FD2FC">
            <w:pPr>
              <w:tabs>
                <w:tab w:val="decimal" w:pos="1185"/>
              </w:tabs>
              <w:jc w:val="left"/>
            </w:pPr>
            <w:r w:rsidRPr="000F68B8">
              <w:rPr>
                <w:color w:val="000000"/>
              </w:rPr>
              <w:t xml:space="preserve">567,215,000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C0D1072" w14:textId="63A82248">
            <w:pPr>
              <w:tabs>
                <w:tab w:val="decimal" w:pos="330"/>
              </w:tabs>
              <w:jc w:val="left"/>
            </w:pPr>
            <w:r w:rsidRPr="000F68B8">
              <w:rPr>
                <w:color w:val="000000"/>
              </w:rPr>
              <w:t>36.183%</w:t>
            </w:r>
          </w:p>
        </w:tc>
      </w:tr>
      <w:tr w:rsidRPr="002F168A" w:rsidR="000F68B8" w:rsidTr="00921901" w14:paraId="631F0D06"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FE6E4C6" w14:textId="3B48FA01">
            <w:pPr>
              <w:tabs>
                <w:tab w:val="decimal" w:pos="255"/>
              </w:tabs>
              <w:jc w:val="right"/>
            </w:pPr>
            <w:r w:rsidRPr="000F68B8">
              <w:rPr>
                <w:color w:val="000000"/>
              </w:rPr>
              <w:t xml:space="preserve">4.976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7E38D8B" w14:textId="6C72A8E7">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FB9F306" w14:textId="31FA41A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BAD0BBE" w14:textId="2BECD0CF">
            <w:pPr>
              <w:jc w:val="center"/>
            </w:pPr>
            <w:r w:rsidRPr="000F68B8">
              <w:rPr>
                <w:color w:val="000000"/>
              </w:rPr>
              <w:t>1/1/2031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8A83458" w14:textId="76797B0B">
            <w:pPr>
              <w:tabs>
                <w:tab w:val="decimal" w:pos="975"/>
              </w:tabs>
              <w:jc w:val="left"/>
            </w:pPr>
            <w:r w:rsidRPr="000F68B8">
              <w:rPr>
                <w:color w:val="000000"/>
              </w:rPr>
              <w:t xml:space="preserve">750,000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7ECCFE9" w14:textId="1688F3DC">
            <w:pPr>
              <w:tabs>
                <w:tab w:val="decimal" w:pos="1185"/>
              </w:tabs>
              <w:jc w:val="left"/>
            </w:pPr>
            <w:r w:rsidRPr="000F68B8">
              <w:rPr>
                <w:color w:val="000000"/>
              </w:rPr>
              <w:t xml:space="preserve">567,965,000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2F10379" w14:textId="34628270">
            <w:pPr>
              <w:tabs>
                <w:tab w:val="decimal" w:pos="330"/>
              </w:tabs>
              <w:jc w:val="left"/>
            </w:pPr>
            <w:r w:rsidRPr="000F68B8">
              <w:rPr>
                <w:color w:val="000000"/>
              </w:rPr>
              <w:t>36.230%</w:t>
            </w:r>
          </w:p>
        </w:tc>
      </w:tr>
      <w:tr w:rsidRPr="002F168A" w:rsidR="000F68B8" w:rsidTr="00921901" w14:paraId="489A437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94397BD" w14:textId="4FABE690">
            <w:pPr>
              <w:tabs>
                <w:tab w:val="decimal" w:pos="255"/>
              </w:tabs>
              <w:jc w:val="right"/>
            </w:pPr>
            <w:r w:rsidRPr="000F68B8">
              <w:rPr>
                <w:color w:val="000000"/>
              </w:rPr>
              <w:t xml:space="preserve">4.940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1211176" w14:textId="2C67B87B">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CA7D9F9" w14:textId="373AF2B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E61F3E8" w14:textId="7CB4E58A">
            <w:pPr>
              <w:jc w:val="center"/>
            </w:pPr>
            <w:r w:rsidRPr="000F68B8">
              <w:rPr>
                <w:color w:val="000000"/>
              </w:rPr>
              <w:t>1/1/2030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ED6EBF0" w14:textId="5E9B06DA">
            <w:pPr>
              <w:tabs>
                <w:tab w:val="decimal" w:pos="975"/>
              </w:tabs>
              <w:jc w:val="left"/>
            </w:pPr>
            <w:r w:rsidRPr="000F68B8">
              <w:rPr>
                <w:color w:val="000000"/>
              </w:rPr>
              <w:t xml:space="preserve">910,000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6263C50" w14:textId="727B066E">
            <w:pPr>
              <w:tabs>
                <w:tab w:val="decimal" w:pos="1185"/>
              </w:tabs>
              <w:jc w:val="left"/>
            </w:pPr>
            <w:r w:rsidRPr="000F68B8">
              <w:rPr>
                <w:color w:val="000000"/>
              </w:rPr>
              <w:t xml:space="preserve">568,875,000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3E4B902" w14:textId="322970E6">
            <w:pPr>
              <w:tabs>
                <w:tab w:val="decimal" w:pos="330"/>
              </w:tabs>
              <w:jc w:val="left"/>
            </w:pPr>
            <w:r w:rsidRPr="000F68B8">
              <w:rPr>
                <w:color w:val="000000"/>
              </w:rPr>
              <w:t>36.288%</w:t>
            </w:r>
          </w:p>
        </w:tc>
      </w:tr>
      <w:tr w:rsidRPr="002F168A" w:rsidR="000F68B8" w:rsidTr="00921901" w14:paraId="058641C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11A04FD" w14:textId="23A2B65C">
            <w:pPr>
              <w:tabs>
                <w:tab w:val="decimal" w:pos="255"/>
              </w:tabs>
              <w:jc w:val="right"/>
            </w:pPr>
            <w:r w:rsidRPr="000F68B8">
              <w:rPr>
                <w:color w:val="000000"/>
              </w:rPr>
              <w:t xml:space="preserve">4.934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E3E4DEE" w14:textId="52056B65">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7406C23" w14:textId="486E3E3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D818242" w14:textId="45EFB2AF">
            <w:pPr>
              <w:jc w:val="center"/>
            </w:pPr>
            <w:r w:rsidRPr="000F68B8">
              <w:rPr>
                <w:color w:val="000000"/>
              </w:rPr>
              <w:t>1/1/2030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C6F0E71" w14:textId="01EF84C6">
            <w:pPr>
              <w:tabs>
                <w:tab w:val="decimal" w:pos="975"/>
              </w:tabs>
              <w:jc w:val="left"/>
            </w:pPr>
            <w:r w:rsidRPr="000F68B8">
              <w:rPr>
                <w:color w:val="000000"/>
              </w:rPr>
              <w:t xml:space="preserve">910,000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B89F79D" w14:textId="16772CFB">
            <w:pPr>
              <w:tabs>
                <w:tab w:val="decimal" w:pos="1185"/>
              </w:tabs>
              <w:jc w:val="left"/>
            </w:pPr>
            <w:r w:rsidRPr="000F68B8">
              <w:rPr>
                <w:color w:val="000000"/>
              </w:rPr>
              <w:t xml:space="preserve">569,785,000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6ED37E5" w14:textId="0BFB6C53">
            <w:pPr>
              <w:tabs>
                <w:tab w:val="decimal" w:pos="330"/>
              </w:tabs>
              <w:jc w:val="left"/>
            </w:pPr>
            <w:r w:rsidRPr="000F68B8">
              <w:rPr>
                <w:color w:val="000000"/>
              </w:rPr>
              <w:t>36.346%</w:t>
            </w:r>
          </w:p>
        </w:tc>
      </w:tr>
      <w:tr w:rsidRPr="002F168A" w:rsidR="000F68B8" w:rsidTr="00921901" w14:paraId="499B3D9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A9562CE" w14:textId="49BC5F8D">
            <w:pPr>
              <w:tabs>
                <w:tab w:val="decimal" w:pos="255"/>
              </w:tabs>
              <w:jc w:val="right"/>
            </w:pPr>
            <w:r w:rsidRPr="000F68B8">
              <w:rPr>
                <w:color w:val="000000"/>
              </w:rPr>
              <w:t xml:space="preserve">4.890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FFC3C93" w14:textId="57F9564F">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AAC8EAC" w14:textId="21E8DBF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8EA29F6" w14:textId="7407EE4E">
            <w:pPr>
              <w:jc w:val="center"/>
            </w:pPr>
            <w:r w:rsidRPr="000F68B8">
              <w:rPr>
                <w:color w:val="000000"/>
              </w:rPr>
              <w:t>7/1/2029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A58952B" w14:textId="6701A513">
            <w:pPr>
              <w:tabs>
                <w:tab w:val="decimal" w:pos="975"/>
              </w:tabs>
              <w:jc w:val="left"/>
            </w:pPr>
            <w:r w:rsidRPr="000F68B8">
              <w:rPr>
                <w:color w:val="000000"/>
              </w:rPr>
              <w:t xml:space="preserve">885,000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35F3B16" w14:textId="783BEC7C">
            <w:pPr>
              <w:tabs>
                <w:tab w:val="decimal" w:pos="1185"/>
              </w:tabs>
              <w:jc w:val="left"/>
            </w:pPr>
            <w:r w:rsidRPr="000F68B8">
              <w:rPr>
                <w:color w:val="000000"/>
              </w:rPr>
              <w:t xml:space="preserve">570,670,000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76A71C3" w14:textId="4877425A">
            <w:pPr>
              <w:tabs>
                <w:tab w:val="decimal" w:pos="330"/>
              </w:tabs>
              <w:jc w:val="left"/>
            </w:pPr>
            <w:r w:rsidRPr="000F68B8">
              <w:rPr>
                <w:color w:val="000000"/>
              </w:rPr>
              <w:t>36.403%</w:t>
            </w:r>
          </w:p>
        </w:tc>
      </w:tr>
      <w:tr w:rsidRPr="002F168A" w:rsidR="000F68B8" w:rsidTr="00921901" w14:paraId="3FBC0409"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396146E" w14:textId="59B2FD7C">
            <w:pPr>
              <w:tabs>
                <w:tab w:val="decimal" w:pos="255"/>
              </w:tabs>
              <w:jc w:val="right"/>
            </w:pPr>
            <w:r w:rsidRPr="000F68B8">
              <w:rPr>
                <w:color w:val="000000"/>
              </w:rPr>
              <w:t xml:space="preserve">4.880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F9AAC9C" w14:textId="6FB547B5">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BDC9EAF" w14:textId="697B9B3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9C07A64" w14:textId="220FC5FE">
            <w:pPr>
              <w:jc w:val="center"/>
            </w:pPr>
            <w:r w:rsidRPr="000F68B8">
              <w:rPr>
                <w:color w:val="000000"/>
              </w:rPr>
              <w:t>7/1/2032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8240781" w14:textId="5A583FA3">
            <w:pPr>
              <w:tabs>
                <w:tab w:val="decimal" w:pos="975"/>
              </w:tabs>
              <w:jc w:val="left"/>
            </w:pPr>
            <w:r w:rsidRPr="000F68B8">
              <w:rPr>
                <w:color w:val="000000"/>
              </w:rPr>
              <w:t xml:space="preserve">1,485,000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94083AD" w14:textId="1B4E5A74">
            <w:pPr>
              <w:tabs>
                <w:tab w:val="decimal" w:pos="1185"/>
              </w:tabs>
              <w:jc w:val="left"/>
            </w:pPr>
            <w:r w:rsidRPr="000F68B8">
              <w:rPr>
                <w:color w:val="000000"/>
              </w:rPr>
              <w:t xml:space="preserve">572,155,000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B087D4E" w14:textId="0B82ED11">
            <w:pPr>
              <w:tabs>
                <w:tab w:val="decimal" w:pos="330"/>
              </w:tabs>
              <w:jc w:val="left"/>
            </w:pPr>
            <w:r w:rsidRPr="000F68B8">
              <w:rPr>
                <w:color w:val="000000"/>
              </w:rPr>
              <w:t>36.498%</w:t>
            </w:r>
          </w:p>
        </w:tc>
      </w:tr>
      <w:tr w:rsidRPr="002F168A" w:rsidR="000F68B8" w:rsidTr="00921901" w14:paraId="7FB7A44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AF399EC" w14:textId="752E31E9">
            <w:pPr>
              <w:tabs>
                <w:tab w:val="decimal" w:pos="255"/>
              </w:tabs>
              <w:jc w:val="right"/>
            </w:pPr>
            <w:r w:rsidRPr="000F68B8">
              <w:rPr>
                <w:color w:val="000000"/>
              </w:rPr>
              <w:t xml:space="preserve">4.859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E64C59B" w14:textId="6CF9DA8B">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AFDA11A" w14:textId="7AC1BA5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F1A3B76" w14:textId="63D2163F">
            <w:pPr>
              <w:jc w:val="center"/>
            </w:pPr>
            <w:r w:rsidRPr="000F68B8">
              <w:rPr>
                <w:color w:val="000000"/>
              </w:rPr>
              <w:t>1/1/2025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C67EF9D" w14:textId="5C4EDCC0">
            <w:pPr>
              <w:tabs>
                <w:tab w:val="decimal" w:pos="975"/>
              </w:tabs>
              <w:jc w:val="left"/>
            </w:pPr>
            <w:r w:rsidRPr="000F68B8">
              <w:rPr>
                <w:color w:val="000000"/>
              </w:rPr>
              <w:t xml:space="preserve">645,000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A603A64" w14:textId="7CC2D691">
            <w:pPr>
              <w:tabs>
                <w:tab w:val="decimal" w:pos="1185"/>
              </w:tabs>
              <w:jc w:val="left"/>
            </w:pPr>
            <w:r w:rsidRPr="000F68B8">
              <w:rPr>
                <w:color w:val="000000"/>
              </w:rPr>
              <w:t xml:space="preserve">572,800,000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8ACFECB" w14:textId="38C91099">
            <w:pPr>
              <w:tabs>
                <w:tab w:val="decimal" w:pos="330"/>
              </w:tabs>
              <w:jc w:val="left"/>
            </w:pPr>
            <w:r w:rsidRPr="000F68B8">
              <w:rPr>
                <w:color w:val="000000"/>
              </w:rPr>
              <w:t>36.539%</w:t>
            </w:r>
          </w:p>
        </w:tc>
      </w:tr>
      <w:tr w:rsidRPr="002F168A" w:rsidR="000F68B8" w:rsidTr="00921901" w14:paraId="3726573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327607D" w14:textId="083DA9C4">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8AD6391" w14:textId="27F9737F">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ED18872" w14:textId="7FFF5EF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76C3DEE" w14:textId="29686B76">
            <w:pPr>
              <w:jc w:val="center"/>
            </w:pPr>
            <w:r w:rsidRPr="000F68B8">
              <w:rPr>
                <w:color w:val="000000"/>
              </w:rPr>
              <w:t>7/1/2025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E909600" w14:textId="1665B5CB">
            <w:pPr>
              <w:tabs>
                <w:tab w:val="decimal" w:pos="975"/>
              </w:tabs>
              <w:jc w:val="left"/>
            </w:pPr>
            <w:r w:rsidRPr="000F68B8">
              <w:rPr>
                <w:color w:val="000000"/>
              </w:rPr>
              <w:t xml:space="preserve">665,000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BD73CDD" w14:textId="1B25B63B">
            <w:pPr>
              <w:tabs>
                <w:tab w:val="decimal" w:pos="1185"/>
              </w:tabs>
              <w:jc w:val="left"/>
            </w:pPr>
            <w:r w:rsidRPr="000F68B8">
              <w:rPr>
                <w:color w:val="000000"/>
              </w:rPr>
              <w:t xml:space="preserve">573,465,000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B46D357" w14:textId="3E7ECE75">
            <w:pPr>
              <w:tabs>
                <w:tab w:val="decimal" w:pos="330"/>
              </w:tabs>
              <w:jc w:val="left"/>
            </w:pPr>
            <w:r w:rsidRPr="000F68B8">
              <w:rPr>
                <w:color w:val="000000"/>
              </w:rPr>
              <w:t>36.581%</w:t>
            </w:r>
          </w:p>
        </w:tc>
      </w:tr>
      <w:tr w:rsidRPr="002F168A" w:rsidR="000F68B8" w:rsidTr="00921901" w14:paraId="7984086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4EBE18B" w14:textId="4B3937AE">
            <w:pPr>
              <w:tabs>
                <w:tab w:val="decimal" w:pos="255"/>
              </w:tabs>
              <w:jc w:val="right"/>
            </w:pPr>
            <w:r w:rsidRPr="000F68B8">
              <w:rPr>
                <w:color w:val="000000"/>
              </w:rPr>
              <w:t xml:space="preserve">4.855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8387D2A" w14:textId="0A4B77DE">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A26B523" w14:textId="0957336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9FFC360" w14:textId="6C30DF03">
            <w:pPr>
              <w:jc w:val="center"/>
            </w:pPr>
            <w:r w:rsidRPr="000F68B8">
              <w:rPr>
                <w:color w:val="000000"/>
              </w:rPr>
              <w:t>7/1/2029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3F7148A" w14:textId="18309088">
            <w:pPr>
              <w:tabs>
                <w:tab w:val="decimal" w:pos="975"/>
              </w:tabs>
              <w:jc w:val="left"/>
            </w:pPr>
            <w:r w:rsidRPr="000F68B8">
              <w:rPr>
                <w:color w:val="000000"/>
              </w:rPr>
              <w:t xml:space="preserve">875,000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8DBC3BB" w14:textId="2AC97F2D">
            <w:pPr>
              <w:tabs>
                <w:tab w:val="decimal" w:pos="1185"/>
              </w:tabs>
              <w:jc w:val="left"/>
            </w:pPr>
            <w:r w:rsidRPr="000F68B8">
              <w:rPr>
                <w:color w:val="000000"/>
              </w:rPr>
              <w:t xml:space="preserve">574,340,000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1F0AF5B" w14:textId="584725CC">
            <w:pPr>
              <w:tabs>
                <w:tab w:val="decimal" w:pos="330"/>
              </w:tabs>
              <w:jc w:val="left"/>
            </w:pPr>
            <w:r w:rsidRPr="000F68B8">
              <w:rPr>
                <w:color w:val="000000"/>
              </w:rPr>
              <w:t>36.637%</w:t>
            </w:r>
          </w:p>
        </w:tc>
      </w:tr>
      <w:tr w:rsidRPr="002F168A" w:rsidR="000F68B8" w:rsidTr="00921901" w14:paraId="1DA4E0C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9434928" w14:textId="147DDCB1">
            <w:pPr>
              <w:tabs>
                <w:tab w:val="decimal" w:pos="255"/>
              </w:tabs>
              <w:jc w:val="right"/>
            </w:pPr>
            <w:r w:rsidRPr="000F68B8">
              <w:rPr>
                <w:color w:val="000000"/>
              </w:rPr>
              <w:t xml:space="preserve">4.850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55A798C" w14:textId="6353FCEC">
            <w:pPr>
              <w:jc w:val="left"/>
            </w:pPr>
            <w:r w:rsidRPr="000F68B8">
              <w:rPr>
                <w:color w:val="000000"/>
              </w:rPr>
              <w:t>2022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AF5A68E" w14:textId="112DFD0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D03865B" w14:textId="51186627">
            <w:pPr>
              <w:jc w:val="center"/>
            </w:pPr>
            <w:r w:rsidRPr="000F68B8">
              <w:rPr>
                <w:color w:val="000000"/>
              </w:rPr>
              <w:t>7/1/2051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B4612C5" w14:textId="735B6D65">
            <w:pPr>
              <w:tabs>
                <w:tab w:val="decimal" w:pos="975"/>
              </w:tabs>
              <w:jc w:val="left"/>
            </w:pPr>
            <w:r w:rsidRPr="000F68B8">
              <w:rPr>
                <w:color w:val="000000"/>
              </w:rPr>
              <w:t xml:space="preserve">41,055,000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A4AF4DE" w14:textId="04B848E8">
            <w:pPr>
              <w:tabs>
                <w:tab w:val="decimal" w:pos="1185"/>
              </w:tabs>
              <w:jc w:val="left"/>
            </w:pPr>
            <w:r w:rsidRPr="000F68B8">
              <w:rPr>
                <w:color w:val="000000"/>
              </w:rPr>
              <w:t xml:space="preserve">615,395,000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8A0D8AC" w14:textId="5D84A242">
            <w:pPr>
              <w:tabs>
                <w:tab w:val="decimal" w:pos="330"/>
              </w:tabs>
              <w:jc w:val="left"/>
            </w:pPr>
            <w:r w:rsidRPr="000F68B8">
              <w:rPr>
                <w:color w:val="000000"/>
              </w:rPr>
              <w:t>39.256%</w:t>
            </w:r>
          </w:p>
        </w:tc>
      </w:tr>
      <w:tr w:rsidRPr="002F168A" w:rsidR="000F68B8" w:rsidTr="00921901" w14:paraId="5C5AF06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950F9A7" w14:textId="3B8839DC">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2866C10" w14:textId="2AC716C9">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9EC66F9" w14:textId="4D7705A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D372B0A" w14:textId="04771356">
            <w:pPr>
              <w:jc w:val="center"/>
            </w:pPr>
            <w:r w:rsidRPr="000F68B8">
              <w:rPr>
                <w:color w:val="000000"/>
              </w:rPr>
              <w:t>7/1/2054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87AC42D" w14:textId="03042EF8">
            <w:pPr>
              <w:tabs>
                <w:tab w:val="decimal" w:pos="975"/>
              </w:tabs>
              <w:jc w:val="left"/>
            </w:pPr>
            <w:r w:rsidRPr="000F68B8">
              <w:rPr>
                <w:color w:val="000000"/>
              </w:rPr>
              <w:t xml:space="preserve">39,700,000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8C4A5E6" w14:textId="28B98050">
            <w:pPr>
              <w:tabs>
                <w:tab w:val="decimal" w:pos="1185"/>
              </w:tabs>
              <w:jc w:val="left"/>
            </w:pPr>
            <w:r w:rsidRPr="000F68B8">
              <w:rPr>
                <w:color w:val="000000"/>
              </w:rPr>
              <w:t xml:space="preserve">655,095,000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B1D4131" w14:textId="0ABB2D46">
            <w:pPr>
              <w:tabs>
                <w:tab w:val="decimal" w:pos="330"/>
              </w:tabs>
              <w:jc w:val="left"/>
            </w:pPr>
            <w:r w:rsidRPr="000F68B8">
              <w:rPr>
                <w:color w:val="000000"/>
              </w:rPr>
              <w:t>41.788%</w:t>
            </w:r>
          </w:p>
        </w:tc>
      </w:tr>
      <w:tr w:rsidRPr="002F168A" w:rsidR="000F68B8" w:rsidTr="00921901" w14:paraId="564D4A3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7C6A113" w14:textId="1BCDFBD2">
            <w:pPr>
              <w:tabs>
                <w:tab w:val="decimal" w:pos="255"/>
              </w:tabs>
              <w:jc w:val="right"/>
            </w:pPr>
            <w:r w:rsidRPr="000F68B8">
              <w:rPr>
                <w:color w:val="000000"/>
              </w:rPr>
              <w:t xml:space="preserve">4.840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A1E2C13" w14:textId="52B5AF4C">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28D8408" w14:textId="0118F2F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A0F0A69" w14:textId="587BDF29">
            <w:pPr>
              <w:jc w:val="center"/>
            </w:pPr>
            <w:r w:rsidRPr="000F68B8">
              <w:rPr>
                <w:color w:val="000000"/>
              </w:rPr>
              <w:t>1/1/2029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E0F4060" w14:textId="0AC0AB69">
            <w:pPr>
              <w:tabs>
                <w:tab w:val="decimal" w:pos="975"/>
              </w:tabs>
              <w:jc w:val="left"/>
            </w:pPr>
            <w:r w:rsidRPr="000F68B8">
              <w:rPr>
                <w:color w:val="000000"/>
              </w:rPr>
              <w:t xml:space="preserve">860,000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A2581BB" w14:textId="7366A530">
            <w:pPr>
              <w:tabs>
                <w:tab w:val="decimal" w:pos="1185"/>
              </w:tabs>
              <w:jc w:val="left"/>
            </w:pPr>
            <w:r w:rsidRPr="000F68B8">
              <w:rPr>
                <w:color w:val="000000"/>
              </w:rPr>
              <w:t xml:space="preserve">655,955,000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BEEE17D" w14:textId="119575DB">
            <w:pPr>
              <w:tabs>
                <w:tab w:val="decimal" w:pos="330"/>
              </w:tabs>
              <w:jc w:val="left"/>
            </w:pPr>
            <w:r w:rsidRPr="000F68B8">
              <w:rPr>
                <w:color w:val="000000"/>
              </w:rPr>
              <w:t>41.843%</w:t>
            </w:r>
          </w:p>
        </w:tc>
      </w:tr>
      <w:tr w:rsidRPr="002F168A" w:rsidR="000F68B8" w:rsidTr="00921901" w14:paraId="2C49F81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E25A0C2" w14:textId="36728DED">
            <w:pPr>
              <w:tabs>
                <w:tab w:val="decimal" w:pos="255"/>
              </w:tabs>
              <w:jc w:val="right"/>
            </w:pPr>
            <w:r w:rsidRPr="000F68B8">
              <w:rPr>
                <w:color w:val="000000"/>
              </w:rPr>
              <w:t xml:space="preserve">4.830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4951ED3" w14:textId="2FA2BFA6">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7CC514E" w14:textId="59CF7BC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457F035" w14:textId="110736B4">
            <w:pPr>
              <w:jc w:val="center"/>
            </w:pPr>
            <w:r w:rsidRPr="000F68B8">
              <w:rPr>
                <w:color w:val="000000"/>
              </w:rPr>
              <w:t>1/1/2032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CA6F70C" w14:textId="6C5B1FA7">
            <w:pPr>
              <w:tabs>
                <w:tab w:val="decimal" w:pos="975"/>
              </w:tabs>
              <w:jc w:val="left"/>
            </w:pPr>
            <w:r w:rsidRPr="000F68B8">
              <w:rPr>
                <w:color w:val="000000"/>
              </w:rPr>
              <w:t xml:space="preserve">1,445,000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C606060" w14:textId="17762001">
            <w:pPr>
              <w:tabs>
                <w:tab w:val="decimal" w:pos="1185"/>
              </w:tabs>
              <w:jc w:val="left"/>
            </w:pPr>
            <w:r w:rsidRPr="000F68B8">
              <w:rPr>
                <w:color w:val="000000"/>
              </w:rPr>
              <w:t xml:space="preserve">657,400,000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85E149F" w14:textId="2EF802F5">
            <w:pPr>
              <w:tabs>
                <w:tab w:val="decimal" w:pos="330"/>
              </w:tabs>
              <w:jc w:val="left"/>
            </w:pPr>
            <w:r w:rsidRPr="000F68B8">
              <w:rPr>
                <w:color w:val="000000"/>
              </w:rPr>
              <w:t>41.935%</w:t>
            </w:r>
          </w:p>
        </w:tc>
      </w:tr>
      <w:tr w:rsidRPr="002F168A" w:rsidR="000F68B8" w:rsidTr="00921901" w14:paraId="226EE64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CC0875E" w14:textId="2C38E247">
            <w:pPr>
              <w:tabs>
                <w:tab w:val="decimal" w:pos="255"/>
              </w:tabs>
              <w:jc w:val="right"/>
            </w:pPr>
            <w:r w:rsidRPr="000F68B8">
              <w:rPr>
                <w:color w:val="000000"/>
              </w:rPr>
              <w:t xml:space="preserve">4.819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115ED46" w14:textId="1F1CD267">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13C853F" w14:textId="6C924AB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9D0B49A" w14:textId="5A337AF6">
            <w:pPr>
              <w:jc w:val="center"/>
            </w:pPr>
            <w:r w:rsidRPr="000F68B8">
              <w:rPr>
                <w:color w:val="000000"/>
              </w:rPr>
              <w:t>7/1/2028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6AD5562" w14:textId="5BD6D776">
            <w:pPr>
              <w:tabs>
                <w:tab w:val="decimal" w:pos="975"/>
              </w:tabs>
              <w:jc w:val="left"/>
            </w:pPr>
            <w:r w:rsidRPr="000F68B8">
              <w:rPr>
                <w:color w:val="000000"/>
              </w:rPr>
              <w:t xml:space="preserve">840,000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2B1577D" w14:textId="20C1D271">
            <w:pPr>
              <w:tabs>
                <w:tab w:val="decimal" w:pos="1185"/>
              </w:tabs>
              <w:jc w:val="left"/>
            </w:pPr>
            <w:r w:rsidRPr="000F68B8">
              <w:rPr>
                <w:color w:val="000000"/>
              </w:rPr>
              <w:t xml:space="preserve">658,240,000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8760371" w14:textId="4E2FA43F">
            <w:pPr>
              <w:tabs>
                <w:tab w:val="decimal" w:pos="330"/>
              </w:tabs>
              <w:jc w:val="left"/>
            </w:pPr>
            <w:r w:rsidRPr="000F68B8">
              <w:rPr>
                <w:color w:val="000000"/>
              </w:rPr>
              <w:t>41.989%</w:t>
            </w:r>
          </w:p>
        </w:tc>
      </w:tr>
      <w:tr w:rsidRPr="002F168A" w:rsidR="000F68B8" w:rsidTr="00921901" w14:paraId="2BCA3FB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3845483" w14:textId="4360434D">
            <w:pPr>
              <w:tabs>
                <w:tab w:val="decimal" w:pos="255"/>
              </w:tabs>
              <w:jc w:val="right"/>
            </w:pPr>
            <w:r w:rsidRPr="000F68B8">
              <w:rPr>
                <w:color w:val="000000"/>
              </w:rPr>
              <w:t xml:space="preserve">4.815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6AAD398" w14:textId="053AF210">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2845C49" w14:textId="47EA1C2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AD55634" w14:textId="3A433FF7">
            <w:pPr>
              <w:jc w:val="center"/>
            </w:pPr>
            <w:r w:rsidRPr="000F68B8">
              <w:rPr>
                <w:color w:val="000000"/>
              </w:rPr>
              <w:t>1/1/2029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558E221" w14:textId="5D56189B">
            <w:pPr>
              <w:tabs>
                <w:tab w:val="decimal" w:pos="975"/>
              </w:tabs>
              <w:jc w:val="left"/>
            </w:pPr>
            <w:r w:rsidRPr="000F68B8">
              <w:rPr>
                <w:color w:val="000000"/>
              </w:rPr>
              <w:t xml:space="preserve">850,000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DE7F2A3" w14:textId="129EDDAB">
            <w:pPr>
              <w:tabs>
                <w:tab w:val="decimal" w:pos="1185"/>
              </w:tabs>
              <w:jc w:val="left"/>
            </w:pPr>
            <w:r w:rsidRPr="000F68B8">
              <w:rPr>
                <w:color w:val="000000"/>
              </w:rPr>
              <w:t xml:space="preserve">659,090,000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6545193" w14:textId="2CE7552D">
            <w:pPr>
              <w:tabs>
                <w:tab w:val="decimal" w:pos="330"/>
              </w:tabs>
              <w:jc w:val="left"/>
            </w:pPr>
            <w:r w:rsidRPr="000F68B8">
              <w:rPr>
                <w:color w:val="000000"/>
              </w:rPr>
              <w:t>42.043%</w:t>
            </w:r>
          </w:p>
        </w:tc>
      </w:tr>
      <w:tr w:rsidRPr="002F168A" w:rsidR="000F68B8" w:rsidTr="00921901" w14:paraId="697224A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8FACB4A" w14:textId="074F8908">
            <w:pPr>
              <w:tabs>
                <w:tab w:val="decimal" w:pos="255"/>
              </w:tabs>
              <w:jc w:val="right"/>
            </w:pPr>
            <w:r w:rsidRPr="000F68B8">
              <w:rPr>
                <w:color w:val="000000"/>
              </w:rPr>
              <w:t xml:space="preserve">4.800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85582C5" w14:textId="5D444825">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3866B7A" w14:textId="4BE730A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6D5EBBA" w14:textId="472FA04A">
            <w:pPr>
              <w:jc w:val="center"/>
            </w:pPr>
            <w:r w:rsidRPr="000F68B8">
              <w:rPr>
                <w:color w:val="000000"/>
              </w:rPr>
              <w:t>7/1/2035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7C1388F" w14:textId="760F4B2E">
            <w:pPr>
              <w:tabs>
                <w:tab w:val="decimal" w:pos="975"/>
              </w:tabs>
              <w:jc w:val="left"/>
            </w:pPr>
            <w:r w:rsidRPr="000F68B8">
              <w:rPr>
                <w:color w:val="000000"/>
              </w:rPr>
              <w:t xml:space="preserve">670,000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AA36E57" w14:textId="52E844B1">
            <w:pPr>
              <w:tabs>
                <w:tab w:val="decimal" w:pos="1185"/>
              </w:tabs>
              <w:jc w:val="left"/>
            </w:pPr>
            <w:r w:rsidRPr="000F68B8">
              <w:rPr>
                <w:color w:val="000000"/>
              </w:rPr>
              <w:t xml:space="preserve">659,760,000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ACCAF6A" w14:textId="4BF1E87A">
            <w:pPr>
              <w:tabs>
                <w:tab w:val="decimal" w:pos="330"/>
              </w:tabs>
              <w:jc w:val="left"/>
            </w:pPr>
            <w:r w:rsidRPr="000F68B8">
              <w:rPr>
                <w:color w:val="000000"/>
              </w:rPr>
              <w:t>42.086%</w:t>
            </w:r>
          </w:p>
        </w:tc>
      </w:tr>
      <w:tr w:rsidRPr="002F168A" w:rsidR="000F68B8" w:rsidTr="00921901" w14:paraId="6089199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AF464B8" w14:textId="1148A4F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CC8C913" w14:textId="0AAAD0C0">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DD6BCC2" w14:textId="16D9289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2145D2E" w14:textId="6F892929">
            <w:pPr>
              <w:jc w:val="center"/>
            </w:pPr>
            <w:r w:rsidRPr="000F68B8">
              <w:rPr>
                <w:color w:val="000000"/>
              </w:rPr>
              <w:t>7/1/2038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2478D8B" w14:textId="1E3D25BF">
            <w:pPr>
              <w:tabs>
                <w:tab w:val="decimal" w:pos="975"/>
              </w:tabs>
              <w:jc w:val="left"/>
            </w:pPr>
            <w:r w:rsidRPr="000F68B8">
              <w:rPr>
                <w:color w:val="000000"/>
              </w:rPr>
              <w:t xml:space="preserve">4,580,000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E0DF38C" w14:textId="195F1F12">
            <w:pPr>
              <w:tabs>
                <w:tab w:val="decimal" w:pos="1185"/>
              </w:tabs>
              <w:jc w:val="left"/>
            </w:pPr>
            <w:r w:rsidRPr="000F68B8">
              <w:rPr>
                <w:color w:val="000000"/>
              </w:rPr>
              <w:t xml:space="preserve">664,340,000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8452AD6" w14:textId="6696EDB3">
            <w:pPr>
              <w:tabs>
                <w:tab w:val="decimal" w:pos="330"/>
              </w:tabs>
              <w:jc w:val="left"/>
            </w:pPr>
            <w:r w:rsidRPr="000F68B8">
              <w:rPr>
                <w:color w:val="000000"/>
              </w:rPr>
              <w:t>42.378%</w:t>
            </w:r>
          </w:p>
        </w:tc>
      </w:tr>
      <w:tr w:rsidRPr="002F168A" w:rsidR="000F68B8" w:rsidTr="00921901" w14:paraId="1C20778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6A70156" w14:textId="4AE0E439">
            <w:pPr>
              <w:tabs>
                <w:tab w:val="decimal" w:pos="255"/>
              </w:tabs>
              <w:jc w:val="right"/>
            </w:pPr>
            <w:r w:rsidRPr="000F68B8">
              <w:rPr>
                <w:color w:val="000000"/>
              </w:rPr>
              <w:t xml:space="preserve">4.789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FEAE70E" w14:textId="4CE3A694">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1AEE160" w14:textId="6973DA6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D08D8D2" w14:textId="31490325">
            <w:pPr>
              <w:jc w:val="center"/>
            </w:pPr>
            <w:r w:rsidRPr="000F68B8">
              <w:rPr>
                <w:color w:val="000000"/>
              </w:rPr>
              <w:t>7/1/2026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772CBEE" w14:textId="01DCD34A">
            <w:pPr>
              <w:tabs>
                <w:tab w:val="decimal" w:pos="975"/>
              </w:tabs>
              <w:jc w:val="left"/>
            </w:pPr>
            <w:r w:rsidRPr="000F68B8">
              <w:rPr>
                <w:color w:val="000000"/>
              </w:rPr>
              <w:t xml:space="preserve">710,000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A063990" w14:textId="661765C4">
            <w:pPr>
              <w:tabs>
                <w:tab w:val="decimal" w:pos="1185"/>
              </w:tabs>
              <w:jc w:val="left"/>
            </w:pPr>
            <w:r w:rsidRPr="000F68B8">
              <w:rPr>
                <w:color w:val="000000"/>
              </w:rPr>
              <w:t xml:space="preserve">665,050,000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BDB0374" w14:textId="2E24A76F">
            <w:pPr>
              <w:tabs>
                <w:tab w:val="decimal" w:pos="330"/>
              </w:tabs>
              <w:jc w:val="left"/>
            </w:pPr>
            <w:r w:rsidRPr="000F68B8">
              <w:rPr>
                <w:color w:val="000000"/>
              </w:rPr>
              <w:t>42.423%</w:t>
            </w:r>
          </w:p>
        </w:tc>
      </w:tr>
      <w:tr w:rsidRPr="002F168A" w:rsidR="000F68B8" w:rsidTr="00921901" w14:paraId="5ECB768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496F9D2" w14:textId="0CD44DFA">
            <w:pPr>
              <w:tabs>
                <w:tab w:val="decimal" w:pos="255"/>
              </w:tabs>
              <w:jc w:val="right"/>
            </w:pPr>
            <w:r w:rsidRPr="000F68B8">
              <w:rPr>
                <w:color w:val="000000"/>
              </w:rPr>
              <w:t xml:space="preserve">4.787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EFABD76" w14:textId="74528B8E">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4433F59" w14:textId="305AF50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2E1E6E4" w14:textId="7EFBCE1B">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F637D16" w14:textId="0A8D6E59">
            <w:pPr>
              <w:tabs>
                <w:tab w:val="decimal" w:pos="975"/>
              </w:tabs>
              <w:jc w:val="left"/>
            </w:pPr>
            <w:r w:rsidRPr="000F68B8">
              <w:rPr>
                <w:color w:val="000000"/>
              </w:rPr>
              <w:t xml:space="preserve">725,000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6C2A10A" w14:textId="163B59BF">
            <w:pPr>
              <w:tabs>
                <w:tab w:val="decimal" w:pos="1185"/>
              </w:tabs>
              <w:jc w:val="left"/>
            </w:pPr>
            <w:r w:rsidRPr="000F68B8">
              <w:rPr>
                <w:color w:val="000000"/>
              </w:rPr>
              <w:t xml:space="preserve">665,775,000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3A8D39F" w14:textId="37D04D1A">
            <w:pPr>
              <w:tabs>
                <w:tab w:val="decimal" w:pos="330"/>
              </w:tabs>
              <w:jc w:val="left"/>
            </w:pPr>
            <w:r w:rsidRPr="000F68B8">
              <w:rPr>
                <w:color w:val="000000"/>
              </w:rPr>
              <w:t>42.470%</w:t>
            </w:r>
          </w:p>
        </w:tc>
      </w:tr>
      <w:tr w:rsidRPr="002F168A" w:rsidR="000F68B8" w:rsidTr="00921901" w14:paraId="47398BB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E8F8F08" w14:textId="301CD789">
            <w:pPr>
              <w:tabs>
                <w:tab w:val="decimal" w:pos="255"/>
              </w:tabs>
              <w:jc w:val="right"/>
            </w:pPr>
            <w:r w:rsidRPr="000F68B8">
              <w:rPr>
                <w:color w:val="000000"/>
              </w:rPr>
              <w:t xml:space="preserve">4.780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46F0C43" w14:textId="067A71DD">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3361E76" w14:textId="6378A73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E3B7094" w14:textId="43952D10">
            <w:pPr>
              <w:jc w:val="center"/>
            </w:pPr>
            <w:r w:rsidRPr="000F68B8">
              <w:rPr>
                <w:color w:val="000000"/>
              </w:rPr>
              <w:t>7/1/2031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95AC432" w14:textId="46FE22B7">
            <w:pPr>
              <w:tabs>
                <w:tab w:val="decimal" w:pos="975"/>
              </w:tabs>
              <w:jc w:val="left"/>
            </w:pPr>
            <w:r w:rsidRPr="000F68B8">
              <w:rPr>
                <w:color w:val="000000"/>
              </w:rPr>
              <w:t xml:space="preserve">1,400,000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A257142" w14:textId="30451E7E">
            <w:pPr>
              <w:tabs>
                <w:tab w:val="decimal" w:pos="1185"/>
              </w:tabs>
              <w:jc w:val="left"/>
            </w:pPr>
            <w:r w:rsidRPr="000F68B8">
              <w:rPr>
                <w:color w:val="000000"/>
              </w:rPr>
              <w:t xml:space="preserve">667,175,000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976A235" w14:textId="7C90474E">
            <w:pPr>
              <w:tabs>
                <w:tab w:val="decimal" w:pos="330"/>
              </w:tabs>
              <w:jc w:val="left"/>
            </w:pPr>
            <w:r w:rsidRPr="000F68B8">
              <w:rPr>
                <w:color w:val="000000"/>
              </w:rPr>
              <w:t>42.559%</w:t>
            </w:r>
          </w:p>
        </w:tc>
      </w:tr>
      <w:tr w:rsidRPr="002F168A" w:rsidR="000F68B8" w:rsidTr="00921901" w14:paraId="6D8C626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5B0E73C" w14:textId="61360A71">
            <w:pPr>
              <w:tabs>
                <w:tab w:val="decimal" w:pos="255"/>
              </w:tabs>
              <w:jc w:val="right"/>
            </w:pPr>
            <w:r w:rsidRPr="000F68B8">
              <w:rPr>
                <w:color w:val="000000"/>
              </w:rPr>
              <w:t xml:space="preserve">4.779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EA3ABC8" w14:textId="1039E97A">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8020055" w14:textId="071B740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FD38D47" w14:textId="784EF13E">
            <w:pPr>
              <w:jc w:val="center"/>
            </w:pPr>
            <w:r w:rsidRPr="000F68B8">
              <w:rPr>
                <w:color w:val="000000"/>
              </w:rPr>
              <w:t>1/1/2026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1DFB2D0" w14:textId="7A6A9A9E">
            <w:pPr>
              <w:tabs>
                <w:tab w:val="decimal" w:pos="975"/>
              </w:tabs>
              <w:jc w:val="left"/>
            </w:pPr>
            <w:r w:rsidRPr="000F68B8">
              <w:rPr>
                <w:color w:val="000000"/>
              </w:rPr>
              <w:t xml:space="preserve">690,000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DDB9D1E" w14:textId="20F1240A">
            <w:pPr>
              <w:tabs>
                <w:tab w:val="decimal" w:pos="1185"/>
              </w:tabs>
              <w:jc w:val="left"/>
            </w:pPr>
            <w:r w:rsidRPr="000F68B8">
              <w:rPr>
                <w:color w:val="000000"/>
              </w:rPr>
              <w:t xml:space="preserve">667,865,000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D2773A4" w14:textId="69AC9AB4">
            <w:pPr>
              <w:tabs>
                <w:tab w:val="decimal" w:pos="330"/>
              </w:tabs>
              <w:jc w:val="left"/>
            </w:pPr>
            <w:r w:rsidRPr="000F68B8">
              <w:rPr>
                <w:color w:val="000000"/>
              </w:rPr>
              <w:t>42.603%</w:t>
            </w:r>
          </w:p>
        </w:tc>
      </w:tr>
      <w:tr w:rsidRPr="002F168A" w:rsidR="000F68B8" w:rsidTr="00921901" w14:paraId="029898A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DA8AF36" w14:textId="130FB582">
            <w:pPr>
              <w:tabs>
                <w:tab w:val="decimal" w:pos="255"/>
              </w:tabs>
              <w:jc w:val="right"/>
            </w:pPr>
            <w:r w:rsidRPr="000F68B8">
              <w:rPr>
                <w:color w:val="000000"/>
              </w:rPr>
              <w:t xml:space="preserve">4.775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B568CB4" w14:textId="62907646">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2607FF4" w14:textId="09D0F56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B196DB6" w14:textId="4CA77D98">
            <w:pPr>
              <w:jc w:val="center"/>
            </w:pPr>
            <w:r w:rsidRPr="000F68B8">
              <w:rPr>
                <w:color w:val="000000"/>
              </w:rPr>
              <w:t>7/1/2028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992B031" w14:textId="4D725ACC">
            <w:pPr>
              <w:tabs>
                <w:tab w:val="decimal" w:pos="975"/>
              </w:tabs>
              <w:jc w:val="left"/>
            </w:pPr>
            <w:r w:rsidRPr="000F68B8">
              <w:rPr>
                <w:color w:val="000000"/>
              </w:rPr>
              <w:t xml:space="preserve">820,000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B7E0FCE" w14:textId="4F050E93">
            <w:pPr>
              <w:tabs>
                <w:tab w:val="decimal" w:pos="1185"/>
              </w:tabs>
              <w:jc w:val="left"/>
            </w:pPr>
            <w:r w:rsidRPr="000F68B8">
              <w:rPr>
                <w:color w:val="000000"/>
              </w:rPr>
              <w:t xml:space="preserve">668,685,000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E314108" w14:textId="3074BED2">
            <w:pPr>
              <w:tabs>
                <w:tab w:val="decimal" w:pos="330"/>
              </w:tabs>
              <w:jc w:val="left"/>
            </w:pPr>
            <w:r w:rsidRPr="000F68B8">
              <w:rPr>
                <w:color w:val="000000"/>
              </w:rPr>
              <w:t>42.655%</w:t>
            </w:r>
          </w:p>
        </w:tc>
      </w:tr>
      <w:tr w:rsidRPr="002F168A" w:rsidR="000F68B8" w:rsidTr="00921901" w14:paraId="23933FE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325738C" w14:textId="5746A233">
            <w:pPr>
              <w:tabs>
                <w:tab w:val="decimal" w:pos="255"/>
              </w:tabs>
              <w:jc w:val="right"/>
            </w:pPr>
            <w:r w:rsidRPr="000F68B8">
              <w:rPr>
                <w:color w:val="000000"/>
              </w:rPr>
              <w:t xml:space="preserve">4.769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ECE87C5" w14:textId="0008F298">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43B6D1B" w14:textId="602C618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6D564CC" w14:textId="589CEB0C">
            <w:pPr>
              <w:jc w:val="center"/>
            </w:pPr>
            <w:r w:rsidRPr="000F68B8">
              <w:rPr>
                <w:color w:val="000000"/>
              </w:rPr>
              <w:t>1/1/2028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388C499" w14:textId="5EC8DC6C">
            <w:pPr>
              <w:tabs>
                <w:tab w:val="decimal" w:pos="975"/>
              </w:tabs>
              <w:jc w:val="left"/>
            </w:pPr>
            <w:r w:rsidRPr="000F68B8">
              <w:rPr>
                <w:color w:val="000000"/>
              </w:rPr>
              <w:t xml:space="preserve">805,000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0EAD6EF" w14:textId="226559C9">
            <w:pPr>
              <w:tabs>
                <w:tab w:val="decimal" w:pos="1185"/>
              </w:tabs>
              <w:jc w:val="left"/>
            </w:pPr>
            <w:r w:rsidRPr="000F68B8">
              <w:rPr>
                <w:color w:val="000000"/>
              </w:rPr>
              <w:t xml:space="preserve">669,490,000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C444EE3" w14:textId="0861488A">
            <w:pPr>
              <w:tabs>
                <w:tab w:val="decimal" w:pos="330"/>
              </w:tabs>
              <w:jc w:val="left"/>
            </w:pPr>
            <w:r w:rsidRPr="000F68B8">
              <w:rPr>
                <w:color w:val="000000"/>
              </w:rPr>
              <w:t>42.707%</w:t>
            </w:r>
          </w:p>
        </w:tc>
      </w:tr>
      <w:tr w:rsidRPr="002F168A" w:rsidR="000F68B8" w:rsidTr="00921901" w14:paraId="631D9C2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307F1F6" w14:textId="08C283A2">
            <w:pPr>
              <w:tabs>
                <w:tab w:val="decimal" w:pos="255"/>
              </w:tabs>
              <w:jc w:val="right"/>
            </w:pPr>
            <w:r w:rsidRPr="000F68B8">
              <w:rPr>
                <w:color w:val="000000"/>
              </w:rPr>
              <w:t xml:space="preserve">4.767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2DA512B" w14:textId="6975423E">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C68C08D" w14:textId="6AC146B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9AFCA92" w14:textId="5CF23061">
            <w:pPr>
              <w:jc w:val="center"/>
            </w:pPr>
            <w:r w:rsidRPr="000F68B8">
              <w:rPr>
                <w:color w:val="000000"/>
              </w:rPr>
              <w:t>1/1/2030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7FB2BB7" w14:textId="13C27B0A">
            <w:pPr>
              <w:tabs>
                <w:tab w:val="decimal" w:pos="975"/>
              </w:tabs>
              <w:jc w:val="left"/>
            </w:pPr>
            <w:r w:rsidRPr="000F68B8">
              <w:rPr>
                <w:color w:val="000000"/>
              </w:rPr>
              <w:t xml:space="preserve">695,000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9C8DBCE" w14:textId="69F96A92">
            <w:pPr>
              <w:tabs>
                <w:tab w:val="decimal" w:pos="1185"/>
              </w:tabs>
              <w:jc w:val="left"/>
            </w:pPr>
            <w:r w:rsidRPr="000F68B8">
              <w:rPr>
                <w:color w:val="000000"/>
              </w:rPr>
              <w:t xml:space="preserve">670,185,000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9A53CE3" w14:textId="0AB805E3">
            <w:pPr>
              <w:tabs>
                <w:tab w:val="decimal" w:pos="330"/>
              </w:tabs>
              <w:jc w:val="left"/>
            </w:pPr>
            <w:r w:rsidRPr="000F68B8">
              <w:rPr>
                <w:color w:val="000000"/>
              </w:rPr>
              <w:t>42.751%</w:t>
            </w:r>
          </w:p>
        </w:tc>
      </w:tr>
      <w:tr w:rsidRPr="002F168A" w:rsidR="000F68B8" w:rsidTr="00921901" w14:paraId="68CF4E1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1FBFC74" w14:textId="2A9BB1A4">
            <w:pPr>
              <w:tabs>
                <w:tab w:val="decimal" w:pos="255"/>
              </w:tabs>
              <w:jc w:val="right"/>
            </w:pPr>
            <w:r w:rsidRPr="000F68B8">
              <w:rPr>
                <w:color w:val="000000"/>
              </w:rPr>
              <w:t xml:space="preserve">4.750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B10ACC8" w14:textId="5B7EC278">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9C148CF" w14:textId="54D991D7">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712D0A4" w14:textId="1FD5EF34">
            <w:pPr>
              <w:jc w:val="center"/>
            </w:pPr>
            <w:r w:rsidRPr="000F68B8">
              <w:rPr>
                <w:color w:val="000000"/>
              </w:rPr>
              <w:t>7/1/2052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7DAFA33" w14:textId="1224345D">
            <w:pPr>
              <w:tabs>
                <w:tab w:val="decimal" w:pos="975"/>
              </w:tabs>
              <w:jc w:val="left"/>
            </w:pPr>
            <w:r w:rsidRPr="000F68B8">
              <w:rPr>
                <w:color w:val="000000"/>
              </w:rPr>
              <w:t xml:space="preserve">37,830,000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6BD291A" w14:textId="2C84C9FD">
            <w:pPr>
              <w:tabs>
                <w:tab w:val="decimal" w:pos="1185"/>
              </w:tabs>
              <w:jc w:val="left"/>
            </w:pPr>
            <w:r w:rsidRPr="000F68B8">
              <w:rPr>
                <w:color w:val="000000"/>
              </w:rPr>
              <w:t xml:space="preserve">708,015,000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1DEBB96" w14:textId="6E4C1705">
            <w:pPr>
              <w:tabs>
                <w:tab w:val="decimal" w:pos="330"/>
              </w:tabs>
              <w:jc w:val="left"/>
            </w:pPr>
            <w:r w:rsidRPr="000F68B8">
              <w:rPr>
                <w:color w:val="000000"/>
              </w:rPr>
              <w:t>45.164%</w:t>
            </w:r>
          </w:p>
        </w:tc>
      </w:tr>
      <w:tr w:rsidRPr="002F168A" w:rsidR="000F68B8" w:rsidTr="00921901" w14:paraId="69685AA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3F4D2ED" w14:textId="31FAABE2">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24CBBDF" w14:textId="34361569">
            <w:pPr>
              <w:jc w:val="left"/>
            </w:pPr>
            <w:r w:rsidRPr="000F68B8">
              <w:rPr>
                <w:color w:val="000000"/>
              </w:rPr>
              <w:t>2022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4D01189" w14:textId="19B992C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D3D7F19" w14:textId="3E89AADD">
            <w:pPr>
              <w:jc w:val="center"/>
            </w:pPr>
            <w:r w:rsidRPr="000F68B8">
              <w:rPr>
                <w:color w:val="000000"/>
              </w:rPr>
              <w:t>7/1/2047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B41C31E" w14:textId="7617033E">
            <w:pPr>
              <w:tabs>
                <w:tab w:val="decimal" w:pos="975"/>
              </w:tabs>
              <w:jc w:val="left"/>
            </w:pPr>
            <w:r w:rsidRPr="000F68B8">
              <w:rPr>
                <w:color w:val="000000"/>
              </w:rPr>
              <w:t xml:space="preserve">37,015,000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4E711FE" w14:textId="32103F21">
            <w:pPr>
              <w:tabs>
                <w:tab w:val="decimal" w:pos="1185"/>
              </w:tabs>
              <w:jc w:val="left"/>
            </w:pPr>
            <w:r w:rsidRPr="000F68B8">
              <w:rPr>
                <w:color w:val="000000"/>
              </w:rPr>
              <w:t xml:space="preserve">745,030,000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FAA0AAC" w14:textId="64E732F2">
            <w:pPr>
              <w:tabs>
                <w:tab w:val="decimal" w:pos="330"/>
              </w:tabs>
              <w:jc w:val="left"/>
            </w:pPr>
            <w:r w:rsidRPr="000F68B8">
              <w:rPr>
                <w:color w:val="000000"/>
              </w:rPr>
              <w:t>47.525%</w:t>
            </w:r>
          </w:p>
        </w:tc>
      </w:tr>
      <w:tr w:rsidRPr="002F168A" w:rsidR="000F68B8" w:rsidTr="00921901" w14:paraId="3A5D3EE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36B71CB" w14:textId="78A0C5A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BF95582" w14:textId="46181C58">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7523120" w14:textId="05C5541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7334462" w14:textId="5E8F41EB">
            <w:pPr>
              <w:jc w:val="center"/>
            </w:pPr>
            <w:r w:rsidRPr="000F68B8">
              <w:rPr>
                <w:color w:val="000000"/>
              </w:rPr>
              <w:t>1/1/2035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4D34071" w14:textId="63D303A2">
            <w:pPr>
              <w:tabs>
                <w:tab w:val="decimal" w:pos="975"/>
              </w:tabs>
              <w:jc w:val="left"/>
            </w:pPr>
            <w:r w:rsidRPr="000F68B8">
              <w:rPr>
                <w:color w:val="000000"/>
              </w:rPr>
              <w:t xml:space="preserve">645,000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75BE48E" w14:textId="63FA33EF">
            <w:pPr>
              <w:tabs>
                <w:tab w:val="decimal" w:pos="1185"/>
              </w:tabs>
              <w:jc w:val="left"/>
            </w:pPr>
            <w:r w:rsidRPr="000F68B8">
              <w:rPr>
                <w:color w:val="000000"/>
              </w:rPr>
              <w:t xml:space="preserve">745,675,000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B5BC338" w14:textId="7E8E7F78">
            <w:pPr>
              <w:tabs>
                <w:tab w:val="decimal" w:pos="330"/>
              </w:tabs>
              <w:jc w:val="left"/>
            </w:pPr>
            <w:r w:rsidRPr="000F68B8">
              <w:rPr>
                <w:color w:val="000000"/>
              </w:rPr>
              <w:t>47.566%</w:t>
            </w:r>
          </w:p>
        </w:tc>
      </w:tr>
      <w:tr w:rsidRPr="002F168A" w:rsidR="000F68B8" w:rsidTr="00921901" w14:paraId="3CEBBC6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64395B7" w14:textId="4ACAAB19">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9D346E1" w14:textId="0B6B8E0C">
            <w:pPr>
              <w:jc w:val="left"/>
            </w:pPr>
            <w:r w:rsidRPr="000F68B8">
              <w:rPr>
                <w:color w:val="000000"/>
              </w:rPr>
              <w:t>2024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952DE76" w14:textId="62F838A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B2D1B99" w14:textId="2128C107">
            <w:pPr>
              <w:jc w:val="center"/>
            </w:pPr>
            <w:r w:rsidRPr="000F68B8">
              <w:rPr>
                <w:color w:val="000000"/>
              </w:rPr>
              <w:t>7/1/2054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C88A868" w14:textId="7A59CAB8">
            <w:pPr>
              <w:tabs>
                <w:tab w:val="decimal" w:pos="975"/>
              </w:tabs>
              <w:jc w:val="left"/>
            </w:pPr>
            <w:r w:rsidRPr="000F68B8">
              <w:rPr>
                <w:color w:val="000000"/>
              </w:rPr>
              <w:t xml:space="preserve">49,735,000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1B15FDE" w14:textId="0CF5397E">
            <w:pPr>
              <w:tabs>
                <w:tab w:val="decimal" w:pos="1185"/>
              </w:tabs>
              <w:jc w:val="left"/>
            </w:pPr>
            <w:r w:rsidRPr="000F68B8">
              <w:rPr>
                <w:color w:val="000000"/>
              </w:rPr>
              <w:t xml:space="preserve">795,410,000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CB7A96E" w14:textId="62C8F90B">
            <w:pPr>
              <w:tabs>
                <w:tab w:val="decimal" w:pos="330"/>
              </w:tabs>
              <w:jc w:val="left"/>
            </w:pPr>
            <w:r w:rsidRPr="000F68B8">
              <w:rPr>
                <w:color w:val="000000"/>
              </w:rPr>
              <w:t>50.739%</w:t>
            </w:r>
          </w:p>
        </w:tc>
      </w:tr>
      <w:tr w:rsidRPr="002F168A" w:rsidR="000F68B8" w:rsidTr="00921901" w14:paraId="67CC111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AA6796E" w14:textId="5C12B06D">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F8D4089" w14:textId="6690D00D">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8F19DDE" w14:textId="008833C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841F5D0" w14:textId="1CEE221B">
            <w:pPr>
              <w:jc w:val="center"/>
            </w:pPr>
            <w:r w:rsidRPr="000F68B8">
              <w:rPr>
                <w:color w:val="000000"/>
              </w:rPr>
              <w:t>7/1/2049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57FEDD3" w14:textId="64C7E55C">
            <w:pPr>
              <w:tabs>
                <w:tab w:val="decimal" w:pos="975"/>
              </w:tabs>
              <w:jc w:val="left"/>
            </w:pPr>
            <w:r w:rsidRPr="000F68B8">
              <w:rPr>
                <w:color w:val="000000"/>
              </w:rPr>
              <w:t xml:space="preserve">19,885,000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7D39983" w14:textId="7A192791">
            <w:pPr>
              <w:tabs>
                <w:tab w:val="decimal" w:pos="1185"/>
              </w:tabs>
              <w:jc w:val="left"/>
            </w:pPr>
            <w:r w:rsidRPr="000F68B8">
              <w:rPr>
                <w:color w:val="000000"/>
              </w:rPr>
              <w:t xml:space="preserve">815,295,000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BB4F29B" w14:textId="4E1959D6">
            <w:pPr>
              <w:tabs>
                <w:tab w:val="decimal" w:pos="330"/>
              </w:tabs>
              <w:jc w:val="left"/>
            </w:pPr>
            <w:r w:rsidRPr="000F68B8">
              <w:rPr>
                <w:color w:val="000000"/>
              </w:rPr>
              <w:t>52.007%</w:t>
            </w:r>
          </w:p>
        </w:tc>
      </w:tr>
      <w:tr w:rsidRPr="002F168A" w:rsidR="000F68B8" w:rsidTr="00921901" w14:paraId="5CCAC52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AB908C2" w14:textId="33E2D41B">
            <w:pPr>
              <w:tabs>
                <w:tab w:val="decimal" w:pos="255"/>
              </w:tabs>
              <w:jc w:val="right"/>
            </w:pPr>
            <w:r w:rsidRPr="000F68B8">
              <w:rPr>
                <w:color w:val="000000"/>
              </w:rPr>
              <w:t xml:space="preserve">4.730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791CD0C" w14:textId="46D3A688">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F7425A5" w14:textId="4988319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5D4EE13" w14:textId="517A0D1A">
            <w:pPr>
              <w:jc w:val="center"/>
            </w:pPr>
            <w:r w:rsidRPr="000F68B8">
              <w:rPr>
                <w:color w:val="000000"/>
              </w:rPr>
              <w:t>1/1/2031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4BE4584" w14:textId="2523EF62">
            <w:pPr>
              <w:tabs>
                <w:tab w:val="decimal" w:pos="975"/>
              </w:tabs>
              <w:jc w:val="left"/>
            </w:pPr>
            <w:r w:rsidRPr="000F68B8">
              <w:rPr>
                <w:color w:val="000000"/>
              </w:rPr>
              <w:t xml:space="preserve">1,375,000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27DA10A" w14:textId="0A15E422">
            <w:pPr>
              <w:tabs>
                <w:tab w:val="decimal" w:pos="1185"/>
              </w:tabs>
              <w:jc w:val="left"/>
            </w:pPr>
            <w:r w:rsidRPr="000F68B8">
              <w:rPr>
                <w:color w:val="000000"/>
              </w:rPr>
              <w:t xml:space="preserve">816,670,000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897A612" w14:textId="13461913">
            <w:pPr>
              <w:tabs>
                <w:tab w:val="decimal" w:pos="330"/>
              </w:tabs>
              <w:jc w:val="left"/>
            </w:pPr>
            <w:r w:rsidRPr="000F68B8">
              <w:rPr>
                <w:color w:val="000000"/>
              </w:rPr>
              <w:t>52.095%</w:t>
            </w:r>
          </w:p>
        </w:tc>
      </w:tr>
      <w:tr w:rsidRPr="002F168A" w:rsidR="000F68B8" w:rsidTr="00921901" w14:paraId="31B34A09"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9FB2883" w14:textId="50484978">
            <w:pPr>
              <w:tabs>
                <w:tab w:val="decimal" w:pos="255"/>
              </w:tabs>
              <w:jc w:val="right"/>
            </w:pPr>
            <w:r w:rsidRPr="000F68B8">
              <w:rPr>
                <w:color w:val="000000"/>
              </w:rPr>
              <w:t xml:space="preserve">4.725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34E0945" w14:textId="1C0ACE8B">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3C69A8C" w14:textId="7BA36FE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523B7B7" w14:textId="377531D8">
            <w:pPr>
              <w:jc w:val="center"/>
            </w:pPr>
            <w:r w:rsidRPr="000F68B8">
              <w:rPr>
                <w:color w:val="000000"/>
              </w:rPr>
              <w:t>1/1/2028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64BAC91" w14:textId="47C77CFA">
            <w:pPr>
              <w:tabs>
                <w:tab w:val="decimal" w:pos="975"/>
              </w:tabs>
              <w:jc w:val="left"/>
            </w:pPr>
            <w:r w:rsidRPr="000F68B8">
              <w:rPr>
                <w:color w:val="000000"/>
              </w:rPr>
              <w:t xml:space="preserve">790,000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027FC4A" w14:textId="1B4887C2">
            <w:pPr>
              <w:tabs>
                <w:tab w:val="decimal" w:pos="1185"/>
              </w:tabs>
              <w:jc w:val="left"/>
            </w:pPr>
            <w:r w:rsidRPr="000F68B8">
              <w:rPr>
                <w:color w:val="000000"/>
              </w:rPr>
              <w:t xml:space="preserve">817,460,000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9064C8A" w14:textId="47FF384C">
            <w:pPr>
              <w:tabs>
                <w:tab w:val="decimal" w:pos="330"/>
              </w:tabs>
              <w:jc w:val="left"/>
            </w:pPr>
            <w:r w:rsidRPr="000F68B8">
              <w:rPr>
                <w:color w:val="000000"/>
              </w:rPr>
              <w:t>52.146%</w:t>
            </w:r>
          </w:p>
        </w:tc>
      </w:tr>
      <w:tr w:rsidRPr="002F168A" w:rsidR="000F68B8" w:rsidTr="00921901" w14:paraId="56F77D5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62C176E" w14:textId="6897AED8">
            <w:pPr>
              <w:tabs>
                <w:tab w:val="decimal" w:pos="255"/>
              </w:tabs>
              <w:jc w:val="right"/>
            </w:pPr>
            <w:r w:rsidRPr="000F68B8">
              <w:rPr>
                <w:color w:val="000000"/>
              </w:rPr>
              <w:t xml:space="preserve">4.724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48BC0D6" w14:textId="258536E2">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0719E79" w14:textId="0892CDC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1D93B6F" w14:textId="4CFE5C4A">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5C9E2FF" w14:textId="5EAEA180">
            <w:pPr>
              <w:tabs>
                <w:tab w:val="decimal" w:pos="975"/>
              </w:tabs>
              <w:jc w:val="left"/>
            </w:pPr>
            <w:r w:rsidRPr="000F68B8">
              <w:rPr>
                <w:color w:val="000000"/>
              </w:rPr>
              <w:t xml:space="preserve">765,000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D162A06" w14:textId="1A08AABA">
            <w:pPr>
              <w:tabs>
                <w:tab w:val="decimal" w:pos="1185"/>
              </w:tabs>
              <w:jc w:val="left"/>
            </w:pPr>
            <w:r w:rsidRPr="000F68B8">
              <w:rPr>
                <w:color w:val="000000"/>
              </w:rPr>
              <w:t xml:space="preserve">818,225,000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6571CC6" w14:textId="497E50E4">
            <w:pPr>
              <w:tabs>
                <w:tab w:val="decimal" w:pos="330"/>
              </w:tabs>
              <w:jc w:val="left"/>
            </w:pPr>
            <w:r w:rsidRPr="000F68B8">
              <w:rPr>
                <w:color w:val="000000"/>
              </w:rPr>
              <w:t>52.194%</w:t>
            </w:r>
          </w:p>
        </w:tc>
      </w:tr>
      <w:tr w:rsidRPr="002F168A" w:rsidR="000F68B8" w:rsidTr="00921901" w14:paraId="774F891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F8F7EC4" w14:textId="21C1DA74">
            <w:pPr>
              <w:tabs>
                <w:tab w:val="decimal" w:pos="255"/>
              </w:tabs>
              <w:jc w:val="right"/>
            </w:pPr>
            <w:r w:rsidRPr="000F68B8">
              <w:rPr>
                <w:color w:val="000000"/>
              </w:rPr>
              <w:t xml:space="preserve">4.717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EFF0615" w14:textId="006D2B63">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8994E96" w14:textId="4084D6C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C68AD2E" w14:textId="62117765">
            <w:pPr>
              <w:jc w:val="center"/>
            </w:pPr>
            <w:r w:rsidRPr="000F68B8">
              <w:rPr>
                <w:color w:val="000000"/>
              </w:rPr>
              <w:t>7/1/2029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6C88BA4" w14:textId="2EF8507A">
            <w:pPr>
              <w:tabs>
                <w:tab w:val="decimal" w:pos="975"/>
              </w:tabs>
              <w:jc w:val="left"/>
            </w:pPr>
            <w:r w:rsidRPr="000F68B8">
              <w:rPr>
                <w:color w:val="000000"/>
              </w:rPr>
              <w:t xml:space="preserve">675,000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6A1C276" w14:textId="74870DD4">
            <w:pPr>
              <w:tabs>
                <w:tab w:val="decimal" w:pos="1185"/>
              </w:tabs>
              <w:jc w:val="left"/>
            </w:pPr>
            <w:r w:rsidRPr="000F68B8">
              <w:rPr>
                <w:color w:val="000000"/>
              </w:rPr>
              <w:t xml:space="preserve">818,900,000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6ADDEF8" w14:textId="192CCB86">
            <w:pPr>
              <w:tabs>
                <w:tab w:val="decimal" w:pos="330"/>
              </w:tabs>
              <w:jc w:val="left"/>
            </w:pPr>
            <w:r w:rsidRPr="000F68B8">
              <w:rPr>
                <w:color w:val="000000"/>
              </w:rPr>
              <w:t>52.237%</w:t>
            </w:r>
          </w:p>
        </w:tc>
      </w:tr>
      <w:tr w:rsidRPr="002F168A" w:rsidR="000F68B8" w:rsidTr="00921901" w14:paraId="04AC204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14C0024" w14:textId="31C66507">
            <w:pPr>
              <w:tabs>
                <w:tab w:val="decimal" w:pos="255"/>
              </w:tabs>
              <w:jc w:val="right"/>
            </w:pPr>
            <w:r w:rsidRPr="000F68B8">
              <w:rPr>
                <w:color w:val="000000"/>
              </w:rPr>
              <w:t xml:space="preserve">4.700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BAE406B" w14:textId="0B4F7DBA">
            <w:pPr>
              <w:jc w:val="left"/>
            </w:pPr>
            <w:r w:rsidRPr="000F68B8">
              <w:rPr>
                <w:color w:val="000000"/>
              </w:rPr>
              <w:t>2023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6EA0C76" w14:textId="38412B0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BECB833" w14:textId="4BAC5267">
            <w:pPr>
              <w:jc w:val="center"/>
            </w:pPr>
            <w:r w:rsidRPr="000F68B8">
              <w:rPr>
                <w:color w:val="000000"/>
              </w:rPr>
              <w:t>7/1/2050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363523F" w14:textId="02D79783">
            <w:pPr>
              <w:tabs>
                <w:tab w:val="decimal" w:pos="975"/>
              </w:tabs>
              <w:jc w:val="left"/>
            </w:pPr>
            <w:r w:rsidRPr="000F68B8">
              <w:rPr>
                <w:color w:val="000000"/>
              </w:rPr>
              <w:t xml:space="preserve">10,455,000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4570CEF" w14:textId="50DC5178">
            <w:pPr>
              <w:tabs>
                <w:tab w:val="decimal" w:pos="1185"/>
              </w:tabs>
              <w:jc w:val="left"/>
            </w:pPr>
            <w:r w:rsidRPr="000F68B8">
              <w:rPr>
                <w:color w:val="000000"/>
              </w:rPr>
              <w:t xml:space="preserve">829,355,000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A9802B2" w14:textId="1EE998E1">
            <w:pPr>
              <w:tabs>
                <w:tab w:val="decimal" w:pos="330"/>
              </w:tabs>
              <w:jc w:val="left"/>
            </w:pPr>
            <w:r w:rsidRPr="000F68B8">
              <w:rPr>
                <w:color w:val="000000"/>
              </w:rPr>
              <w:t>52.904%</w:t>
            </w:r>
          </w:p>
        </w:tc>
      </w:tr>
      <w:tr w:rsidRPr="002F168A" w:rsidR="000F68B8" w:rsidTr="00921901" w14:paraId="549B307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A5F5E25" w14:textId="231E8FAB">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7AB922D" w14:textId="5352DE64">
            <w:pPr>
              <w:jc w:val="left"/>
            </w:pPr>
            <w:r w:rsidRPr="000F68B8">
              <w:rPr>
                <w:color w:val="000000"/>
              </w:rPr>
              <w:t>2023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C138EEF" w14:textId="5D94827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55F1E5A" w14:textId="78099CA5">
            <w:pPr>
              <w:jc w:val="center"/>
            </w:pPr>
            <w:r w:rsidRPr="000F68B8">
              <w:rPr>
                <w:color w:val="000000"/>
              </w:rPr>
              <w:t>7/1/2053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D1C06AA" w14:textId="2024268E">
            <w:pPr>
              <w:tabs>
                <w:tab w:val="decimal" w:pos="975"/>
              </w:tabs>
              <w:jc w:val="left"/>
            </w:pPr>
            <w:r w:rsidRPr="000F68B8">
              <w:rPr>
                <w:color w:val="000000"/>
              </w:rPr>
              <w:t xml:space="preserve">19,015,000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738626E" w14:textId="4963CD9D">
            <w:pPr>
              <w:tabs>
                <w:tab w:val="decimal" w:pos="1185"/>
              </w:tabs>
              <w:jc w:val="left"/>
            </w:pPr>
            <w:r w:rsidRPr="000F68B8">
              <w:rPr>
                <w:color w:val="000000"/>
              </w:rPr>
              <w:t xml:space="preserve">848,370,000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924D20E" w14:textId="01C4C309">
            <w:pPr>
              <w:tabs>
                <w:tab w:val="decimal" w:pos="330"/>
              </w:tabs>
              <w:jc w:val="left"/>
            </w:pPr>
            <w:r w:rsidRPr="000F68B8">
              <w:rPr>
                <w:color w:val="000000"/>
              </w:rPr>
              <w:t>54.117%</w:t>
            </w:r>
          </w:p>
        </w:tc>
      </w:tr>
      <w:tr w:rsidRPr="002F168A" w:rsidR="000F68B8" w:rsidTr="00921901" w14:paraId="44CA09F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09FF73C" w14:textId="667A499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3DCB21A" w14:textId="53C1BA15">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4A99291" w14:textId="4C149F4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868C016" w14:textId="4D092BF7">
            <w:pPr>
              <w:jc w:val="center"/>
            </w:pPr>
            <w:r w:rsidRPr="000F68B8">
              <w:rPr>
                <w:color w:val="000000"/>
              </w:rPr>
              <w:t>1/1/2034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59DC5C3" w14:textId="1C40B03C">
            <w:pPr>
              <w:tabs>
                <w:tab w:val="decimal" w:pos="975"/>
              </w:tabs>
              <w:jc w:val="left"/>
            </w:pPr>
            <w:r w:rsidRPr="000F68B8">
              <w:rPr>
                <w:color w:val="000000"/>
              </w:rPr>
              <w:t xml:space="preserve">600,000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0B8A568" w14:textId="6B68E70E">
            <w:pPr>
              <w:tabs>
                <w:tab w:val="decimal" w:pos="1185"/>
              </w:tabs>
              <w:jc w:val="left"/>
            </w:pPr>
            <w:r w:rsidRPr="000F68B8">
              <w:rPr>
                <w:color w:val="000000"/>
              </w:rPr>
              <w:t xml:space="preserve">848,970,000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6AE38E8" w14:textId="2963405A">
            <w:pPr>
              <w:tabs>
                <w:tab w:val="decimal" w:pos="330"/>
              </w:tabs>
              <w:jc w:val="left"/>
            </w:pPr>
            <w:r w:rsidRPr="000F68B8">
              <w:rPr>
                <w:color w:val="000000"/>
              </w:rPr>
              <w:t>54.156%</w:t>
            </w:r>
          </w:p>
        </w:tc>
      </w:tr>
      <w:tr w:rsidRPr="002F168A" w:rsidR="000F68B8" w:rsidTr="00921901" w14:paraId="22AF562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5ED92AA" w14:textId="7C662814">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6204B3D" w14:textId="6157A1B1">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FF347F1" w14:textId="600F4B5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31BA7CB" w14:textId="37EEAAFF">
            <w:pPr>
              <w:jc w:val="center"/>
            </w:pPr>
            <w:r w:rsidRPr="000F68B8">
              <w:rPr>
                <w:color w:val="000000"/>
              </w:rPr>
              <w:t>7/1/2034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700D5E8" w14:textId="4D0D29D2">
            <w:pPr>
              <w:tabs>
                <w:tab w:val="decimal" w:pos="975"/>
              </w:tabs>
              <w:jc w:val="left"/>
            </w:pPr>
            <w:r w:rsidRPr="000F68B8">
              <w:rPr>
                <w:color w:val="000000"/>
              </w:rPr>
              <w:t xml:space="preserve">620,000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61B2A33" w14:textId="5CAC9641">
            <w:pPr>
              <w:tabs>
                <w:tab w:val="decimal" w:pos="1185"/>
              </w:tabs>
              <w:jc w:val="left"/>
            </w:pPr>
            <w:r w:rsidRPr="000F68B8">
              <w:rPr>
                <w:color w:val="000000"/>
              </w:rPr>
              <w:t xml:space="preserve">849,590,000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B2EEFB9" w14:textId="5F81B003">
            <w:pPr>
              <w:tabs>
                <w:tab w:val="decimal" w:pos="330"/>
              </w:tabs>
              <w:jc w:val="left"/>
            </w:pPr>
            <w:r w:rsidRPr="000F68B8">
              <w:rPr>
                <w:color w:val="000000"/>
              </w:rPr>
              <w:t>54.195%</w:t>
            </w:r>
          </w:p>
        </w:tc>
      </w:tr>
      <w:tr w:rsidRPr="002F168A" w:rsidR="000F68B8" w:rsidTr="00921901" w14:paraId="6F447EE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B894773" w14:textId="3DBFACC6">
            <w:pPr>
              <w:tabs>
                <w:tab w:val="decimal" w:pos="255"/>
              </w:tabs>
              <w:jc w:val="right"/>
            </w:pPr>
            <w:r w:rsidRPr="000F68B8">
              <w:rPr>
                <w:color w:val="000000"/>
              </w:rPr>
              <w:t xml:space="preserve">4.674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C86D77A" w14:textId="129D5979">
            <w:pPr>
              <w:jc w:val="left"/>
            </w:pPr>
            <w:r w:rsidRPr="000F68B8">
              <w:rPr>
                <w:color w:val="000000"/>
              </w:rPr>
              <w:t>2024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C052ED8" w14:textId="54E8C51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DE31844" w14:textId="0610D710">
            <w:pPr>
              <w:jc w:val="center"/>
            </w:pPr>
            <w:r w:rsidRPr="000F68B8">
              <w:rPr>
                <w:color w:val="000000"/>
              </w:rPr>
              <w:t>1/1/2027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C26D606" w14:textId="6505746C">
            <w:pPr>
              <w:tabs>
                <w:tab w:val="decimal" w:pos="975"/>
              </w:tabs>
              <w:jc w:val="left"/>
            </w:pPr>
            <w:r w:rsidRPr="000F68B8">
              <w:rPr>
                <w:color w:val="000000"/>
              </w:rPr>
              <w:t xml:space="preserve">740,000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8ED7E9E" w14:textId="2BB2377A">
            <w:pPr>
              <w:tabs>
                <w:tab w:val="decimal" w:pos="1185"/>
              </w:tabs>
              <w:jc w:val="left"/>
            </w:pPr>
            <w:r w:rsidRPr="000F68B8">
              <w:rPr>
                <w:color w:val="000000"/>
              </w:rPr>
              <w:t xml:space="preserve">850,330,000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A1F5675" w14:textId="765AADBF">
            <w:pPr>
              <w:tabs>
                <w:tab w:val="decimal" w:pos="330"/>
              </w:tabs>
              <w:jc w:val="left"/>
            </w:pPr>
            <w:r w:rsidRPr="000F68B8">
              <w:rPr>
                <w:color w:val="000000"/>
              </w:rPr>
              <w:t>54.242%</w:t>
            </w:r>
          </w:p>
        </w:tc>
      </w:tr>
      <w:tr w:rsidRPr="002F168A" w:rsidR="000F68B8" w:rsidTr="00921901" w14:paraId="444061C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1C61B52" w14:textId="1BA96AAC">
            <w:pPr>
              <w:tabs>
                <w:tab w:val="decimal" w:pos="255"/>
              </w:tabs>
              <w:jc w:val="right"/>
            </w:pPr>
            <w:r w:rsidRPr="000F68B8">
              <w:rPr>
                <w:color w:val="000000"/>
              </w:rPr>
              <w:t xml:space="preserve">4.669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812EEBC" w14:textId="394E2910">
            <w:pPr>
              <w:jc w:val="left"/>
            </w:pPr>
            <w:r w:rsidRPr="000F68B8">
              <w:rPr>
                <w:color w:val="000000"/>
              </w:rPr>
              <w:t>2023 SERIES B-3</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95D62E3" w14:textId="33B3178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EA767F7" w14:textId="49A7FC42">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74C7633" w14:textId="7B44CA1C">
            <w:pPr>
              <w:tabs>
                <w:tab w:val="decimal" w:pos="975"/>
              </w:tabs>
              <w:jc w:val="left"/>
            </w:pPr>
            <w:r w:rsidRPr="000F68B8">
              <w:rPr>
                <w:color w:val="000000"/>
              </w:rPr>
              <w:t xml:space="preserve">585,000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B5F6BF3" w14:textId="47D3A2A3">
            <w:pPr>
              <w:tabs>
                <w:tab w:val="decimal" w:pos="1185"/>
              </w:tabs>
              <w:jc w:val="left"/>
            </w:pPr>
            <w:r w:rsidRPr="000F68B8">
              <w:rPr>
                <w:color w:val="000000"/>
              </w:rPr>
              <w:t xml:space="preserve">850,915,000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6BD38FF" w14:textId="193445B1">
            <w:pPr>
              <w:tabs>
                <w:tab w:val="decimal" w:pos="330"/>
              </w:tabs>
              <w:jc w:val="left"/>
            </w:pPr>
            <w:r w:rsidRPr="000F68B8">
              <w:rPr>
                <w:color w:val="000000"/>
              </w:rPr>
              <w:t>54.280%</w:t>
            </w:r>
          </w:p>
        </w:tc>
      </w:tr>
      <w:tr w:rsidRPr="002F168A" w:rsidR="000F68B8" w:rsidTr="00921901" w14:paraId="59725C8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4F50D80" w14:textId="0FA15B75">
            <w:pPr>
              <w:tabs>
                <w:tab w:val="decimal" w:pos="255"/>
              </w:tabs>
              <w:jc w:val="right"/>
            </w:pPr>
            <w:r w:rsidRPr="000F68B8">
              <w:rPr>
                <w:color w:val="000000"/>
              </w:rPr>
              <w:t xml:space="preserve">4.667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813D664" w14:textId="7E171C0B">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C14B3F0" w14:textId="57E58CB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147D089" w14:textId="33088A98">
            <w:pPr>
              <w:jc w:val="center"/>
            </w:pPr>
            <w:r w:rsidRPr="000F68B8">
              <w:rPr>
                <w:color w:val="000000"/>
              </w:rPr>
              <w:t>1/1/2029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B17E326" w14:textId="0160CDD7">
            <w:pPr>
              <w:tabs>
                <w:tab w:val="decimal" w:pos="975"/>
              </w:tabs>
              <w:jc w:val="left"/>
            </w:pPr>
            <w:r w:rsidRPr="000F68B8">
              <w:rPr>
                <w:color w:val="000000"/>
              </w:rPr>
              <w:t xml:space="preserve">650,000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E71F84E" w14:textId="24E71759">
            <w:pPr>
              <w:tabs>
                <w:tab w:val="decimal" w:pos="1185"/>
              </w:tabs>
              <w:jc w:val="left"/>
            </w:pPr>
            <w:r w:rsidRPr="000F68B8">
              <w:rPr>
                <w:color w:val="000000"/>
              </w:rPr>
              <w:t xml:space="preserve">851,565,000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54F9777" w14:textId="275CE026">
            <w:pPr>
              <w:tabs>
                <w:tab w:val="decimal" w:pos="330"/>
              </w:tabs>
              <w:jc w:val="left"/>
            </w:pPr>
            <w:r w:rsidRPr="000F68B8">
              <w:rPr>
                <w:color w:val="000000"/>
              </w:rPr>
              <w:t>54.321%</w:t>
            </w:r>
          </w:p>
        </w:tc>
      </w:tr>
      <w:tr w:rsidRPr="002F168A" w:rsidR="000F68B8" w:rsidTr="00921901" w14:paraId="01BFD87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353F4D8" w14:textId="3BE39B76">
            <w:pPr>
              <w:tabs>
                <w:tab w:val="decimal" w:pos="255"/>
              </w:tabs>
              <w:jc w:val="right"/>
            </w:pPr>
            <w:r w:rsidRPr="000F68B8">
              <w:rPr>
                <w:color w:val="000000"/>
              </w:rPr>
              <w:t xml:space="preserve">4.650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6E4C17C" w14:textId="0CB6E47D">
            <w:pPr>
              <w:jc w:val="left"/>
            </w:pPr>
            <w:r w:rsidRPr="000F68B8">
              <w:rPr>
                <w:color w:val="000000"/>
              </w:rPr>
              <w:t>2023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0DF82AB" w14:textId="6EADAB9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9A4C50A" w14:textId="16DEA3BA">
            <w:pPr>
              <w:jc w:val="center"/>
            </w:pPr>
            <w:r w:rsidRPr="000F68B8">
              <w:rPr>
                <w:color w:val="000000"/>
              </w:rPr>
              <w:t>7/1/2048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128188E" w14:textId="10D31A52">
            <w:pPr>
              <w:tabs>
                <w:tab w:val="decimal" w:pos="975"/>
              </w:tabs>
              <w:jc w:val="left"/>
            </w:pPr>
            <w:r w:rsidRPr="000F68B8">
              <w:rPr>
                <w:color w:val="000000"/>
              </w:rPr>
              <w:t xml:space="preserve">16,880,000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A42C63E" w14:textId="20090599">
            <w:pPr>
              <w:tabs>
                <w:tab w:val="decimal" w:pos="1185"/>
              </w:tabs>
              <w:jc w:val="left"/>
            </w:pPr>
            <w:r w:rsidRPr="000F68B8">
              <w:rPr>
                <w:color w:val="000000"/>
              </w:rPr>
              <w:t xml:space="preserve">868,445,000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EBC1D61" w14:textId="45F3429C">
            <w:pPr>
              <w:tabs>
                <w:tab w:val="decimal" w:pos="330"/>
              </w:tabs>
              <w:jc w:val="left"/>
            </w:pPr>
            <w:r w:rsidRPr="000F68B8">
              <w:rPr>
                <w:color w:val="000000"/>
              </w:rPr>
              <w:t>55.398%</w:t>
            </w:r>
          </w:p>
        </w:tc>
      </w:tr>
      <w:tr w:rsidRPr="002F168A" w:rsidR="000F68B8" w:rsidTr="00921901" w14:paraId="47B8942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7DF6ED2" w14:textId="25CFCFEA">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1AB4D3B" w14:textId="3F47DFB6">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3BE79DE" w14:textId="7BFDEF6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D5624A5" w14:textId="70B169C9">
            <w:pPr>
              <w:jc w:val="center"/>
            </w:pPr>
            <w:r w:rsidRPr="000F68B8">
              <w:rPr>
                <w:color w:val="000000"/>
              </w:rPr>
              <w:t>7/1/2033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CC8B678" w14:textId="50BFC0AA">
            <w:pPr>
              <w:tabs>
                <w:tab w:val="decimal" w:pos="975"/>
              </w:tabs>
              <w:jc w:val="left"/>
            </w:pPr>
            <w:r w:rsidRPr="000F68B8">
              <w:rPr>
                <w:color w:val="000000"/>
              </w:rPr>
              <w:t xml:space="preserve">205,000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B0CDC0E" w14:textId="622DC98B">
            <w:pPr>
              <w:tabs>
                <w:tab w:val="decimal" w:pos="1185"/>
              </w:tabs>
              <w:jc w:val="left"/>
            </w:pPr>
            <w:r w:rsidRPr="000F68B8">
              <w:rPr>
                <w:color w:val="000000"/>
              </w:rPr>
              <w:t xml:space="preserve">868,650,000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762E359" w14:textId="1C811607">
            <w:pPr>
              <w:tabs>
                <w:tab w:val="decimal" w:pos="330"/>
              </w:tabs>
              <w:jc w:val="left"/>
            </w:pPr>
            <w:r w:rsidRPr="000F68B8">
              <w:rPr>
                <w:color w:val="000000"/>
              </w:rPr>
              <w:t>55.411%</w:t>
            </w:r>
          </w:p>
        </w:tc>
      </w:tr>
      <w:tr w:rsidRPr="002F168A" w:rsidR="000F68B8" w:rsidTr="00921901" w14:paraId="1E10D2B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F17F582" w14:textId="306819E0">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5323A32" w14:textId="0F6CABCA">
            <w:pPr>
              <w:jc w:val="left"/>
            </w:pPr>
            <w:r w:rsidRPr="000F68B8">
              <w:rPr>
                <w:color w:val="000000"/>
              </w:rPr>
              <w:t>2024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2EF4BF6" w14:textId="6E48F73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141CDE6" w14:textId="2A613087">
            <w:pPr>
              <w:jc w:val="center"/>
            </w:pPr>
            <w:r w:rsidRPr="000F68B8">
              <w:rPr>
                <w:color w:val="000000"/>
              </w:rPr>
              <w:t>7/1/2049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484A681" w14:textId="5150B29A">
            <w:pPr>
              <w:tabs>
                <w:tab w:val="decimal" w:pos="975"/>
              </w:tabs>
              <w:jc w:val="left"/>
            </w:pPr>
            <w:r w:rsidRPr="000F68B8">
              <w:rPr>
                <w:color w:val="000000"/>
              </w:rPr>
              <w:t xml:space="preserve">23,285,000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FF4744F" w14:textId="07A17AE2">
            <w:pPr>
              <w:tabs>
                <w:tab w:val="decimal" w:pos="1185"/>
              </w:tabs>
              <w:jc w:val="left"/>
            </w:pPr>
            <w:r w:rsidRPr="000F68B8">
              <w:rPr>
                <w:color w:val="000000"/>
              </w:rPr>
              <w:t xml:space="preserve">891,935,000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01EF102" w14:textId="14551E46">
            <w:pPr>
              <w:tabs>
                <w:tab w:val="decimal" w:pos="330"/>
              </w:tabs>
              <w:jc w:val="left"/>
            </w:pPr>
            <w:r w:rsidRPr="000F68B8">
              <w:rPr>
                <w:color w:val="000000"/>
              </w:rPr>
              <w:t>56.896%</w:t>
            </w:r>
          </w:p>
        </w:tc>
      </w:tr>
      <w:tr w:rsidRPr="002F168A" w:rsidR="000F68B8" w:rsidTr="00921901" w14:paraId="5DFC2A2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6715D8D" w14:textId="24B5865C">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61EA93D" w14:textId="4605C646">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14F59C9" w14:textId="60E2077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C343893" w14:textId="34D2D052">
            <w:pPr>
              <w:jc w:val="center"/>
            </w:pPr>
            <w:r w:rsidRPr="000F68B8">
              <w:rPr>
                <w:color w:val="000000"/>
              </w:rPr>
              <w:t>7/1/2044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A6B6752" w14:textId="1F90F4E3">
            <w:pPr>
              <w:tabs>
                <w:tab w:val="decimal" w:pos="975"/>
              </w:tabs>
              <w:jc w:val="left"/>
            </w:pPr>
            <w:r w:rsidRPr="000F68B8">
              <w:rPr>
                <w:color w:val="000000"/>
              </w:rPr>
              <w:t xml:space="preserve">13,975,000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567A1D0" w14:textId="474C0FED">
            <w:pPr>
              <w:tabs>
                <w:tab w:val="decimal" w:pos="1185"/>
              </w:tabs>
              <w:jc w:val="left"/>
            </w:pPr>
            <w:r w:rsidRPr="000F68B8">
              <w:rPr>
                <w:color w:val="000000"/>
              </w:rPr>
              <w:t xml:space="preserve">905,910,000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3B76720" w14:textId="13F2F13E">
            <w:pPr>
              <w:tabs>
                <w:tab w:val="decimal" w:pos="330"/>
              </w:tabs>
              <w:jc w:val="left"/>
            </w:pPr>
            <w:r w:rsidRPr="000F68B8">
              <w:rPr>
                <w:color w:val="000000"/>
              </w:rPr>
              <w:t>57.788%</w:t>
            </w:r>
          </w:p>
        </w:tc>
      </w:tr>
      <w:tr w:rsidRPr="002F168A" w:rsidR="000F68B8" w:rsidTr="00921901" w14:paraId="1471858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DEA6AB2" w14:textId="3695BE18">
            <w:pPr>
              <w:tabs>
                <w:tab w:val="decimal" w:pos="255"/>
              </w:tabs>
              <w:jc w:val="right"/>
            </w:pPr>
            <w:r w:rsidRPr="000F68B8">
              <w:rPr>
                <w:color w:val="000000"/>
              </w:rPr>
              <w:t xml:space="preserve">4.632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50BF58D" w14:textId="63688042">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6D7CF42" w14:textId="26BE8A9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036D0D3" w14:textId="7829E037">
            <w:pPr>
              <w:jc w:val="center"/>
            </w:pPr>
            <w:r w:rsidRPr="000F68B8">
              <w:rPr>
                <w:color w:val="000000"/>
              </w:rPr>
              <w:t>7/1/2028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1F5EAD1" w14:textId="79A977E5">
            <w:pPr>
              <w:tabs>
                <w:tab w:val="decimal" w:pos="975"/>
              </w:tabs>
              <w:jc w:val="left"/>
            </w:pPr>
            <w:r w:rsidRPr="000F68B8">
              <w:rPr>
                <w:color w:val="000000"/>
              </w:rPr>
              <w:t xml:space="preserve">630,000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23E4EAA" w14:textId="6BE89FB2">
            <w:pPr>
              <w:tabs>
                <w:tab w:val="decimal" w:pos="1185"/>
              </w:tabs>
              <w:jc w:val="left"/>
            </w:pPr>
            <w:r w:rsidRPr="000F68B8">
              <w:rPr>
                <w:color w:val="000000"/>
              </w:rPr>
              <w:t xml:space="preserve">906,540,000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B5C7141" w14:textId="08E08265">
            <w:pPr>
              <w:tabs>
                <w:tab w:val="decimal" w:pos="330"/>
              </w:tabs>
              <w:jc w:val="left"/>
            </w:pPr>
            <w:r w:rsidRPr="000F68B8">
              <w:rPr>
                <w:color w:val="000000"/>
              </w:rPr>
              <w:t>57.828%</w:t>
            </w:r>
          </w:p>
        </w:tc>
      </w:tr>
      <w:tr w:rsidRPr="002F168A" w:rsidR="000F68B8" w:rsidTr="00921901" w14:paraId="0C19705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21BB43A" w14:textId="08FD18DD">
            <w:pPr>
              <w:tabs>
                <w:tab w:val="decimal" w:pos="255"/>
              </w:tabs>
              <w:jc w:val="right"/>
            </w:pPr>
            <w:r w:rsidRPr="000F68B8">
              <w:rPr>
                <w:color w:val="000000"/>
              </w:rPr>
              <w:t xml:space="preserve">4.630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BDDF367" w14:textId="0AC935E5">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CCFAA8E" w14:textId="20455B4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5CEF841" w14:textId="78F8E895">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016BA65" w14:textId="7347337B">
            <w:pPr>
              <w:tabs>
                <w:tab w:val="decimal" w:pos="975"/>
              </w:tabs>
              <w:jc w:val="left"/>
            </w:pPr>
            <w:r w:rsidRPr="000F68B8">
              <w:rPr>
                <w:color w:val="000000"/>
              </w:rPr>
              <w:t xml:space="preserve">1,335,000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2F97402" w14:textId="3DE3D503">
            <w:pPr>
              <w:tabs>
                <w:tab w:val="decimal" w:pos="1185"/>
              </w:tabs>
              <w:jc w:val="left"/>
            </w:pPr>
            <w:r w:rsidRPr="000F68B8">
              <w:rPr>
                <w:color w:val="000000"/>
              </w:rPr>
              <w:t xml:space="preserve">907,875,000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6E436DC" w14:textId="4A8206D2">
            <w:pPr>
              <w:tabs>
                <w:tab w:val="decimal" w:pos="330"/>
              </w:tabs>
              <w:jc w:val="left"/>
            </w:pPr>
            <w:r w:rsidRPr="000F68B8">
              <w:rPr>
                <w:color w:val="000000"/>
              </w:rPr>
              <w:t>57.913%</w:t>
            </w:r>
          </w:p>
        </w:tc>
      </w:tr>
      <w:tr w:rsidRPr="002F168A" w:rsidR="000F68B8" w:rsidTr="00921901" w14:paraId="3B0BA45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6F85C7A" w14:textId="16F1CA49">
            <w:pPr>
              <w:tabs>
                <w:tab w:val="decimal" w:pos="255"/>
              </w:tabs>
              <w:jc w:val="right"/>
            </w:pPr>
            <w:r w:rsidRPr="000F68B8">
              <w:rPr>
                <w:color w:val="000000"/>
              </w:rPr>
              <w:t xml:space="preserve">4.600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100931B" w14:textId="08163E75">
            <w:pPr>
              <w:jc w:val="left"/>
            </w:pPr>
            <w:r w:rsidRPr="000F68B8">
              <w:rPr>
                <w:color w:val="000000"/>
              </w:rPr>
              <w:t>2022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E184408" w14:textId="48DCF20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3F6BCDA" w14:textId="0976D926">
            <w:pPr>
              <w:jc w:val="center"/>
            </w:pPr>
            <w:r w:rsidRPr="000F68B8">
              <w:rPr>
                <w:color w:val="000000"/>
              </w:rPr>
              <w:t>7/1/2042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BB7B7C8" w14:textId="1E4E0232">
            <w:pPr>
              <w:tabs>
                <w:tab w:val="decimal" w:pos="975"/>
              </w:tabs>
              <w:jc w:val="left"/>
            </w:pPr>
            <w:r w:rsidRPr="000F68B8">
              <w:rPr>
                <w:color w:val="000000"/>
              </w:rPr>
              <w:t xml:space="preserve">27,025,000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2126386" w14:textId="564BECC5">
            <w:pPr>
              <w:tabs>
                <w:tab w:val="decimal" w:pos="1185"/>
              </w:tabs>
              <w:jc w:val="left"/>
            </w:pPr>
            <w:r w:rsidRPr="000F68B8">
              <w:rPr>
                <w:color w:val="000000"/>
              </w:rPr>
              <w:t xml:space="preserve">934,900,000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680ECDD" w14:textId="080FD5D3">
            <w:pPr>
              <w:tabs>
                <w:tab w:val="decimal" w:pos="330"/>
              </w:tabs>
              <w:jc w:val="left"/>
            </w:pPr>
            <w:r w:rsidRPr="000F68B8">
              <w:rPr>
                <w:color w:val="000000"/>
              </w:rPr>
              <w:t>59.637%</w:t>
            </w:r>
          </w:p>
        </w:tc>
      </w:tr>
      <w:tr w:rsidRPr="002F168A" w:rsidR="000F68B8" w:rsidTr="00921901" w14:paraId="6191881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8AB7C96" w14:textId="54EA0EB0">
            <w:pPr>
              <w:tabs>
                <w:tab w:val="decimal" w:pos="255"/>
              </w:tabs>
              <w:jc w:val="right"/>
            </w:pPr>
            <w:bookmarkStart w:name="ElPgBr101" w:id="1076"/>
            <w:bookmarkEnd w:id="1076"/>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5D75311" w14:textId="780A38EA">
            <w:pPr>
              <w:jc w:val="left"/>
            </w:pPr>
            <w:r w:rsidRPr="000F68B8">
              <w:rPr>
                <w:color w:val="000000"/>
              </w:rPr>
              <w:t>2023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09AA571" w14:textId="3C457D5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7C9BA0B" w14:textId="424C0B2B">
            <w:pPr>
              <w:jc w:val="center"/>
            </w:pPr>
            <w:r w:rsidRPr="000F68B8">
              <w:rPr>
                <w:color w:val="000000"/>
              </w:rPr>
              <w:t>7/1/2048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0F2F13F" w14:textId="25E65CCB">
            <w:pPr>
              <w:tabs>
                <w:tab w:val="decimal" w:pos="975"/>
              </w:tabs>
              <w:jc w:val="left"/>
            </w:pPr>
            <w:r w:rsidRPr="000F68B8">
              <w:rPr>
                <w:color w:val="000000"/>
              </w:rPr>
              <w:t xml:space="preserve">11,155,000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31DA8AD" w14:textId="5996AAB2">
            <w:pPr>
              <w:tabs>
                <w:tab w:val="decimal" w:pos="1185"/>
              </w:tabs>
              <w:jc w:val="left"/>
            </w:pPr>
            <w:r w:rsidRPr="000F68B8">
              <w:rPr>
                <w:color w:val="000000"/>
              </w:rPr>
              <w:t xml:space="preserve">946,055,000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3DC9D76" w14:textId="00E0E9D1">
            <w:pPr>
              <w:tabs>
                <w:tab w:val="decimal" w:pos="330"/>
              </w:tabs>
              <w:jc w:val="left"/>
            </w:pPr>
            <w:r w:rsidRPr="000F68B8">
              <w:rPr>
                <w:color w:val="000000"/>
              </w:rPr>
              <w:t>60.349%</w:t>
            </w:r>
          </w:p>
        </w:tc>
      </w:tr>
      <w:tr w:rsidRPr="002F168A" w:rsidR="000F68B8" w:rsidTr="00921901" w14:paraId="2F91C6E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71E280B" w14:textId="32424A4F">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AF2F5C7" w14:textId="30807906">
            <w:pPr>
              <w:jc w:val="left"/>
            </w:pPr>
            <w:r w:rsidRPr="000F68B8">
              <w:rPr>
                <w:color w:val="000000"/>
              </w:rPr>
              <w:t>2023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5CBAD94" w14:textId="313FDE5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1CF023F" w14:textId="363B9559">
            <w:pPr>
              <w:jc w:val="center"/>
            </w:pPr>
            <w:r w:rsidRPr="000F68B8">
              <w:rPr>
                <w:color w:val="000000"/>
              </w:rPr>
              <w:t>7/1/2053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D9611EB" w14:textId="3FEDE5DF">
            <w:pPr>
              <w:tabs>
                <w:tab w:val="decimal" w:pos="975"/>
              </w:tabs>
              <w:jc w:val="left"/>
            </w:pPr>
            <w:r w:rsidRPr="000F68B8">
              <w:rPr>
                <w:color w:val="000000"/>
              </w:rPr>
              <w:t xml:space="preserve">13,490,000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13A0E7B" w14:textId="06BA6BB5">
            <w:pPr>
              <w:tabs>
                <w:tab w:val="decimal" w:pos="1185"/>
              </w:tabs>
              <w:jc w:val="left"/>
            </w:pPr>
            <w:r w:rsidRPr="000F68B8">
              <w:rPr>
                <w:color w:val="000000"/>
              </w:rPr>
              <w:t xml:space="preserve">959,545,000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B4A61AC" w14:textId="14BF16C0">
            <w:pPr>
              <w:tabs>
                <w:tab w:val="decimal" w:pos="330"/>
              </w:tabs>
              <w:jc w:val="left"/>
            </w:pPr>
            <w:r w:rsidRPr="000F68B8">
              <w:rPr>
                <w:color w:val="000000"/>
              </w:rPr>
              <w:t>61.209%</w:t>
            </w:r>
          </w:p>
        </w:tc>
      </w:tr>
      <w:tr w:rsidRPr="002F168A" w:rsidR="000F68B8" w:rsidTr="00921901" w14:paraId="75E557D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689117F" w14:textId="3429806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370ECBC" w14:textId="2E3378D4">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E36B998" w14:textId="5904C36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47AD922" w14:textId="13ADD497">
            <w:pPr>
              <w:jc w:val="center"/>
            </w:pPr>
            <w:r w:rsidRPr="000F68B8">
              <w:rPr>
                <w:color w:val="000000"/>
              </w:rPr>
              <w:t>1/1/2033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7E8A9D1" w14:textId="2302532A">
            <w:pPr>
              <w:tabs>
                <w:tab w:val="decimal" w:pos="975"/>
              </w:tabs>
              <w:jc w:val="left"/>
            </w:pPr>
            <w:r w:rsidRPr="000F68B8">
              <w:rPr>
                <w:color w:val="000000"/>
              </w:rPr>
              <w:t xml:space="preserve">200,000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3C7A72B" w14:textId="667B30D5">
            <w:pPr>
              <w:tabs>
                <w:tab w:val="decimal" w:pos="1185"/>
              </w:tabs>
              <w:jc w:val="left"/>
            </w:pPr>
            <w:r w:rsidRPr="000F68B8">
              <w:rPr>
                <w:color w:val="000000"/>
              </w:rPr>
              <w:t xml:space="preserve">959,745,000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D64FA5C" w14:textId="6BEC3501">
            <w:pPr>
              <w:tabs>
                <w:tab w:val="decimal" w:pos="330"/>
              </w:tabs>
              <w:jc w:val="left"/>
            </w:pPr>
            <w:r w:rsidRPr="000F68B8">
              <w:rPr>
                <w:color w:val="000000"/>
              </w:rPr>
              <w:t>61.222%</w:t>
            </w:r>
          </w:p>
        </w:tc>
      </w:tr>
      <w:tr w:rsidRPr="002F168A" w:rsidR="000F68B8" w:rsidTr="00921901" w14:paraId="6C73481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A66AFD5" w14:textId="440E63AF">
            <w:pPr>
              <w:tabs>
                <w:tab w:val="decimal" w:pos="255"/>
              </w:tabs>
              <w:jc w:val="right"/>
            </w:pPr>
            <w:r w:rsidRPr="000F68B8">
              <w:rPr>
                <w:color w:val="000000"/>
              </w:rPr>
              <w:t xml:space="preserve">4.582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0748686" w14:textId="638B52C3">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1599E2B" w14:textId="1BA2ABF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615A926" w14:textId="2BF334B5">
            <w:pPr>
              <w:jc w:val="center"/>
            </w:pPr>
            <w:r w:rsidRPr="000F68B8">
              <w:rPr>
                <w:color w:val="000000"/>
              </w:rPr>
              <w:t>1/1/2028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806BBE6" w14:textId="5E42D784">
            <w:pPr>
              <w:tabs>
                <w:tab w:val="decimal" w:pos="975"/>
              </w:tabs>
              <w:jc w:val="left"/>
            </w:pPr>
            <w:r w:rsidRPr="000F68B8">
              <w:rPr>
                <w:color w:val="000000"/>
              </w:rPr>
              <w:t xml:space="preserve">605,000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56316AA" w14:textId="1388D941">
            <w:pPr>
              <w:tabs>
                <w:tab w:val="decimal" w:pos="1185"/>
              </w:tabs>
              <w:jc w:val="left"/>
            </w:pPr>
            <w:r w:rsidRPr="000F68B8">
              <w:rPr>
                <w:color w:val="000000"/>
              </w:rPr>
              <w:t xml:space="preserve">960,350,000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5691C66" w14:textId="0841A6B0">
            <w:pPr>
              <w:tabs>
                <w:tab w:val="decimal" w:pos="330"/>
              </w:tabs>
              <w:jc w:val="left"/>
            </w:pPr>
            <w:r w:rsidRPr="000F68B8">
              <w:rPr>
                <w:color w:val="000000"/>
              </w:rPr>
              <w:t>61.260%</w:t>
            </w:r>
          </w:p>
        </w:tc>
      </w:tr>
      <w:tr w:rsidRPr="002F168A" w:rsidR="000F68B8" w:rsidTr="00921901" w14:paraId="67CF8AD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DA0E4A2" w14:textId="326EE011">
            <w:pPr>
              <w:tabs>
                <w:tab w:val="decimal" w:pos="255"/>
              </w:tabs>
              <w:jc w:val="right"/>
            </w:pPr>
            <w:r w:rsidRPr="000F68B8">
              <w:rPr>
                <w:color w:val="000000"/>
              </w:rPr>
              <w:t xml:space="preserve">4.580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06FEBB3" w14:textId="6AC96837">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0B20B7E" w14:textId="4ECF76E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96FB5F7" w14:textId="3E28993E">
            <w:pPr>
              <w:jc w:val="center"/>
            </w:pPr>
            <w:r w:rsidRPr="000F68B8">
              <w:rPr>
                <w:color w:val="000000"/>
              </w:rPr>
              <w:t>1/1/2030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DA4B2B9" w14:textId="0FDDACEA">
            <w:pPr>
              <w:tabs>
                <w:tab w:val="decimal" w:pos="975"/>
              </w:tabs>
              <w:jc w:val="left"/>
            </w:pPr>
            <w:r w:rsidRPr="000F68B8">
              <w:rPr>
                <w:color w:val="000000"/>
              </w:rPr>
              <w:t xml:space="preserve">1,315,000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26955EC" w14:textId="04827C3F">
            <w:pPr>
              <w:tabs>
                <w:tab w:val="decimal" w:pos="1185"/>
              </w:tabs>
              <w:jc w:val="left"/>
            </w:pPr>
            <w:r w:rsidRPr="000F68B8">
              <w:rPr>
                <w:color w:val="000000"/>
              </w:rPr>
              <w:t xml:space="preserve">961,665,000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E121C2C" w14:textId="1048A78E">
            <w:pPr>
              <w:tabs>
                <w:tab w:val="decimal" w:pos="330"/>
              </w:tabs>
              <w:jc w:val="left"/>
            </w:pPr>
            <w:r w:rsidRPr="000F68B8">
              <w:rPr>
                <w:color w:val="000000"/>
              </w:rPr>
              <w:t>61.344%</w:t>
            </w:r>
          </w:p>
        </w:tc>
      </w:tr>
      <w:tr w:rsidRPr="002F168A" w:rsidR="000F68B8" w:rsidTr="00921901" w14:paraId="30D7218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00F3A0C" w14:textId="4B09B237">
            <w:pPr>
              <w:tabs>
                <w:tab w:val="decimal" w:pos="255"/>
              </w:tabs>
              <w:jc w:val="right"/>
            </w:pPr>
            <w:r w:rsidRPr="000F68B8">
              <w:rPr>
                <w:color w:val="000000"/>
              </w:rPr>
              <w:t xml:space="preserve">4.550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3329835" w14:textId="39B95888">
            <w:pPr>
              <w:jc w:val="left"/>
            </w:pPr>
            <w:r w:rsidRPr="000F68B8">
              <w:rPr>
                <w:color w:val="000000"/>
              </w:rPr>
              <w:t>2023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705E56C" w14:textId="34322F5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83F349B" w14:textId="291F38C9">
            <w:pPr>
              <w:jc w:val="center"/>
            </w:pPr>
            <w:r w:rsidRPr="000F68B8">
              <w:rPr>
                <w:color w:val="000000"/>
              </w:rPr>
              <w:t>7/1/2048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BD1FD05" w14:textId="2123BE73">
            <w:pPr>
              <w:tabs>
                <w:tab w:val="decimal" w:pos="975"/>
              </w:tabs>
              <w:jc w:val="left"/>
            </w:pPr>
            <w:r w:rsidRPr="000F68B8">
              <w:rPr>
                <w:color w:val="000000"/>
              </w:rPr>
              <w:t xml:space="preserve">9,770,000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1E47313" w14:textId="11E8E33A">
            <w:pPr>
              <w:tabs>
                <w:tab w:val="decimal" w:pos="1185"/>
              </w:tabs>
              <w:jc w:val="left"/>
            </w:pPr>
            <w:r w:rsidRPr="000F68B8">
              <w:rPr>
                <w:color w:val="000000"/>
              </w:rPr>
              <w:t xml:space="preserve">971,435,000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41F539B" w14:textId="0A49BF98">
            <w:pPr>
              <w:tabs>
                <w:tab w:val="decimal" w:pos="330"/>
              </w:tabs>
              <w:jc w:val="left"/>
            </w:pPr>
            <w:r w:rsidRPr="000F68B8">
              <w:rPr>
                <w:color w:val="000000"/>
              </w:rPr>
              <w:t>61.968%</w:t>
            </w:r>
          </w:p>
        </w:tc>
      </w:tr>
      <w:tr w:rsidRPr="002F168A" w:rsidR="000F68B8" w:rsidTr="00921901" w14:paraId="613667D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82DF5B5" w14:textId="4E06BB3A">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6380D67" w14:textId="32DC46EB">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F66EA6E" w14:textId="7CBA6BE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A3C58C6" w14:textId="7801DEC3">
            <w:pPr>
              <w:jc w:val="center"/>
            </w:pPr>
            <w:r w:rsidRPr="000F68B8">
              <w:rPr>
                <w:color w:val="000000"/>
              </w:rPr>
              <w:t>7/1/2032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8268377" w14:textId="7BFF5237">
            <w:pPr>
              <w:tabs>
                <w:tab w:val="decimal" w:pos="975"/>
              </w:tabs>
              <w:jc w:val="left"/>
            </w:pPr>
            <w:r w:rsidRPr="000F68B8">
              <w:rPr>
                <w:color w:val="000000"/>
              </w:rPr>
              <w:t xml:space="preserve">185,000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88E3669" w14:textId="23767403">
            <w:pPr>
              <w:tabs>
                <w:tab w:val="decimal" w:pos="1185"/>
              </w:tabs>
              <w:jc w:val="left"/>
            </w:pPr>
            <w:r w:rsidRPr="000F68B8">
              <w:rPr>
                <w:color w:val="000000"/>
              </w:rPr>
              <w:t xml:space="preserve">971,620,000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2CA2D3D" w14:textId="4504C553">
            <w:pPr>
              <w:tabs>
                <w:tab w:val="decimal" w:pos="330"/>
              </w:tabs>
              <w:jc w:val="left"/>
            </w:pPr>
            <w:r w:rsidRPr="000F68B8">
              <w:rPr>
                <w:color w:val="000000"/>
              </w:rPr>
              <w:t>61.979%</w:t>
            </w:r>
          </w:p>
        </w:tc>
      </w:tr>
      <w:tr w:rsidRPr="002F168A" w:rsidR="000F68B8" w:rsidTr="00921901" w14:paraId="2411F9C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F3B2F92" w14:textId="63B45E60">
            <w:pPr>
              <w:tabs>
                <w:tab w:val="decimal" w:pos="255"/>
              </w:tabs>
              <w:jc w:val="right"/>
            </w:pPr>
            <w:r w:rsidRPr="000F68B8">
              <w:rPr>
                <w:color w:val="000000"/>
              </w:rPr>
              <w:t xml:space="preserve">4.532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C9CED47" w14:textId="631755CD">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B476C5F" w14:textId="164834B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E155F77" w14:textId="7BDC27DC">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4FC21BC" w14:textId="3B6040C5">
            <w:pPr>
              <w:tabs>
                <w:tab w:val="decimal" w:pos="975"/>
              </w:tabs>
              <w:jc w:val="left"/>
            </w:pPr>
            <w:r w:rsidRPr="000F68B8">
              <w:rPr>
                <w:color w:val="000000"/>
              </w:rPr>
              <w:t xml:space="preserve">585,000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7A70A68" w14:textId="2FC0DDB9">
            <w:pPr>
              <w:tabs>
                <w:tab w:val="decimal" w:pos="1185"/>
              </w:tabs>
              <w:jc w:val="left"/>
            </w:pPr>
            <w:r w:rsidRPr="000F68B8">
              <w:rPr>
                <w:color w:val="000000"/>
              </w:rPr>
              <w:t xml:space="preserve">972,205,000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E46FAD8" w14:textId="63E40567">
            <w:pPr>
              <w:tabs>
                <w:tab w:val="decimal" w:pos="330"/>
              </w:tabs>
              <w:jc w:val="left"/>
            </w:pPr>
            <w:r w:rsidRPr="000F68B8">
              <w:rPr>
                <w:color w:val="000000"/>
              </w:rPr>
              <w:t>62.017%</w:t>
            </w:r>
          </w:p>
        </w:tc>
      </w:tr>
      <w:tr w:rsidRPr="002F168A" w:rsidR="000F68B8" w:rsidTr="00921901" w14:paraId="5A716F2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0A706F3" w14:textId="17CCE08C">
            <w:pPr>
              <w:tabs>
                <w:tab w:val="decimal" w:pos="255"/>
              </w:tabs>
              <w:jc w:val="right"/>
            </w:pPr>
            <w:r w:rsidRPr="000F68B8">
              <w:rPr>
                <w:color w:val="000000"/>
              </w:rPr>
              <w:t xml:space="preserve">4.520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2C28E12" w14:textId="66605691">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CD0EA54" w14:textId="0DA06D0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5BA95A5" w14:textId="2C493642">
            <w:pPr>
              <w:jc w:val="center"/>
            </w:pPr>
            <w:r w:rsidRPr="000F68B8">
              <w:rPr>
                <w:color w:val="000000"/>
              </w:rPr>
              <w:t>7/1/2029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20BD8E6" w14:textId="432ECA4A">
            <w:pPr>
              <w:tabs>
                <w:tab w:val="decimal" w:pos="975"/>
              </w:tabs>
              <w:jc w:val="left"/>
            </w:pPr>
            <w:r w:rsidRPr="000F68B8">
              <w:rPr>
                <w:color w:val="000000"/>
              </w:rPr>
              <w:t xml:space="preserve">1,285,000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B8CB011" w14:textId="0284476F">
            <w:pPr>
              <w:tabs>
                <w:tab w:val="decimal" w:pos="1185"/>
              </w:tabs>
              <w:jc w:val="left"/>
            </w:pPr>
            <w:r w:rsidRPr="000F68B8">
              <w:rPr>
                <w:color w:val="000000"/>
              </w:rPr>
              <w:t xml:space="preserve">973,490,000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F4B6514" w14:textId="2ABDA730">
            <w:pPr>
              <w:tabs>
                <w:tab w:val="decimal" w:pos="330"/>
              </w:tabs>
              <w:jc w:val="left"/>
            </w:pPr>
            <w:r w:rsidRPr="000F68B8">
              <w:rPr>
                <w:color w:val="000000"/>
              </w:rPr>
              <w:t>62.099%</w:t>
            </w:r>
          </w:p>
        </w:tc>
      </w:tr>
      <w:tr w:rsidRPr="002F168A" w:rsidR="000F68B8" w:rsidTr="00921901" w14:paraId="21B9403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CC12E0A" w14:textId="063AD85E">
            <w:pPr>
              <w:tabs>
                <w:tab w:val="decimal" w:pos="255"/>
              </w:tabs>
              <w:jc w:val="right"/>
            </w:pPr>
            <w:r w:rsidRPr="000F68B8">
              <w:rPr>
                <w:color w:val="000000"/>
              </w:rPr>
              <w:t xml:space="preserve">4.500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A100270" w14:textId="445C7D08">
            <w:pPr>
              <w:jc w:val="left"/>
            </w:pPr>
            <w:r w:rsidRPr="000F68B8">
              <w:rPr>
                <w:color w:val="000000"/>
              </w:rPr>
              <w:t>2023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33A3D22" w14:textId="0339C8D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C480EE7" w14:textId="6AE53FFD">
            <w:pPr>
              <w:jc w:val="center"/>
            </w:pPr>
            <w:r w:rsidRPr="000F68B8">
              <w:rPr>
                <w:color w:val="000000"/>
              </w:rPr>
              <w:t>7/1/2043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3708DAE" w14:textId="69AFB60B">
            <w:pPr>
              <w:tabs>
                <w:tab w:val="decimal" w:pos="975"/>
              </w:tabs>
              <w:jc w:val="left"/>
            </w:pPr>
            <w:r w:rsidRPr="000F68B8">
              <w:rPr>
                <w:color w:val="000000"/>
              </w:rPr>
              <w:t xml:space="preserve">11,810,000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FF83D46" w14:textId="1753AD40">
            <w:pPr>
              <w:tabs>
                <w:tab w:val="decimal" w:pos="1185"/>
              </w:tabs>
              <w:jc w:val="left"/>
            </w:pPr>
            <w:r w:rsidRPr="000F68B8">
              <w:rPr>
                <w:color w:val="000000"/>
              </w:rPr>
              <w:t xml:space="preserve">985,300,000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153AA4E" w14:textId="1759F1C9">
            <w:pPr>
              <w:tabs>
                <w:tab w:val="decimal" w:pos="330"/>
              </w:tabs>
              <w:jc w:val="left"/>
            </w:pPr>
            <w:r w:rsidRPr="000F68B8">
              <w:rPr>
                <w:color w:val="000000"/>
              </w:rPr>
              <w:t>62.852%</w:t>
            </w:r>
          </w:p>
        </w:tc>
      </w:tr>
      <w:tr w:rsidRPr="002F168A" w:rsidR="000F68B8" w:rsidTr="00921901" w14:paraId="306F051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AE040B6" w14:textId="1A8B47C5">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81F66B3" w14:textId="3A217285">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7B3C00A" w14:textId="7C59DC3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5DAFF65" w14:textId="380A57A9">
            <w:pPr>
              <w:jc w:val="center"/>
            </w:pPr>
            <w:r w:rsidRPr="000F68B8">
              <w:rPr>
                <w:color w:val="000000"/>
              </w:rPr>
              <w:t>1/1/2032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D84B5A3" w14:textId="6C3C01A5">
            <w:pPr>
              <w:tabs>
                <w:tab w:val="decimal" w:pos="975"/>
              </w:tabs>
              <w:jc w:val="left"/>
            </w:pPr>
            <w:r w:rsidRPr="000F68B8">
              <w:rPr>
                <w:color w:val="000000"/>
              </w:rPr>
              <w:t xml:space="preserve">150,000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738EFEE" w14:textId="156B46F7">
            <w:pPr>
              <w:tabs>
                <w:tab w:val="decimal" w:pos="1185"/>
              </w:tabs>
              <w:jc w:val="left"/>
            </w:pPr>
            <w:r w:rsidRPr="000F68B8">
              <w:rPr>
                <w:color w:val="000000"/>
              </w:rPr>
              <w:t xml:space="preserve">985,450,000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E593C67" w14:textId="63CC559F">
            <w:pPr>
              <w:tabs>
                <w:tab w:val="decimal" w:pos="330"/>
              </w:tabs>
              <w:jc w:val="left"/>
            </w:pPr>
            <w:r w:rsidRPr="000F68B8">
              <w:rPr>
                <w:color w:val="000000"/>
              </w:rPr>
              <w:t>62.862%</w:t>
            </w:r>
          </w:p>
        </w:tc>
      </w:tr>
      <w:tr w:rsidRPr="002F168A" w:rsidR="000F68B8" w:rsidTr="00921901" w14:paraId="7166EE99"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E227296" w14:textId="6C4D1E3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A929F4F" w14:textId="36D01D70">
            <w:pPr>
              <w:jc w:val="left"/>
            </w:pPr>
            <w:r w:rsidRPr="000F68B8">
              <w:rPr>
                <w:color w:val="000000"/>
              </w:rPr>
              <w:t>2023 SERIES D-2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5F68A17" w14:textId="58D9789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E1C7FE1" w14:textId="2F3D68FC">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662A750" w14:textId="1A365F70">
            <w:pPr>
              <w:tabs>
                <w:tab w:val="decimal" w:pos="975"/>
              </w:tabs>
              <w:jc w:val="left"/>
            </w:pPr>
            <w:r w:rsidRPr="000F68B8">
              <w:rPr>
                <w:color w:val="000000"/>
              </w:rPr>
              <w:t xml:space="preserve">1,205,000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1B99A53" w14:textId="722C7B96">
            <w:pPr>
              <w:tabs>
                <w:tab w:val="decimal" w:pos="1185"/>
              </w:tabs>
              <w:jc w:val="left"/>
            </w:pPr>
            <w:r w:rsidRPr="000F68B8">
              <w:rPr>
                <w:color w:val="000000"/>
              </w:rPr>
              <w:t xml:space="preserve">986,655,000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862626D" w14:textId="0CDE1E65">
            <w:pPr>
              <w:tabs>
                <w:tab w:val="decimal" w:pos="330"/>
              </w:tabs>
              <w:jc w:val="left"/>
            </w:pPr>
            <w:r w:rsidRPr="000F68B8">
              <w:rPr>
                <w:color w:val="000000"/>
              </w:rPr>
              <w:t>62.938%</w:t>
            </w:r>
          </w:p>
        </w:tc>
      </w:tr>
      <w:tr w:rsidRPr="002F168A" w:rsidR="000F68B8" w:rsidTr="00921901" w14:paraId="0F03ECF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4DC5F4B" w14:textId="658C1E8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5406F86" w14:textId="2AE0A150">
            <w:pPr>
              <w:jc w:val="left"/>
            </w:pPr>
            <w:r w:rsidRPr="000F68B8">
              <w:rPr>
                <w:color w:val="000000"/>
              </w:rPr>
              <w:t>2024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403591E" w14:textId="7626FA4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F7ED440" w14:textId="0491DB3A">
            <w:pPr>
              <w:jc w:val="center"/>
            </w:pPr>
            <w:r w:rsidRPr="000F68B8">
              <w:rPr>
                <w:color w:val="000000"/>
              </w:rPr>
              <w:t>7/1/2044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FA17AEE" w14:textId="7AC0108B">
            <w:pPr>
              <w:tabs>
                <w:tab w:val="decimal" w:pos="975"/>
              </w:tabs>
              <w:jc w:val="left"/>
            </w:pPr>
            <w:r w:rsidRPr="000F68B8">
              <w:rPr>
                <w:color w:val="000000"/>
              </w:rPr>
              <w:t xml:space="preserve">15,985,000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0F5FAF0" w14:textId="19AE4B88">
            <w:pPr>
              <w:tabs>
                <w:tab w:val="decimal" w:pos="1185"/>
              </w:tabs>
              <w:jc w:val="left"/>
            </w:pPr>
            <w:r w:rsidRPr="000F68B8">
              <w:rPr>
                <w:color w:val="000000"/>
              </w:rPr>
              <w:t xml:space="preserve">1,002,640,000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7A8BA68" w14:textId="0CD62270">
            <w:pPr>
              <w:tabs>
                <w:tab w:val="decimal" w:pos="330"/>
              </w:tabs>
              <w:jc w:val="left"/>
            </w:pPr>
            <w:r w:rsidRPr="000F68B8">
              <w:rPr>
                <w:color w:val="000000"/>
              </w:rPr>
              <w:t>63.958%</w:t>
            </w:r>
          </w:p>
        </w:tc>
      </w:tr>
      <w:tr w:rsidRPr="002F168A" w:rsidR="000F68B8" w:rsidTr="00921901" w14:paraId="42915F7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4A5A621" w14:textId="76F41E73">
            <w:pPr>
              <w:tabs>
                <w:tab w:val="decimal" w:pos="255"/>
              </w:tabs>
              <w:jc w:val="right"/>
            </w:pPr>
            <w:r w:rsidRPr="000F68B8">
              <w:rPr>
                <w:color w:val="000000"/>
              </w:rPr>
              <w:t xml:space="preserve">4.482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1E30BE5" w14:textId="42CA3B60">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E4C03BD" w14:textId="6D54073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53868AA" w14:textId="49BC4A7A">
            <w:pPr>
              <w:jc w:val="center"/>
            </w:pPr>
            <w:r w:rsidRPr="000F68B8">
              <w:rPr>
                <w:color w:val="000000"/>
              </w:rPr>
              <w:t>1/1/2027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0142E08" w14:textId="2D0963C4">
            <w:pPr>
              <w:tabs>
                <w:tab w:val="decimal" w:pos="975"/>
              </w:tabs>
              <w:jc w:val="left"/>
            </w:pPr>
            <w:r w:rsidRPr="000F68B8">
              <w:rPr>
                <w:color w:val="000000"/>
              </w:rPr>
              <w:t xml:space="preserve">560,000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136AE71" w14:textId="60B37CD2">
            <w:pPr>
              <w:tabs>
                <w:tab w:val="decimal" w:pos="1185"/>
              </w:tabs>
              <w:jc w:val="left"/>
            </w:pPr>
            <w:r w:rsidRPr="000F68B8">
              <w:rPr>
                <w:color w:val="000000"/>
              </w:rPr>
              <w:t xml:space="preserve">1,003,200,000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9CEEE1B" w14:textId="5DC5226E">
            <w:pPr>
              <w:tabs>
                <w:tab w:val="decimal" w:pos="330"/>
              </w:tabs>
              <w:jc w:val="left"/>
            </w:pPr>
            <w:r w:rsidRPr="000F68B8">
              <w:rPr>
                <w:color w:val="000000"/>
              </w:rPr>
              <w:t>63.994%</w:t>
            </w:r>
          </w:p>
        </w:tc>
      </w:tr>
      <w:tr w:rsidRPr="002F168A" w:rsidR="000F68B8" w:rsidTr="00921901" w14:paraId="7C4356A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E085A61" w14:textId="70D04DD0">
            <w:pPr>
              <w:tabs>
                <w:tab w:val="decimal" w:pos="255"/>
              </w:tabs>
              <w:jc w:val="right"/>
            </w:pPr>
            <w:r w:rsidRPr="000F68B8">
              <w:rPr>
                <w:color w:val="000000"/>
              </w:rPr>
              <w:t xml:space="preserve">4.450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18028A3" w14:textId="4215BF9C">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CA3B02F" w14:textId="5D3F116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EAAD30B" w14:textId="34984B87">
            <w:pPr>
              <w:jc w:val="center"/>
            </w:pPr>
            <w:r w:rsidRPr="000F68B8">
              <w:rPr>
                <w:color w:val="000000"/>
              </w:rPr>
              <w:t>1/1/2029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A6F156B" w14:textId="029C007B">
            <w:pPr>
              <w:tabs>
                <w:tab w:val="decimal" w:pos="975"/>
              </w:tabs>
              <w:jc w:val="left"/>
            </w:pPr>
            <w:r w:rsidRPr="000F68B8">
              <w:rPr>
                <w:color w:val="000000"/>
              </w:rPr>
              <w:t xml:space="preserve">1,265,000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2955F7C" w14:textId="4EFE18A5">
            <w:pPr>
              <w:tabs>
                <w:tab w:val="decimal" w:pos="1185"/>
              </w:tabs>
              <w:jc w:val="left"/>
            </w:pPr>
            <w:r w:rsidRPr="000F68B8">
              <w:rPr>
                <w:color w:val="000000"/>
              </w:rPr>
              <w:t xml:space="preserve">1,004,465,000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77CDD52" w14:textId="58950EA9">
            <w:pPr>
              <w:tabs>
                <w:tab w:val="decimal" w:pos="330"/>
              </w:tabs>
              <w:jc w:val="left"/>
            </w:pPr>
            <w:r w:rsidRPr="000F68B8">
              <w:rPr>
                <w:color w:val="000000"/>
              </w:rPr>
              <w:t>64.075%</w:t>
            </w:r>
          </w:p>
        </w:tc>
      </w:tr>
      <w:tr w:rsidRPr="002F168A" w:rsidR="000F68B8" w:rsidTr="00921901" w14:paraId="087CE87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E5F841E" w14:textId="02460A7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15C4D7C" w14:textId="4A269A52">
            <w:pPr>
              <w:jc w:val="left"/>
            </w:pPr>
            <w:r w:rsidRPr="000F68B8">
              <w:rPr>
                <w:color w:val="000000"/>
              </w:rPr>
              <w:t>2023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D157F09" w14:textId="2D476FB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CB7792D" w14:textId="104D8911">
            <w:pPr>
              <w:jc w:val="center"/>
            </w:pPr>
            <w:r w:rsidRPr="000F68B8">
              <w:rPr>
                <w:color w:val="000000"/>
              </w:rPr>
              <w:t>7/1/2043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5B08564" w14:textId="0F385C37">
            <w:pPr>
              <w:tabs>
                <w:tab w:val="decimal" w:pos="975"/>
              </w:tabs>
              <w:jc w:val="left"/>
            </w:pPr>
            <w:r w:rsidRPr="000F68B8">
              <w:rPr>
                <w:color w:val="000000"/>
              </w:rPr>
              <w:t xml:space="preserve">11,490,000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FFA498F" w14:textId="3EC938E7">
            <w:pPr>
              <w:tabs>
                <w:tab w:val="decimal" w:pos="1185"/>
              </w:tabs>
              <w:jc w:val="left"/>
            </w:pPr>
            <w:r w:rsidRPr="000F68B8">
              <w:rPr>
                <w:color w:val="000000"/>
              </w:rPr>
              <w:t xml:space="preserve">1,015,955,000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FE4D2EE" w14:textId="2CC6A90F">
            <w:pPr>
              <w:tabs>
                <w:tab w:val="decimal" w:pos="330"/>
              </w:tabs>
              <w:jc w:val="left"/>
            </w:pPr>
            <w:r w:rsidRPr="000F68B8">
              <w:rPr>
                <w:color w:val="000000"/>
              </w:rPr>
              <w:t>64.808%</w:t>
            </w:r>
          </w:p>
        </w:tc>
      </w:tr>
      <w:tr w:rsidRPr="002F168A" w:rsidR="000F68B8" w:rsidTr="00921901" w14:paraId="434A2C2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AEE6483" w14:textId="540C5244">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692BC2C" w14:textId="4EA45A33">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649C1DF" w14:textId="154EBE1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69F5256" w14:textId="7884A481">
            <w:pPr>
              <w:jc w:val="center"/>
            </w:pPr>
            <w:r w:rsidRPr="000F68B8">
              <w:rPr>
                <w:color w:val="000000"/>
              </w:rPr>
              <w:t>7/1/2031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926B4A3" w14:textId="299AE335">
            <w:pPr>
              <w:tabs>
                <w:tab w:val="decimal" w:pos="975"/>
              </w:tabs>
              <w:jc w:val="left"/>
            </w:pPr>
            <w:r w:rsidRPr="000F68B8">
              <w:rPr>
                <w:color w:val="000000"/>
              </w:rPr>
              <w:t xml:space="preserve">140,000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CECB3BF" w14:textId="688BE90B">
            <w:pPr>
              <w:tabs>
                <w:tab w:val="decimal" w:pos="1185"/>
              </w:tabs>
              <w:jc w:val="left"/>
            </w:pPr>
            <w:r w:rsidRPr="000F68B8">
              <w:rPr>
                <w:color w:val="000000"/>
              </w:rPr>
              <w:t xml:space="preserve">1,016,095,000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FB87AC1" w14:textId="121327B8">
            <w:pPr>
              <w:tabs>
                <w:tab w:val="decimal" w:pos="330"/>
              </w:tabs>
              <w:jc w:val="left"/>
            </w:pPr>
            <w:r w:rsidRPr="000F68B8">
              <w:rPr>
                <w:color w:val="000000"/>
              </w:rPr>
              <w:t>64.816%</w:t>
            </w:r>
          </w:p>
        </w:tc>
      </w:tr>
      <w:tr w:rsidRPr="002F168A" w:rsidR="000F68B8" w:rsidTr="00921901" w14:paraId="55A8124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F8DDA66" w14:textId="262F3343">
            <w:pPr>
              <w:tabs>
                <w:tab w:val="decimal" w:pos="255"/>
              </w:tabs>
              <w:jc w:val="right"/>
            </w:pPr>
            <w:r w:rsidRPr="000F68B8">
              <w:rPr>
                <w:color w:val="000000"/>
              </w:rPr>
              <w:t xml:space="preserve">4.418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0002DEE" w14:textId="3935E6E1">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1EEEA1D" w14:textId="6C5ADB5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5982E88" w14:textId="2B154964">
            <w:pPr>
              <w:jc w:val="center"/>
            </w:pPr>
            <w:r w:rsidRPr="000F68B8">
              <w:rPr>
                <w:color w:val="000000"/>
              </w:rPr>
              <w:t>7/1/2026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A3DE2A3" w14:textId="5314FEC5">
            <w:pPr>
              <w:tabs>
                <w:tab w:val="decimal" w:pos="975"/>
              </w:tabs>
              <w:jc w:val="left"/>
            </w:pPr>
            <w:r w:rsidRPr="000F68B8">
              <w:rPr>
                <w:color w:val="000000"/>
              </w:rPr>
              <w:t xml:space="preserve">545,000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32C48C7" w14:textId="00405C99">
            <w:pPr>
              <w:tabs>
                <w:tab w:val="decimal" w:pos="1185"/>
              </w:tabs>
              <w:jc w:val="left"/>
            </w:pPr>
            <w:r w:rsidRPr="000F68B8">
              <w:rPr>
                <w:color w:val="000000"/>
              </w:rPr>
              <w:t xml:space="preserve">1,016,640,000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4F0D1A8" w14:textId="63A5096C">
            <w:pPr>
              <w:tabs>
                <w:tab w:val="decimal" w:pos="330"/>
              </w:tabs>
              <w:jc w:val="left"/>
            </w:pPr>
            <w:r w:rsidRPr="000F68B8">
              <w:rPr>
                <w:color w:val="000000"/>
              </w:rPr>
              <w:t>64.851%</w:t>
            </w:r>
          </w:p>
        </w:tc>
      </w:tr>
      <w:tr w:rsidRPr="002F168A" w:rsidR="000F68B8" w:rsidTr="00921901" w14:paraId="28A0D46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BD28F41" w14:textId="36BF2EBB">
            <w:pPr>
              <w:tabs>
                <w:tab w:val="decimal" w:pos="255"/>
              </w:tabs>
              <w:jc w:val="right"/>
            </w:pPr>
            <w:r w:rsidRPr="000F68B8">
              <w:rPr>
                <w:color w:val="000000"/>
              </w:rPr>
              <w:t xml:space="preserve">4.400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7CE7972" w14:textId="3437A800">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715D32B" w14:textId="7AA3995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B5300C5" w14:textId="14EBD0B0">
            <w:pPr>
              <w:jc w:val="center"/>
            </w:pPr>
            <w:r w:rsidRPr="000F68B8">
              <w:rPr>
                <w:color w:val="000000"/>
              </w:rPr>
              <w:t>1/1/2031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A5171D7" w14:textId="180DB026">
            <w:pPr>
              <w:tabs>
                <w:tab w:val="decimal" w:pos="975"/>
              </w:tabs>
              <w:jc w:val="left"/>
            </w:pPr>
            <w:r w:rsidRPr="000F68B8">
              <w:rPr>
                <w:color w:val="000000"/>
              </w:rPr>
              <w:t xml:space="preserve">105,000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1890AB6" w14:textId="79230072">
            <w:pPr>
              <w:tabs>
                <w:tab w:val="decimal" w:pos="1185"/>
              </w:tabs>
              <w:jc w:val="left"/>
            </w:pPr>
            <w:r w:rsidRPr="000F68B8">
              <w:rPr>
                <w:color w:val="000000"/>
              </w:rPr>
              <w:t xml:space="preserve">1,016,745,000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16CDE81" w14:textId="105BB2DE">
            <w:pPr>
              <w:tabs>
                <w:tab w:val="decimal" w:pos="330"/>
              </w:tabs>
              <w:jc w:val="left"/>
            </w:pPr>
            <w:r w:rsidRPr="000F68B8">
              <w:rPr>
                <w:color w:val="000000"/>
              </w:rPr>
              <w:t>64.858%</w:t>
            </w:r>
          </w:p>
        </w:tc>
      </w:tr>
      <w:tr w:rsidRPr="002F168A" w:rsidR="000F68B8" w:rsidTr="00921901" w14:paraId="0F1522A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D014F95" w14:textId="5F709792">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656CAA3" w14:textId="438700C6">
            <w:pPr>
              <w:jc w:val="left"/>
            </w:pPr>
            <w:r w:rsidRPr="000F68B8">
              <w:rPr>
                <w:color w:val="000000"/>
              </w:rPr>
              <w:t>2023 SERIES D-2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AA8C24D" w14:textId="698A371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733042D" w14:textId="7C2CFBC9">
            <w:pPr>
              <w:jc w:val="center"/>
            </w:pPr>
            <w:r w:rsidRPr="000F68B8">
              <w:rPr>
                <w:color w:val="000000"/>
              </w:rPr>
              <w:t>7/1/2025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B340418" w14:textId="5FA56067">
            <w:pPr>
              <w:tabs>
                <w:tab w:val="decimal" w:pos="975"/>
              </w:tabs>
              <w:jc w:val="left"/>
            </w:pPr>
            <w:r w:rsidRPr="000F68B8">
              <w:rPr>
                <w:color w:val="000000"/>
              </w:rPr>
              <w:t xml:space="preserve">1,195,000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58DED13" w14:textId="7A21E12B">
            <w:pPr>
              <w:tabs>
                <w:tab w:val="decimal" w:pos="1185"/>
              </w:tabs>
              <w:jc w:val="left"/>
            </w:pPr>
            <w:r w:rsidRPr="000F68B8">
              <w:rPr>
                <w:color w:val="000000"/>
              </w:rPr>
              <w:t xml:space="preserve">1,017,940,000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0CCE25F" w14:textId="2972CF77">
            <w:pPr>
              <w:tabs>
                <w:tab w:val="decimal" w:pos="330"/>
              </w:tabs>
              <w:jc w:val="left"/>
            </w:pPr>
            <w:r w:rsidRPr="000F68B8">
              <w:rPr>
                <w:color w:val="000000"/>
              </w:rPr>
              <w:t>64.934%</w:t>
            </w:r>
          </w:p>
        </w:tc>
      </w:tr>
      <w:tr w:rsidRPr="002F168A" w:rsidR="000F68B8" w:rsidTr="00921901" w14:paraId="160BD80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8DEB609" w14:textId="7D739B7F">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2FA438C" w14:textId="76EFA40A">
            <w:pPr>
              <w:jc w:val="left"/>
            </w:pPr>
            <w:r w:rsidRPr="000F68B8">
              <w:rPr>
                <w:color w:val="000000"/>
              </w:rPr>
              <w:t>2023 SERIES D-2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5FE2840" w14:textId="53BA468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25B09A5" w14:textId="5B2784CC">
            <w:pPr>
              <w:jc w:val="center"/>
            </w:pPr>
            <w:r w:rsidRPr="000F68B8">
              <w:rPr>
                <w:color w:val="000000"/>
              </w:rPr>
              <w:t>7/1/2026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98DFC72" w14:textId="19B951FD">
            <w:pPr>
              <w:tabs>
                <w:tab w:val="decimal" w:pos="975"/>
              </w:tabs>
              <w:jc w:val="left"/>
            </w:pPr>
            <w:r w:rsidRPr="000F68B8">
              <w:rPr>
                <w:color w:val="000000"/>
              </w:rPr>
              <w:t xml:space="preserve">1,285,000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71A84C5" w14:textId="7198FAF5">
            <w:pPr>
              <w:tabs>
                <w:tab w:val="decimal" w:pos="1185"/>
              </w:tabs>
              <w:jc w:val="left"/>
            </w:pPr>
            <w:r w:rsidRPr="000F68B8">
              <w:rPr>
                <w:color w:val="000000"/>
              </w:rPr>
              <w:t xml:space="preserve">1,019,225,000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F644DDD" w14:textId="4196E4AD">
            <w:pPr>
              <w:tabs>
                <w:tab w:val="decimal" w:pos="330"/>
              </w:tabs>
              <w:jc w:val="left"/>
            </w:pPr>
            <w:r w:rsidRPr="000F68B8">
              <w:rPr>
                <w:color w:val="000000"/>
              </w:rPr>
              <w:t>65.016%</w:t>
            </w:r>
          </w:p>
        </w:tc>
      </w:tr>
      <w:tr w:rsidRPr="002F168A" w:rsidR="000F68B8" w:rsidTr="00921901" w14:paraId="1FD61D2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F6B359F" w14:textId="31BC5D69">
            <w:pPr>
              <w:tabs>
                <w:tab w:val="decimal" w:pos="255"/>
              </w:tabs>
              <w:jc w:val="right"/>
            </w:pPr>
            <w:r w:rsidRPr="000F68B8">
              <w:rPr>
                <w:color w:val="000000"/>
              </w:rPr>
              <w:t xml:space="preserve">4.375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EF4EDA1" w14:textId="41026501">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54CFD4D" w14:textId="4A95B38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59E3535" w14:textId="2A673001">
            <w:pPr>
              <w:jc w:val="center"/>
            </w:pPr>
            <w:r w:rsidRPr="000F68B8">
              <w:rPr>
                <w:color w:val="000000"/>
              </w:rPr>
              <w:t>1/1/2047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16C21F9" w14:textId="006D7C83">
            <w:pPr>
              <w:tabs>
                <w:tab w:val="decimal" w:pos="975"/>
              </w:tabs>
              <w:jc w:val="left"/>
            </w:pPr>
            <w:r w:rsidRPr="000F68B8">
              <w:rPr>
                <w:color w:val="000000"/>
              </w:rPr>
              <w:t xml:space="preserve">20,650,000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C6020B4" w14:textId="6FAF8934">
            <w:pPr>
              <w:tabs>
                <w:tab w:val="decimal" w:pos="1185"/>
              </w:tabs>
              <w:jc w:val="left"/>
            </w:pPr>
            <w:r w:rsidRPr="000F68B8">
              <w:rPr>
                <w:color w:val="000000"/>
              </w:rPr>
              <w:t xml:space="preserve">1,039,875,000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ED36BA9" w14:textId="3D7F0BD0">
            <w:pPr>
              <w:tabs>
                <w:tab w:val="decimal" w:pos="330"/>
              </w:tabs>
              <w:jc w:val="left"/>
            </w:pPr>
            <w:r w:rsidRPr="000F68B8">
              <w:rPr>
                <w:color w:val="000000"/>
              </w:rPr>
              <w:t>66.333%</w:t>
            </w:r>
          </w:p>
        </w:tc>
      </w:tr>
      <w:tr w:rsidRPr="002F168A" w:rsidR="000F68B8" w:rsidTr="00921901" w14:paraId="5510B5D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429CE3D" w14:textId="3104B4F5">
            <w:pPr>
              <w:tabs>
                <w:tab w:val="decimal" w:pos="255"/>
              </w:tabs>
              <w:jc w:val="right"/>
            </w:pPr>
            <w:r w:rsidRPr="000F68B8">
              <w:rPr>
                <w:color w:val="000000"/>
              </w:rPr>
              <w:t xml:space="preserve">4.370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2D9EF47" w14:textId="05B61B49">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DBD26AB" w14:textId="789D9DB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C8170F2" w14:textId="2639ACF4">
            <w:pPr>
              <w:jc w:val="center"/>
            </w:pPr>
            <w:r w:rsidRPr="000F68B8">
              <w:rPr>
                <w:color w:val="000000"/>
              </w:rPr>
              <w:t>7/1/2028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CD6EA60" w14:textId="032FC7B0">
            <w:pPr>
              <w:tabs>
                <w:tab w:val="decimal" w:pos="975"/>
              </w:tabs>
              <w:jc w:val="left"/>
            </w:pPr>
            <w:r w:rsidRPr="000F68B8">
              <w:rPr>
                <w:color w:val="000000"/>
              </w:rPr>
              <w:t xml:space="preserve">1,235,000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BEA4563" w14:textId="03A604A9">
            <w:pPr>
              <w:tabs>
                <w:tab w:val="decimal" w:pos="1185"/>
              </w:tabs>
              <w:jc w:val="left"/>
            </w:pPr>
            <w:r w:rsidRPr="000F68B8">
              <w:rPr>
                <w:color w:val="000000"/>
              </w:rPr>
              <w:t xml:space="preserve">1,041,110,000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57498A5" w14:textId="4CFE6659">
            <w:pPr>
              <w:tabs>
                <w:tab w:val="decimal" w:pos="330"/>
              </w:tabs>
              <w:jc w:val="left"/>
            </w:pPr>
            <w:r w:rsidRPr="000F68B8">
              <w:rPr>
                <w:color w:val="000000"/>
              </w:rPr>
              <w:t>66.412%</w:t>
            </w:r>
          </w:p>
        </w:tc>
      </w:tr>
      <w:tr w:rsidRPr="002F168A" w:rsidR="000F68B8" w:rsidTr="00921901" w14:paraId="47C0AA7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D1C4F38" w14:textId="157D9E2D">
            <w:pPr>
              <w:tabs>
                <w:tab w:val="decimal" w:pos="255"/>
              </w:tabs>
              <w:jc w:val="right"/>
            </w:pPr>
            <w:r w:rsidRPr="000F68B8">
              <w:rPr>
                <w:color w:val="000000"/>
              </w:rPr>
              <w:t xml:space="preserve">4.368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21802F1" w14:textId="063365D7">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E35AB19" w14:textId="0ED7624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BF1A5DD" w14:textId="391C1C02">
            <w:pPr>
              <w:jc w:val="center"/>
            </w:pPr>
            <w:r w:rsidRPr="000F68B8">
              <w:rPr>
                <w:color w:val="000000"/>
              </w:rPr>
              <w:t>1/1/2026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074E992" w14:textId="08D8FB8C">
            <w:pPr>
              <w:tabs>
                <w:tab w:val="decimal" w:pos="975"/>
              </w:tabs>
              <w:jc w:val="left"/>
            </w:pPr>
            <w:r w:rsidRPr="000F68B8">
              <w:rPr>
                <w:color w:val="000000"/>
              </w:rPr>
              <w:t xml:space="preserve">525,000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0318186" w14:textId="5F5A37F7">
            <w:pPr>
              <w:tabs>
                <w:tab w:val="decimal" w:pos="1185"/>
              </w:tabs>
              <w:jc w:val="left"/>
            </w:pPr>
            <w:r w:rsidRPr="000F68B8">
              <w:rPr>
                <w:color w:val="000000"/>
              </w:rPr>
              <w:t xml:space="preserve">1,041,635,000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642B259" w14:textId="344780BA">
            <w:pPr>
              <w:tabs>
                <w:tab w:val="decimal" w:pos="330"/>
              </w:tabs>
              <w:jc w:val="left"/>
            </w:pPr>
            <w:r w:rsidRPr="000F68B8">
              <w:rPr>
                <w:color w:val="000000"/>
              </w:rPr>
              <w:t>66.446%</w:t>
            </w:r>
          </w:p>
        </w:tc>
      </w:tr>
      <w:tr w:rsidRPr="002F168A" w:rsidR="000F68B8" w:rsidTr="00921901" w14:paraId="001801A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5579C69" w14:textId="52B6F1EB">
            <w:pPr>
              <w:tabs>
                <w:tab w:val="decimal" w:pos="255"/>
              </w:tabs>
              <w:jc w:val="right"/>
            </w:pPr>
            <w:r w:rsidRPr="000F68B8">
              <w:rPr>
                <w:color w:val="000000"/>
              </w:rPr>
              <w:t xml:space="preserve">4.350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D18364B" w14:textId="517563F6">
            <w:pPr>
              <w:jc w:val="left"/>
            </w:pPr>
            <w:r w:rsidRPr="000F68B8">
              <w:rPr>
                <w:color w:val="000000"/>
              </w:rPr>
              <w:t>2022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4E7C665" w14:textId="1C0F51C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AB2E0CA" w14:textId="5DC43C6D">
            <w:pPr>
              <w:jc w:val="center"/>
            </w:pPr>
            <w:r w:rsidRPr="000F68B8">
              <w:rPr>
                <w:color w:val="000000"/>
              </w:rPr>
              <w:t>7/1/2037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B6685E3" w14:textId="64C3279B">
            <w:pPr>
              <w:tabs>
                <w:tab w:val="decimal" w:pos="975"/>
              </w:tabs>
              <w:jc w:val="left"/>
            </w:pPr>
            <w:r w:rsidRPr="000F68B8">
              <w:rPr>
                <w:color w:val="000000"/>
              </w:rPr>
              <w:t xml:space="preserve">12,570,000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72B53DF" w14:textId="1E860B52">
            <w:pPr>
              <w:tabs>
                <w:tab w:val="decimal" w:pos="1185"/>
              </w:tabs>
              <w:jc w:val="left"/>
            </w:pPr>
            <w:r w:rsidRPr="000F68B8">
              <w:rPr>
                <w:color w:val="000000"/>
              </w:rPr>
              <w:t xml:space="preserve">1,054,205,000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43D55F9" w14:textId="5AF877B1">
            <w:pPr>
              <w:tabs>
                <w:tab w:val="decimal" w:pos="330"/>
              </w:tabs>
              <w:jc w:val="left"/>
            </w:pPr>
            <w:r w:rsidRPr="000F68B8">
              <w:rPr>
                <w:color w:val="000000"/>
              </w:rPr>
              <w:t>67.247%</w:t>
            </w:r>
          </w:p>
        </w:tc>
      </w:tr>
      <w:tr w:rsidRPr="002F168A" w:rsidR="000F68B8" w:rsidTr="00921901" w14:paraId="129DC116"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40364F7" w14:textId="4F6BB01E">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1452BA8" w14:textId="5C6A1813">
            <w:pPr>
              <w:jc w:val="left"/>
            </w:pPr>
            <w:r w:rsidRPr="000F68B8">
              <w:rPr>
                <w:color w:val="000000"/>
              </w:rPr>
              <w:t>2023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5A87790" w14:textId="2DF81EA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AFFBD9C" w14:textId="0D4766E8">
            <w:pPr>
              <w:jc w:val="center"/>
            </w:pPr>
            <w:r w:rsidRPr="000F68B8">
              <w:rPr>
                <w:color w:val="000000"/>
              </w:rPr>
              <w:t>7/1/2043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019D701" w14:textId="4D8EF1EC">
            <w:pPr>
              <w:tabs>
                <w:tab w:val="decimal" w:pos="975"/>
              </w:tabs>
              <w:jc w:val="left"/>
            </w:pPr>
            <w:r w:rsidRPr="000F68B8">
              <w:rPr>
                <w:color w:val="000000"/>
              </w:rPr>
              <w:t xml:space="preserve">7,690,000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A59DFDB" w14:textId="62043589">
            <w:pPr>
              <w:tabs>
                <w:tab w:val="decimal" w:pos="1185"/>
              </w:tabs>
              <w:jc w:val="left"/>
            </w:pPr>
            <w:r w:rsidRPr="000F68B8">
              <w:rPr>
                <w:color w:val="000000"/>
              </w:rPr>
              <w:t xml:space="preserve">1,061,895,000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4EDD1FD" w14:textId="7AE05416">
            <w:pPr>
              <w:tabs>
                <w:tab w:val="decimal" w:pos="330"/>
              </w:tabs>
              <w:jc w:val="left"/>
            </w:pPr>
            <w:r w:rsidRPr="000F68B8">
              <w:rPr>
                <w:color w:val="000000"/>
              </w:rPr>
              <w:t>67.738%</w:t>
            </w:r>
          </w:p>
        </w:tc>
      </w:tr>
      <w:tr w:rsidRPr="002F168A" w:rsidR="000F68B8" w:rsidTr="00921901" w14:paraId="22377CF9"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9052B3B" w14:textId="7150506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6583FC9" w14:textId="13589E24">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293FB8D" w14:textId="195DED7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22641E3" w14:textId="442198A4">
            <w:pPr>
              <w:jc w:val="center"/>
            </w:pPr>
            <w:r w:rsidRPr="000F68B8">
              <w:rPr>
                <w:color w:val="000000"/>
              </w:rPr>
              <w:t>1/1/2030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0BA905B" w14:textId="089CEF61">
            <w:pPr>
              <w:tabs>
                <w:tab w:val="decimal" w:pos="975"/>
              </w:tabs>
              <w:jc w:val="left"/>
            </w:pPr>
            <w:r w:rsidRPr="000F68B8">
              <w:rPr>
                <w:color w:val="000000"/>
              </w:rPr>
              <w:t xml:space="preserve">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040ECAB" w14:textId="6F327610">
            <w:pPr>
              <w:tabs>
                <w:tab w:val="decimal" w:pos="1185"/>
              </w:tabs>
              <w:jc w:val="left"/>
            </w:pPr>
            <w:r w:rsidRPr="000F68B8">
              <w:rPr>
                <w:color w:val="000000"/>
              </w:rPr>
              <w:t xml:space="preserve">1,061,970,000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5C42E78" w14:textId="1DECB13E">
            <w:pPr>
              <w:tabs>
                <w:tab w:val="decimal" w:pos="330"/>
              </w:tabs>
              <w:jc w:val="left"/>
            </w:pPr>
            <w:r w:rsidRPr="000F68B8">
              <w:rPr>
                <w:color w:val="000000"/>
              </w:rPr>
              <w:t>67.743%</w:t>
            </w:r>
          </w:p>
        </w:tc>
      </w:tr>
      <w:tr w:rsidRPr="002F168A" w:rsidR="000F68B8" w:rsidTr="00921901" w14:paraId="4B73482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5C22BF5" w14:textId="31287F24">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51D2521" w14:textId="21564A0D">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A2635A3" w14:textId="6A7C02D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6E46F1A" w14:textId="38D7F2EA">
            <w:pPr>
              <w:jc w:val="center"/>
            </w:pPr>
            <w:r w:rsidRPr="000F68B8">
              <w:rPr>
                <w:color w:val="000000"/>
              </w:rPr>
              <w:t>7/1/2030</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4871DD3" w14:textId="52ED9A8B">
            <w:pPr>
              <w:tabs>
                <w:tab w:val="decimal" w:pos="975"/>
              </w:tabs>
              <w:jc w:val="left"/>
            </w:pPr>
            <w:r w:rsidRPr="000F68B8">
              <w:rPr>
                <w:color w:val="000000"/>
              </w:rPr>
              <w:t xml:space="preserve">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E8FF85A" w14:textId="652A40BD">
            <w:pPr>
              <w:tabs>
                <w:tab w:val="decimal" w:pos="1185"/>
              </w:tabs>
              <w:jc w:val="left"/>
            </w:pPr>
            <w:r w:rsidRPr="000F68B8">
              <w:rPr>
                <w:color w:val="000000"/>
              </w:rPr>
              <w:t xml:space="preserve">1,062,065,000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4376039" w14:textId="0580CB4D">
            <w:pPr>
              <w:tabs>
                <w:tab w:val="decimal" w:pos="330"/>
              </w:tabs>
              <w:jc w:val="left"/>
            </w:pPr>
            <w:r w:rsidRPr="000F68B8">
              <w:rPr>
                <w:color w:val="000000"/>
              </w:rPr>
              <w:t>67.749%</w:t>
            </w:r>
          </w:p>
        </w:tc>
      </w:tr>
      <w:tr w:rsidRPr="002F168A" w:rsidR="000F68B8" w:rsidTr="00921901" w14:paraId="7D7616C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0A37A53" w14:textId="65C143F9">
            <w:pPr>
              <w:tabs>
                <w:tab w:val="decimal" w:pos="255"/>
              </w:tabs>
              <w:jc w:val="right"/>
            </w:pPr>
            <w:r w:rsidRPr="000F68B8">
              <w:rPr>
                <w:color w:val="000000"/>
              </w:rPr>
              <w:t xml:space="preserve">4.330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A98958C" w14:textId="358F05A1">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AADFC12" w14:textId="58150DB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FABFAB5" w14:textId="362C3322">
            <w:pPr>
              <w:jc w:val="center"/>
            </w:pPr>
            <w:r w:rsidRPr="000F68B8">
              <w:rPr>
                <w:color w:val="000000"/>
              </w:rPr>
              <w:t>7/1/2025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3BDC620" w14:textId="765C7B4B">
            <w:pPr>
              <w:tabs>
                <w:tab w:val="decimal" w:pos="975"/>
              </w:tabs>
              <w:jc w:val="left"/>
            </w:pPr>
            <w:r w:rsidRPr="000F68B8">
              <w:rPr>
                <w:color w:val="000000"/>
              </w:rPr>
              <w:t xml:space="preserve">505,000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2668154" w14:textId="0779BD1D">
            <w:pPr>
              <w:tabs>
                <w:tab w:val="decimal" w:pos="1185"/>
              </w:tabs>
              <w:jc w:val="left"/>
            </w:pPr>
            <w:r w:rsidRPr="000F68B8">
              <w:rPr>
                <w:color w:val="000000"/>
              </w:rPr>
              <w:t xml:space="preserve">1,062,570,000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17C6D33" w14:textId="68A53D33">
            <w:pPr>
              <w:tabs>
                <w:tab w:val="decimal" w:pos="330"/>
              </w:tabs>
              <w:jc w:val="left"/>
            </w:pPr>
            <w:r w:rsidRPr="000F68B8">
              <w:rPr>
                <w:color w:val="000000"/>
              </w:rPr>
              <w:t>67.781%</w:t>
            </w:r>
          </w:p>
        </w:tc>
      </w:tr>
      <w:tr w:rsidRPr="002F168A" w:rsidR="000F68B8" w:rsidTr="00921901" w14:paraId="2DF7187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65443DB" w14:textId="0054802E">
            <w:pPr>
              <w:tabs>
                <w:tab w:val="decimal" w:pos="255"/>
              </w:tabs>
              <w:jc w:val="right"/>
            </w:pPr>
            <w:r w:rsidRPr="000F68B8">
              <w:rPr>
                <w:color w:val="000000"/>
              </w:rPr>
              <w:t xml:space="preserve">4.300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9BBFCB4" w14:textId="5133431F">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BDA5E8F" w14:textId="59F0F67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36A4D45" w14:textId="5119C765">
            <w:pPr>
              <w:jc w:val="center"/>
            </w:pPr>
            <w:r w:rsidRPr="000F68B8">
              <w:rPr>
                <w:color w:val="000000"/>
              </w:rPr>
              <w:t>7/1/2042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023282F" w14:textId="39532F34">
            <w:pPr>
              <w:tabs>
                <w:tab w:val="decimal" w:pos="975"/>
              </w:tabs>
              <w:jc w:val="left"/>
            </w:pPr>
            <w:r w:rsidRPr="000F68B8">
              <w:rPr>
                <w:color w:val="000000"/>
              </w:rPr>
              <w:t xml:space="preserve">19,110,000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FC95DEE" w14:textId="7E093DDA">
            <w:pPr>
              <w:tabs>
                <w:tab w:val="decimal" w:pos="1185"/>
              </w:tabs>
              <w:jc w:val="left"/>
            </w:pPr>
            <w:r w:rsidRPr="000F68B8">
              <w:rPr>
                <w:color w:val="000000"/>
              </w:rPr>
              <w:t xml:space="preserve">1,081,680,000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B25388C" w14:textId="279EEBF8">
            <w:pPr>
              <w:tabs>
                <w:tab w:val="decimal" w:pos="330"/>
              </w:tabs>
              <w:jc w:val="left"/>
            </w:pPr>
            <w:r w:rsidRPr="000F68B8">
              <w:rPr>
                <w:color w:val="000000"/>
              </w:rPr>
              <w:t>69.000%</w:t>
            </w:r>
          </w:p>
        </w:tc>
      </w:tr>
      <w:tr w:rsidRPr="002F168A" w:rsidR="000F68B8" w:rsidTr="00921901" w14:paraId="387CA5D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B72839D" w14:textId="44C6163D">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3301DEF" w14:textId="21162872">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7F95C6D" w14:textId="7062B4C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45B8C27" w14:textId="4C294391">
            <w:pPr>
              <w:jc w:val="center"/>
            </w:pPr>
            <w:r w:rsidRPr="000F68B8">
              <w:rPr>
                <w:color w:val="000000"/>
              </w:rPr>
              <w:t>1/1/2028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71C83BE" w14:textId="0E4AA8C4">
            <w:pPr>
              <w:tabs>
                <w:tab w:val="decimal" w:pos="975"/>
              </w:tabs>
              <w:jc w:val="left"/>
            </w:pPr>
            <w:r w:rsidRPr="000F68B8">
              <w:rPr>
                <w:color w:val="000000"/>
              </w:rPr>
              <w:t xml:space="preserve">1,195,000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BF6E61D" w14:textId="66A7780B">
            <w:pPr>
              <w:tabs>
                <w:tab w:val="decimal" w:pos="1185"/>
              </w:tabs>
              <w:jc w:val="left"/>
            </w:pPr>
            <w:r w:rsidRPr="000F68B8">
              <w:rPr>
                <w:color w:val="000000"/>
              </w:rPr>
              <w:t xml:space="preserve">1,082,875,000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9E6DB6C" w14:textId="29058B2F">
            <w:pPr>
              <w:tabs>
                <w:tab w:val="decimal" w:pos="330"/>
              </w:tabs>
              <w:jc w:val="left"/>
            </w:pPr>
            <w:r w:rsidRPr="000F68B8">
              <w:rPr>
                <w:color w:val="000000"/>
              </w:rPr>
              <w:t>69.076%</w:t>
            </w:r>
          </w:p>
        </w:tc>
      </w:tr>
      <w:tr w:rsidRPr="002F168A" w:rsidR="000F68B8" w:rsidTr="00921901" w14:paraId="1FA36EF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0F3CAC8" w14:textId="7E4FFE7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3B716AD" w14:textId="11446DFB">
            <w:pPr>
              <w:jc w:val="left"/>
            </w:pPr>
            <w:r w:rsidRPr="000F68B8">
              <w:rPr>
                <w:color w:val="000000"/>
              </w:rPr>
              <w:t>2023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1EDB147" w14:textId="3167C03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6B6E71A" w14:textId="58541AD3">
            <w:pPr>
              <w:jc w:val="center"/>
            </w:pPr>
            <w:r w:rsidRPr="000F68B8">
              <w:rPr>
                <w:color w:val="000000"/>
              </w:rPr>
              <w:t>7/1/2038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1CCC961" w14:textId="60DDDF2C">
            <w:pPr>
              <w:tabs>
                <w:tab w:val="decimal" w:pos="975"/>
              </w:tabs>
              <w:jc w:val="left"/>
            </w:pPr>
            <w:r w:rsidRPr="000F68B8">
              <w:rPr>
                <w:color w:val="000000"/>
              </w:rPr>
              <w:t xml:space="preserve">5,310,000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8566EAD" w14:textId="137D15F0">
            <w:pPr>
              <w:tabs>
                <w:tab w:val="decimal" w:pos="1185"/>
              </w:tabs>
              <w:jc w:val="left"/>
            </w:pPr>
            <w:r w:rsidRPr="000F68B8">
              <w:rPr>
                <w:color w:val="000000"/>
              </w:rPr>
              <w:t xml:space="preserve">1,088,185,000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6E08D8E" w14:textId="65E4C911">
            <w:pPr>
              <w:tabs>
                <w:tab w:val="decimal" w:pos="330"/>
              </w:tabs>
              <w:jc w:val="left"/>
            </w:pPr>
            <w:r w:rsidRPr="000F68B8">
              <w:rPr>
                <w:color w:val="000000"/>
              </w:rPr>
              <w:t>69.415%</w:t>
            </w:r>
          </w:p>
        </w:tc>
      </w:tr>
      <w:tr w:rsidRPr="002F168A" w:rsidR="000F68B8" w:rsidTr="00921901" w14:paraId="29753C8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BE475E8" w14:textId="5DE247CA">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68C3B5E" w14:textId="5E28DFE8">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CCE692E" w14:textId="1638B84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5A5CFFF" w14:textId="6A40A1BB">
            <w:pPr>
              <w:jc w:val="center"/>
            </w:pPr>
            <w:r w:rsidRPr="000F68B8">
              <w:rPr>
                <w:color w:val="000000"/>
              </w:rPr>
              <w:t>7/1/2029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5292BA6" w14:textId="044DFB60">
            <w:pPr>
              <w:tabs>
                <w:tab w:val="decimal" w:pos="975"/>
              </w:tabs>
              <w:jc w:val="left"/>
            </w:pPr>
            <w:r w:rsidRPr="000F68B8">
              <w:rPr>
                <w:color w:val="000000"/>
              </w:rPr>
              <w:t xml:space="preserve">60,000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77C5A1E" w14:textId="32177B5C">
            <w:pPr>
              <w:tabs>
                <w:tab w:val="decimal" w:pos="1185"/>
              </w:tabs>
              <w:jc w:val="left"/>
            </w:pPr>
            <w:r w:rsidRPr="000F68B8">
              <w:rPr>
                <w:color w:val="000000"/>
              </w:rPr>
              <w:t xml:space="preserve">1,088,245,000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89A106E" w14:textId="1D3FB70B">
            <w:pPr>
              <w:tabs>
                <w:tab w:val="decimal" w:pos="330"/>
              </w:tabs>
              <w:jc w:val="left"/>
            </w:pPr>
            <w:r w:rsidRPr="000F68B8">
              <w:rPr>
                <w:color w:val="000000"/>
              </w:rPr>
              <w:t>69.419%</w:t>
            </w:r>
          </w:p>
        </w:tc>
      </w:tr>
      <w:tr w:rsidRPr="002F168A" w:rsidR="000F68B8" w:rsidTr="00921901" w14:paraId="25D57F1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19EF3F6" w14:textId="2045C92C">
            <w:pPr>
              <w:tabs>
                <w:tab w:val="decimal" w:pos="255"/>
              </w:tabs>
              <w:jc w:val="right"/>
            </w:pPr>
            <w:r w:rsidRPr="000F68B8">
              <w:rPr>
                <w:color w:val="000000"/>
              </w:rPr>
              <w:t xml:space="preserve">4.280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A01E8B4" w14:textId="085DF602">
            <w:pPr>
              <w:jc w:val="left"/>
            </w:pPr>
            <w:r w:rsidRPr="000F68B8">
              <w:rPr>
                <w:color w:val="000000"/>
              </w:rPr>
              <w:t>2023 SERIES A-2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6490E0B" w14:textId="6967EC6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BAC8EDE" w14:textId="4DD57CCC">
            <w:pPr>
              <w:jc w:val="center"/>
            </w:pPr>
            <w:r w:rsidRPr="000F68B8">
              <w:rPr>
                <w:color w:val="000000"/>
              </w:rPr>
              <w:t>1/1/2025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5F1B071" w14:textId="553D9CA5">
            <w:pPr>
              <w:tabs>
                <w:tab w:val="decimal" w:pos="975"/>
              </w:tabs>
              <w:jc w:val="left"/>
            </w:pPr>
            <w:r w:rsidRPr="000F68B8">
              <w:rPr>
                <w:color w:val="000000"/>
              </w:rPr>
              <w:t xml:space="preserve">490,000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40AB812" w14:textId="57F55B6C">
            <w:pPr>
              <w:tabs>
                <w:tab w:val="decimal" w:pos="1185"/>
              </w:tabs>
              <w:jc w:val="left"/>
            </w:pPr>
            <w:r w:rsidRPr="000F68B8">
              <w:rPr>
                <w:color w:val="000000"/>
              </w:rPr>
              <w:t xml:space="preserve">1,088,735,000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A4435EB" w14:textId="1DE032C6">
            <w:pPr>
              <w:tabs>
                <w:tab w:val="decimal" w:pos="330"/>
              </w:tabs>
              <w:jc w:val="left"/>
            </w:pPr>
            <w:r w:rsidRPr="000F68B8">
              <w:rPr>
                <w:color w:val="000000"/>
              </w:rPr>
              <w:t>69.450%</w:t>
            </w:r>
          </w:p>
        </w:tc>
      </w:tr>
      <w:tr w:rsidRPr="002F168A" w:rsidR="000F68B8" w:rsidTr="00921901" w14:paraId="7374EAA6"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A7985FA" w14:textId="2394B7F8">
            <w:pPr>
              <w:tabs>
                <w:tab w:val="decimal" w:pos="255"/>
              </w:tabs>
              <w:jc w:val="right"/>
            </w:pPr>
            <w:r w:rsidRPr="000F68B8">
              <w:rPr>
                <w:color w:val="000000"/>
              </w:rPr>
              <w:t xml:space="preserve">4.250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3157B85" w14:textId="558295F6">
            <w:pPr>
              <w:jc w:val="left"/>
            </w:pPr>
            <w:r w:rsidRPr="000F68B8">
              <w:rPr>
                <w:color w:val="000000"/>
              </w:rPr>
              <w:t>2019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A3083E5" w14:textId="5FB2F23A">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240B54B" w14:textId="2B0BBF8B">
            <w:pPr>
              <w:jc w:val="center"/>
            </w:pPr>
            <w:r w:rsidRPr="000F68B8">
              <w:rPr>
                <w:color w:val="000000"/>
              </w:rPr>
              <w:t>7/1/2048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777D491" w14:textId="60C79467">
            <w:pPr>
              <w:tabs>
                <w:tab w:val="decimal" w:pos="975"/>
              </w:tabs>
              <w:jc w:val="left"/>
            </w:pPr>
            <w:r w:rsidRPr="000F68B8">
              <w:rPr>
                <w:color w:val="000000"/>
              </w:rPr>
              <w:t xml:space="preserve">6,150,000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B227BBD" w14:textId="6BD9443A">
            <w:pPr>
              <w:tabs>
                <w:tab w:val="decimal" w:pos="1185"/>
              </w:tabs>
              <w:jc w:val="left"/>
            </w:pPr>
            <w:r w:rsidRPr="000F68B8">
              <w:rPr>
                <w:color w:val="000000"/>
              </w:rPr>
              <w:t xml:space="preserve">1,094,885,000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4F2034A" w14:textId="0DB133C1">
            <w:pPr>
              <w:tabs>
                <w:tab w:val="decimal" w:pos="330"/>
              </w:tabs>
              <w:jc w:val="left"/>
            </w:pPr>
            <w:r w:rsidRPr="000F68B8">
              <w:rPr>
                <w:color w:val="000000"/>
              </w:rPr>
              <w:t>69.842%</w:t>
            </w:r>
          </w:p>
        </w:tc>
      </w:tr>
      <w:tr w:rsidRPr="002F168A" w:rsidR="000F68B8" w:rsidTr="00921901" w14:paraId="68D6EEA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75AC80E" w14:textId="1B626EC0">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0B9B4B4" w14:textId="146BB434">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F561B49" w14:textId="77DEA44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5617457" w14:textId="6CC8200B">
            <w:pPr>
              <w:jc w:val="center"/>
            </w:pPr>
            <w:r w:rsidRPr="000F68B8">
              <w:rPr>
                <w:color w:val="000000"/>
              </w:rPr>
              <w:t>1/1/2029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6B92FFB" w14:textId="799ED078">
            <w:pPr>
              <w:tabs>
                <w:tab w:val="decimal" w:pos="975"/>
              </w:tabs>
              <w:jc w:val="left"/>
            </w:pPr>
            <w:r w:rsidRPr="000F68B8">
              <w:rPr>
                <w:color w:val="000000"/>
              </w:rPr>
              <w:t xml:space="preserve">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9728C1E" w14:textId="7A3DD64E">
            <w:pPr>
              <w:tabs>
                <w:tab w:val="decimal" w:pos="1185"/>
              </w:tabs>
              <w:jc w:val="left"/>
            </w:pPr>
            <w:r w:rsidRPr="000F68B8">
              <w:rPr>
                <w:color w:val="000000"/>
              </w:rPr>
              <w:t xml:space="preserve">1,094,935,000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A76563B" w14:textId="4959015C">
            <w:pPr>
              <w:tabs>
                <w:tab w:val="decimal" w:pos="330"/>
              </w:tabs>
              <w:jc w:val="left"/>
            </w:pPr>
            <w:r w:rsidRPr="000F68B8">
              <w:rPr>
                <w:color w:val="000000"/>
              </w:rPr>
              <w:t>69.846%</w:t>
            </w:r>
          </w:p>
        </w:tc>
      </w:tr>
      <w:tr w:rsidRPr="002F168A" w:rsidR="000F68B8" w:rsidTr="00921901" w14:paraId="1D89211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88F2324" w14:textId="61C85124">
            <w:pPr>
              <w:tabs>
                <w:tab w:val="decimal" w:pos="255"/>
              </w:tabs>
              <w:jc w:val="right"/>
            </w:pPr>
            <w:r w:rsidRPr="000F68B8">
              <w:rPr>
                <w:color w:val="000000"/>
              </w:rPr>
              <w:t xml:space="preserve">4.210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643C9B6" w14:textId="5705272E">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19E1659" w14:textId="76F6AA0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8CC15E6" w14:textId="24E8A2FC">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870C98E" w14:textId="69F8081D">
            <w:pPr>
              <w:tabs>
                <w:tab w:val="decimal" w:pos="975"/>
              </w:tabs>
              <w:jc w:val="left"/>
            </w:pPr>
            <w:r w:rsidRPr="000F68B8">
              <w:rPr>
                <w:color w:val="000000"/>
              </w:rPr>
              <w:t xml:space="preserve">1,165,000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9F144D8" w14:textId="4C5A8DC6">
            <w:pPr>
              <w:tabs>
                <w:tab w:val="decimal" w:pos="1185"/>
              </w:tabs>
              <w:jc w:val="left"/>
            </w:pPr>
            <w:r w:rsidRPr="000F68B8">
              <w:rPr>
                <w:color w:val="000000"/>
              </w:rPr>
              <w:t xml:space="preserve">1,096,100,000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7EB00C3" w14:textId="7427756A">
            <w:pPr>
              <w:tabs>
                <w:tab w:val="decimal" w:pos="330"/>
              </w:tabs>
              <w:jc w:val="left"/>
            </w:pPr>
            <w:r w:rsidRPr="000F68B8">
              <w:rPr>
                <w:color w:val="000000"/>
              </w:rPr>
              <w:t>69.920%</w:t>
            </w:r>
          </w:p>
        </w:tc>
      </w:tr>
      <w:tr w:rsidRPr="002F168A" w:rsidR="000F68B8" w:rsidTr="00921901" w14:paraId="7F2CAD09"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0C6560E" w14:textId="427A611E">
            <w:pPr>
              <w:tabs>
                <w:tab w:val="decimal" w:pos="255"/>
              </w:tabs>
              <w:jc w:val="right"/>
            </w:pPr>
            <w:r w:rsidRPr="000F68B8">
              <w:rPr>
                <w:color w:val="000000"/>
              </w:rPr>
              <w:t xml:space="preserve">4.160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3E01880" w14:textId="1889B836">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718AFEF" w14:textId="7B009BB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9221799" w14:textId="12DAFE85">
            <w:pPr>
              <w:jc w:val="center"/>
            </w:pPr>
            <w:r w:rsidRPr="000F68B8">
              <w:rPr>
                <w:color w:val="000000"/>
              </w:rPr>
              <w:t>1/1/2027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BF03621" w14:textId="4895285C">
            <w:pPr>
              <w:tabs>
                <w:tab w:val="decimal" w:pos="975"/>
              </w:tabs>
              <w:jc w:val="left"/>
            </w:pPr>
            <w:r w:rsidRPr="000F68B8">
              <w:rPr>
                <w:color w:val="000000"/>
              </w:rPr>
              <w:t xml:space="preserve">1,140,000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95958E5" w14:textId="5CE7EC02">
            <w:pPr>
              <w:tabs>
                <w:tab w:val="decimal" w:pos="1185"/>
              </w:tabs>
              <w:jc w:val="left"/>
            </w:pPr>
            <w:r w:rsidRPr="000F68B8">
              <w:rPr>
                <w:color w:val="000000"/>
              </w:rPr>
              <w:t xml:space="preserve">1,097,240,000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3B418EB" w14:textId="5ABF6F32">
            <w:pPr>
              <w:tabs>
                <w:tab w:val="decimal" w:pos="330"/>
              </w:tabs>
              <w:jc w:val="left"/>
            </w:pPr>
            <w:r w:rsidRPr="000F68B8">
              <w:rPr>
                <w:color w:val="000000"/>
              </w:rPr>
              <w:t>69.993%</w:t>
            </w:r>
          </w:p>
        </w:tc>
      </w:tr>
      <w:tr w:rsidRPr="002F168A" w:rsidR="000F68B8" w:rsidTr="00921901" w14:paraId="0A0CC9C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FF71EEA" w14:textId="6C3C7C38">
            <w:pPr>
              <w:tabs>
                <w:tab w:val="decimal" w:pos="255"/>
              </w:tabs>
              <w:jc w:val="right"/>
            </w:pPr>
            <w:r w:rsidRPr="000F68B8">
              <w:rPr>
                <w:color w:val="000000"/>
              </w:rPr>
              <w:t xml:space="preserve">4.150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669DF88" w14:textId="4388410F">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6B14D3B" w14:textId="4C3328B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AECAEC4" w14:textId="49CDDAA7">
            <w:pPr>
              <w:jc w:val="center"/>
            </w:pPr>
            <w:r w:rsidRPr="000F68B8">
              <w:rPr>
                <w:color w:val="000000"/>
              </w:rPr>
              <w:t>7/1/2037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4F98958" w14:textId="24E9C36E">
            <w:pPr>
              <w:tabs>
                <w:tab w:val="decimal" w:pos="975"/>
              </w:tabs>
              <w:jc w:val="left"/>
            </w:pPr>
            <w:r w:rsidRPr="000F68B8">
              <w:rPr>
                <w:color w:val="000000"/>
              </w:rPr>
              <w:t xml:space="preserve">10,255,000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416BD6D" w14:textId="5CDB872D">
            <w:pPr>
              <w:tabs>
                <w:tab w:val="decimal" w:pos="1185"/>
              </w:tabs>
              <w:jc w:val="left"/>
            </w:pPr>
            <w:r w:rsidRPr="000F68B8">
              <w:rPr>
                <w:color w:val="000000"/>
              </w:rPr>
              <w:t xml:space="preserve">1,107,495,000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76DCAE0" w14:textId="5CE7755A">
            <w:pPr>
              <w:tabs>
                <w:tab w:val="decimal" w:pos="330"/>
              </w:tabs>
              <w:jc w:val="left"/>
            </w:pPr>
            <w:r w:rsidRPr="000F68B8">
              <w:rPr>
                <w:color w:val="000000"/>
              </w:rPr>
              <w:t>70.647%</w:t>
            </w:r>
          </w:p>
        </w:tc>
      </w:tr>
      <w:tr w:rsidRPr="002F168A" w:rsidR="000F68B8" w:rsidTr="00921901" w14:paraId="2DAC085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7A54E9A" w14:textId="677670B2">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BC54117" w14:textId="4B057DC3">
            <w:pPr>
              <w:jc w:val="left"/>
            </w:pPr>
            <w:r w:rsidRPr="000F68B8">
              <w:rPr>
                <w:color w:val="000000"/>
              </w:rPr>
              <w:t>2022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95ECC59" w14:textId="1466E1D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4D246A1" w14:textId="2A7E0DD9">
            <w:pPr>
              <w:jc w:val="center"/>
            </w:pPr>
            <w:r w:rsidRPr="000F68B8">
              <w:rPr>
                <w:color w:val="000000"/>
              </w:rPr>
              <w:t>1/1/2034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1EC4F3B" w14:textId="12A9C1FC">
            <w:pPr>
              <w:tabs>
                <w:tab w:val="decimal" w:pos="975"/>
              </w:tabs>
              <w:jc w:val="left"/>
            </w:pPr>
            <w:r w:rsidRPr="000F68B8">
              <w:rPr>
                <w:color w:val="000000"/>
              </w:rPr>
              <w:t xml:space="preserve">1,820,000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1A83B83" w14:textId="75EEE389">
            <w:pPr>
              <w:tabs>
                <w:tab w:val="decimal" w:pos="1185"/>
              </w:tabs>
              <w:jc w:val="left"/>
            </w:pPr>
            <w:r w:rsidRPr="000F68B8">
              <w:rPr>
                <w:color w:val="000000"/>
              </w:rPr>
              <w:t xml:space="preserve">1,109,315,000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DFFE976" w14:textId="7DFC4D1F">
            <w:pPr>
              <w:tabs>
                <w:tab w:val="decimal" w:pos="330"/>
              </w:tabs>
              <w:jc w:val="left"/>
            </w:pPr>
            <w:r w:rsidRPr="000F68B8">
              <w:rPr>
                <w:color w:val="000000"/>
              </w:rPr>
              <w:t>70.763%</w:t>
            </w:r>
          </w:p>
        </w:tc>
      </w:tr>
      <w:tr w:rsidRPr="002F168A" w:rsidR="000F68B8" w:rsidTr="00921901" w14:paraId="49AA75B6"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BC7EAF6" w14:textId="45CE3C59">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F8DA98B" w14:textId="6DE1E8D5">
            <w:pPr>
              <w:jc w:val="left"/>
            </w:pPr>
            <w:r w:rsidRPr="000F68B8">
              <w:rPr>
                <w:color w:val="000000"/>
              </w:rPr>
              <w:t>2022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8AE32F4" w14:textId="2C37F09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DE5A56A" w14:textId="53191655">
            <w:pPr>
              <w:jc w:val="center"/>
            </w:pPr>
            <w:r w:rsidRPr="000F68B8">
              <w:rPr>
                <w:color w:val="000000"/>
              </w:rPr>
              <w:t>7/1/2034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E07A733" w14:textId="4260B5EA">
            <w:pPr>
              <w:tabs>
                <w:tab w:val="decimal" w:pos="975"/>
              </w:tabs>
              <w:jc w:val="left"/>
            </w:pPr>
            <w:r w:rsidRPr="000F68B8">
              <w:rPr>
                <w:color w:val="000000"/>
              </w:rPr>
              <w:t xml:space="preserve">1,875,000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6A64B9D" w14:textId="2453F2DD">
            <w:pPr>
              <w:tabs>
                <w:tab w:val="decimal" w:pos="1185"/>
              </w:tabs>
              <w:jc w:val="left"/>
            </w:pPr>
            <w:r w:rsidRPr="000F68B8">
              <w:rPr>
                <w:color w:val="000000"/>
              </w:rPr>
              <w:t xml:space="preserve">1,111,190,000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4AF71B8" w14:textId="33DFB6FE">
            <w:pPr>
              <w:tabs>
                <w:tab w:val="decimal" w:pos="330"/>
              </w:tabs>
              <w:jc w:val="left"/>
            </w:pPr>
            <w:r w:rsidRPr="000F68B8">
              <w:rPr>
                <w:color w:val="000000"/>
              </w:rPr>
              <w:t>70.883%</w:t>
            </w:r>
          </w:p>
        </w:tc>
      </w:tr>
      <w:tr w:rsidRPr="002F168A" w:rsidR="000F68B8" w:rsidTr="00921901" w14:paraId="7ACECA16"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B72A71A" w14:textId="13EDFA73">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8815E12" w14:textId="487CD53A">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602B945" w14:textId="34F90F1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18A7902" w14:textId="6ED8DACE">
            <w:pPr>
              <w:jc w:val="center"/>
            </w:pPr>
            <w:r w:rsidRPr="000F68B8">
              <w:rPr>
                <w:color w:val="000000"/>
              </w:rPr>
              <w:t>1/1/2028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85145F9" w14:textId="578D00CF">
            <w:pPr>
              <w:tabs>
                <w:tab w:val="decimal" w:pos="975"/>
              </w:tabs>
              <w:jc w:val="left"/>
            </w:pPr>
            <w:r w:rsidRPr="000F68B8">
              <w:rPr>
                <w:color w:val="000000"/>
              </w:rPr>
              <w:t xml:space="preserve">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0F6523A" w14:textId="56821523">
            <w:pPr>
              <w:tabs>
                <w:tab w:val="decimal" w:pos="1185"/>
              </w:tabs>
              <w:jc w:val="left"/>
            </w:pPr>
            <w:r w:rsidRPr="000F68B8">
              <w:rPr>
                <w:color w:val="000000"/>
              </w:rPr>
              <w:t xml:space="preserve">1,111,230,000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4BD3CB5" w14:textId="38C8F849">
            <w:pPr>
              <w:tabs>
                <w:tab w:val="decimal" w:pos="330"/>
              </w:tabs>
              <w:jc w:val="left"/>
            </w:pPr>
            <w:r w:rsidRPr="000F68B8">
              <w:rPr>
                <w:color w:val="000000"/>
              </w:rPr>
              <w:t>70.885%</w:t>
            </w:r>
          </w:p>
        </w:tc>
      </w:tr>
      <w:tr w:rsidRPr="002F168A" w:rsidR="000F68B8" w:rsidTr="00921901" w14:paraId="6694A53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A2BA221" w14:textId="2BADD8A2">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6F7BACF" w14:textId="20F45024">
            <w:pPr>
              <w:jc w:val="left"/>
            </w:pPr>
            <w:r w:rsidRPr="000F68B8">
              <w:rPr>
                <w:color w:val="000000"/>
              </w:rPr>
              <w:t>2023 SERIES D-1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8C6637B" w14:textId="00D4164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DE315B7" w14:textId="420318C3">
            <w:pPr>
              <w:jc w:val="center"/>
            </w:pPr>
            <w:r w:rsidRPr="000F68B8">
              <w:rPr>
                <w:color w:val="000000"/>
              </w:rPr>
              <w:t>7/1/2028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BC4D184" w14:textId="417AE7AA">
            <w:pPr>
              <w:tabs>
                <w:tab w:val="decimal" w:pos="975"/>
              </w:tabs>
              <w:jc w:val="left"/>
            </w:pPr>
            <w:r w:rsidRPr="000F68B8">
              <w:rPr>
                <w:color w:val="000000"/>
              </w:rPr>
              <w:t xml:space="preserve">40,000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8A68C18" w14:textId="249AC5B7">
            <w:pPr>
              <w:tabs>
                <w:tab w:val="decimal" w:pos="1185"/>
              </w:tabs>
              <w:jc w:val="left"/>
            </w:pPr>
            <w:r w:rsidRPr="000F68B8">
              <w:rPr>
                <w:color w:val="000000"/>
              </w:rPr>
              <w:t xml:space="preserve">1,111,270,000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8595814" w14:textId="77D452A2">
            <w:pPr>
              <w:tabs>
                <w:tab w:val="decimal" w:pos="330"/>
              </w:tabs>
              <w:jc w:val="left"/>
            </w:pPr>
            <w:r w:rsidRPr="000F68B8">
              <w:rPr>
                <w:color w:val="000000"/>
              </w:rPr>
              <w:t>70.888%</w:t>
            </w:r>
          </w:p>
        </w:tc>
      </w:tr>
      <w:tr w:rsidRPr="002F168A" w:rsidR="000F68B8" w:rsidTr="00921901" w14:paraId="7D344BC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F925643" w14:textId="475C83EF">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C044625" w14:textId="10CB4E61">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B03D262" w14:textId="0AEC300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CAAC461" w14:textId="3DBCE152">
            <w:pPr>
              <w:jc w:val="center"/>
            </w:pPr>
            <w:r w:rsidRPr="000F68B8">
              <w:rPr>
                <w:color w:val="000000"/>
              </w:rPr>
              <w:t>7/1/2039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E3CA1B7" w14:textId="6ECC59B1">
            <w:pPr>
              <w:tabs>
                <w:tab w:val="decimal" w:pos="975"/>
              </w:tabs>
              <w:jc w:val="left"/>
            </w:pPr>
            <w:r w:rsidRPr="000F68B8">
              <w:rPr>
                <w:color w:val="000000"/>
              </w:rPr>
              <w:t xml:space="preserve">6,305,000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714D994" w14:textId="17A6AB23">
            <w:pPr>
              <w:tabs>
                <w:tab w:val="decimal" w:pos="1185"/>
              </w:tabs>
              <w:jc w:val="left"/>
            </w:pPr>
            <w:r w:rsidRPr="000F68B8">
              <w:rPr>
                <w:color w:val="000000"/>
              </w:rPr>
              <w:t xml:space="preserve">1,117,575,000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5EBAC0D" w14:textId="04147B41">
            <w:pPr>
              <w:tabs>
                <w:tab w:val="decimal" w:pos="330"/>
              </w:tabs>
              <w:jc w:val="left"/>
            </w:pPr>
            <w:r w:rsidRPr="000F68B8">
              <w:rPr>
                <w:color w:val="000000"/>
              </w:rPr>
              <w:t>71.290%</w:t>
            </w:r>
          </w:p>
        </w:tc>
      </w:tr>
      <w:tr w:rsidRPr="002F168A" w:rsidR="000F68B8" w:rsidTr="00921901" w14:paraId="05E5407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A4C286C" w14:textId="49218922">
            <w:pPr>
              <w:tabs>
                <w:tab w:val="decimal" w:pos="255"/>
              </w:tabs>
              <w:jc w:val="right"/>
            </w:pPr>
            <w:r w:rsidRPr="000F68B8">
              <w:rPr>
                <w:color w:val="000000"/>
              </w:rPr>
              <w:t xml:space="preserve">4.125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36B79F50" w14:textId="7AEBB3F9">
            <w:pPr>
              <w:jc w:val="left"/>
            </w:pPr>
            <w:r w:rsidRPr="000F68B8">
              <w:rPr>
                <w:color w:val="000000"/>
              </w:rPr>
              <w:t>2023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D677F01" w14:textId="3729DE2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6801305" w14:textId="7B0199B7">
            <w:pPr>
              <w:jc w:val="center"/>
            </w:pPr>
            <w:r w:rsidRPr="000F68B8">
              <w:rPr>
                <w:color w:val="000000"/>
              </w:rPr>
              <w:t>7/1/2038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A666F7F" w14:textId="4D35FB42">
            <w:pPr>
              <w:tabs>
                <w:tab w:val="decimal" w:pos="975"/>
              </w:tabs>
              <w:jc w:val="left"/>
            </w:pPr>
            <w:r w:rsidRPr="000F68B8">
              <w:rPr>
                <w:color w:val="000000"/>
              </w:rPr>
              <w:t xml:space="preserve">3,090,000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6D03C53" w14:textId="10FA21EE">
            <w:pPr>
              <w:tabs>
                <w:tab w:val="decimal" w:pos="1185"/>
              </w:tabs>
              <w:jc w:val="left"/>
            </w:pPr>
            <w:r w:rsidRPr="000F68B8">
              <w:rPr>
                <w:color w:val="000000"/>
              </w:rPr>
              <w:t xml:space="preserve">1,120,665,000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DA6DFD1" w14:textId="5E3D0B66">
            <w:pPr>
              <w:tabs>
                <w:tab w:val="decimal" w:pos="330"/>
              </w:tabs>
              <w:jc w:val="left"/>
            </w:pPr>
            <w:r w:rsidRPr="000F68B8">
              <w:rPr>
                <w:color w:val="000000"/>
              </w:rPr>
              <w:t>71.487%</w:t>
            </w:r>
          </w:p>
        </w:tc>
      </w:tr>
      <w:tr w:rsidRPr="002F168A" w:rsidR="000F68B8" w:rsidTr="00921901" w14:paraId="417FD2A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6E6486E" w14:textId="7EF324FD">
            <w:pPr>
              <w:tabs>
                <w:tab w:val="decimal" w:pos="255"/>
              </w:tabs>
              <w:jc w:val="right"/>
            </w:pPr>
            <w:r w:rsidRPr="000F68B8">
              <w:rPr>
                <w:color w:val="000000"/>
              </w:rPr>
              <w:t xml:space="preserve">4.110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B7576D6" w14:textId="08D6F0E2">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45C9F2C" w14:textId="02E9249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05333FF" w14:textId="60459D37">
            <w:pPr>
              <w:jc w:val="center"/>
            </w:pPr>
            <w:r w:rsidRPr="000F68B8">
              <w:rPr>
                <w:color w:val="000000"/>
              </w:rPr>
              <w:t>7/1/2026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2FEB5BE" w14:textId="46DE8008">
            <w:pPr>
              <w:tabs>
                <w:tab w:val="decimal" w:pos="975"/>
              </w:tabs>
              <w:jc w:val="left"/>
            </w:pPr>
            <w:r w:rsidRPr="000F68B8">
              <w:rPr>
                <w:color w:val="000000"/>
              </w:rPr>
              <w:t xml:space="preserve">1,100,000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08F40BF" w14:textId="6FE1FA2D">
            <w:pPr>
              <w:tabs>
                <w:tab w:val="decimal" w:pos="1185"/>
              </w:tabs>
              <w:jc w:val="left"/>
            </w:pPr>
            <w:r w:rsidRPr="000F68B8">
              <w:rPr>
                <w:color w:val="000000"/>
              </w:rPr>
              <w:t xml:space="preserve">1,121,765,000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2B3A9A5" w14:textId="6623F87D">
            <w:pPr>
              <w:tabs>
                <w:tab w:val="decimal" w:pos="330"/>
              </w:tabs>
              <w:jc w:val="left"/>
            </w:pPr>
            <w:r w:rsidRPr="000F68B8">
              <w:rPr>
                <w:color w:val="000000"/>
              </w:rPr>
              <w:t>71.557%</w:t>
            </w:r>
          </w:p>
        </w:tc>
      </w:tr>
      <w:tr w:rsidRPr="002F168A" w:rsidR="000F68B8" w:rsidTr="00921901" w14:paraId="775911F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FC0C428" w14:textId="126ED6D3">
            <w:pPr>
              <w:tabs>
                <w:tab w:val="decimal" w:pos="255"/>
              </w:tabs>
              <w:jc w:val="right"/>
            </w:pPr>
            <w:r w:rsidRPr="000F68B8">
              <w:rPr>
                <w:color w:val="000000"/>
              </w:rPr>
              <w:t xml:space="preserve">4.100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1321691" w14:textId="175D5BB9">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9985898" w14:textId="0F38828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48BA798" w14:textId="35885F28">
            <w:pPr>
              <w:jc w:val="center"/>
            </w:pPr>
            <w:r w:rsidRPr="000F68B8">
              <w:rPr>
                <w:color w:val="000000"/>
              </w:rPr>
              <w:t>1/1/2034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CA958A5" w14:textId="0F81F103">
            <w:pPr>
              <w:tabs>
                <w:tab w:val="decimal" w:pos="975"/>
              </w:tabs>
              <w:jc w:val="left"/>
            </w:pPr>
            <w:r w:rsidRPr="000F68B8">
              <w:rPr>
                <w:color w:val="000000"/>
              </w:rPr>
              <w:t xml:space="preserve">1,365,000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7BA9764" w14:textId="4FDF180F">
            <w:pPr>
              <w:tabs>
                <w:tab w:val="decimal" w:pos="1185"/>
              </w:tabs>
              <w:jc w:val="left"/>
            </w:pPr>
            <w:r w:rsidRPr="000F68B8">
              <w:rPr>
                <w:color w:val="000000"/>
              </w:rPr>
              <w:t xml:space="preserve">1,123,130,000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C4ED547" w14:textId="72FCA8A1">
            <w:pPr>
              <w:tabs>
                <w:tab w:val="decimal" w:pos="330"/>
              </w:tabs>
              <w:jc w:val="left"/>
            </w:pPr>
            <w:r w:rsidRPr="000F68B8">
              <w:rPr>
                <w:color w:val="000000"/>
              </w:rPr>
              <w:t>71.644%</w:t>
            </w:r>
          </w:p>
        </w:tc>
      </w:tr>
      <w:tr w:rsidRPr="002F168A" w:rsidR="000F68B8" w:rsidTr="00921901" w14:paraId="3602CAB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F12C5F0" w14:textId="41341719">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E404B3F" w14:textId="2142E6CB">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3939F89" w14:textId="7697542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15BF0C2" w14:textId="50F4A2D1">
            <w:pPr>
              <w:jc w:val="center"/>
            </w:pPr>
            <w:r w:rsidRPr="000F68B8">
              <w:rPr>
                <w:color w:val="000000"/>
              </w:rPr>
              <w:t>7/1/2034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F301FD6" w14:textId="02062038">
            <w:pPr>
              <w:tabs>
                <w:tab w:val="decimal" w:pos="975"/>
              </w:tabs>
              <w:jc w:val="left"/>
            </w:pPr>
            <w:r w:rsidRPr="000F68B8">
              <w:rPr>
                <w:color w:val="000000"/>
              </w:rPr>
              <w:t xml:space="preserve">1,400,000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4423B06" w14:textId="1132D382">
            <w:pPr>
              <w:tabs>
                <w:tab w:val="decimal" w:pos="1185"/>
              </w:tabs>
              <w:jc w:val="left"/>
            </w:pPr>
            <w:r w:rsidRPr="000F68B8">
              <w:rPr>
                <w:color w:val="000000"/>
              </w:rPr>
              <w:t xml:space="preserve">1,124,530,000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BDF0654" w14:textId="1F5967AE">
            <w:pPr>
              <w:tabs>
                <w:tab w:val="decimal" w:pos="330"/>
              </w:tabs>
              <w:jc w:val="left"/>
            </w:pPr>
            <w:r w:rsidRPr="000F68B8">
              <w:rPr>
                <w:color w:val="000000"/>
              </w:rPr>
              <w:t>71.733%</w:t>
            </w:r>
          </w:p>
        </w:tc>
      </w:tr>
      <w:tr w:rsidRPr="002F168A" w:rsidR="000F68B8" w:rsidTr="00921901" w14:paraId="4FD8F8A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4278E3F" w14:textId="34D10B9E">
            <w:pPr>
              <w:tabs>
                <w:tab w:val="decimal" w:pos="255"/>
              </w:tabs>
              <w:jc w:val="right"/>
            </w:pPr>
            <w:r w:rsidRPr="000F68B8">
              <w:rPr>
                <w:color w:val="000000"/>
              </w:rPr>
              <w:t xml:space="preserve">4.060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C88D078" w14:textId="7E09DA38">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7B24D4E" w14:textId="5E15527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E4C8EA4" w14:textId="13B21174">
            <w:pPr>
              <w:jc w:val="center"/>
            </w:pPr>
            <w:r w:rsidRPr="000F68B8">
              <w:rPr>
                <w:color w:val="000000"/>
              </w:rPr>
              <w:t>1/1/2026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A08F33B" w14:textId="30D9A660">
            <w:pPr>
              <w:tabs>
                <w:tab w:val="decimal" w:pos="975"/>
              </w:tabs>
              <w:jc w:val="left"/>
            </w:pPr>
            <w:r w:rsidRPr="000F68B8">
              <w:rPr>
                <w:color w:val="000000"/>
              </w:rPr>
              <w:t xml:space="preserve">1,070,000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4680D7A" w14:textId="5F27D109">
            <w:pPr>
              <w:tabs>
                <w:tab w:val="decimal" w:pos="1185"/>
              </w:tabs>
              <w:jc w:val="left"/>
            </w:pPr>
            <w:r w:rsidRPr="000F68B8">
              <w:rPr>
                <w:color w:val="000000"/>
              </w:rPr>
              <w:t xml:space="preserve">1,125,600,000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6D9E2A6" w14:textId="30AD20CF">
            <w:pPr>
              <w:tabs>
                <w:tab w:val="decimal" w:pos="330"/>
              </w:tabs>
              <w:jc w:val="left"/>
            </w:pPr>
            <w:r w:rsidRPr="000F68B8">
              <w:rPr>
                <w:color w:val="000000"/>
              </w:rPr>
              <w:t>71.802%</w:t>
            </w:r>
          </w:p>
        </w:tc>
      </w:tr>
      <w:tr w:rsidRPr="002F168A" w:rsidR="000F68B8" w:rsidTr="00921901" w14:paraId="2CFD8F50"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1C74221" w14:textId="6360FDF4">
            <w:pPr>
              <w:tabs>
                <w:tab w:val="decimal" w:pos="255"/>
              </w:tabs>
              <w:jc w:val="right"/>
            </w:pPr>
            <w:bookmarkStart w:name="ElPgBr102" w:id="1077"/>
            <w:bookmarkEnd w:id="1077"/>
            <w:r w:rsidRPr="000F68B8">
              <w:rPr>
                <w:color w:val="000000"/>
              </w:rPr>
              <w:t xml:space="preserve">4.050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440DFAD" w14:textId="7D25F05E">
            <w:pPr>
              <w:jc w:val="left"/>
            </w:pPr>
            <w:r w:rsidRPr="000F68B8">
              <w:rPr>
                <w:color w:val="000000"/>
              </w:rPr>
              <w:t>2022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7D1DB12" w14:textId="5AD03F7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8CE189B" w14:textId="0A89422F">
            <w:pPr>
              <w:jc w:val="center"/>
            </w:pPr>
            <w:r w:rsidRPr="000F68B8">
              <w:rPr>
                <w:color w:val="000000"/>
              </w:rPr>
              <w:t>7/1/2033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592CEB2" w14:textId="18C57C88">
            <w:pPr>
              <w:tabs>
                <w:tab w:val="decimal" w:pos="975"/>
              </w:tabs>
              <w:jc w:val="left"/>
            </w:pPr>
            <w:r w:rsidRPr="000F68B8">
              <w:rPr>
                <w:color w:val="000000"/>
              </w:rPr>
              <w:t xml:space="preserve">1,760,000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C105B13" w14:textId="24ADF9CA">
            <w:pPr>
              <w:tabs>
                <w:tab w:val="decimal" w:pos="1185"/>
              </w:tabs>
              <w:jc w:val="left"/>
            </w:pPr>
            <w:r w:rsidRPr="000F68B8">
              <w:rPr>
                <w:color w:val="000000"/>
              </w:rPr>
              <w:t xml:space="preserve">1,127,360,000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A82F4FF" w14:textId="64956097">
            <w:pPr>
              <w:tabs>
                <w:tab w:val="decimal" w:pos="330"/>
              </w:tabs>
              <w:jc w:val="left"/>
            </w:pPr>
            <w:r w:rsidRPr="000F68B8">
              <w:rPr>
                <w:color w:val="000000"/>
              </w:rPr>
              <w:t>71.914%</w:t>
            </w:r>
          </w:p>
        </w:tc>
      </w:tr>
      <w:tr w:rsidRPr="002F168A" w:rsidR="000F68B8" w:rsidTr="00921901" w14:paraId="026242B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66FBE24" w14:textId="1AFB6DDB">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7DE28E5" w14:textId="4B857B2B">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0D3AD6A" w14:textId="6F3C09E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3B07547" w14:textId="38DB6C94">
            <w:pPr>
              <w:jc w:val="center"/>
            </w:pPr>
            <w:r w:rsidRPr="000F68B8">
              <w:rPr>
                <w:color w:val="000000"/>
              </w:rPr>
              <w:t>1/1/2036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390005C" w14:textId="6334B27C">
            <w:pPr>
              <w:tabs>
                <w:tab w:val="decimal" w:pos="975"/>
              </w:tabs>
              <w:jc w:val="left"/>
            </w:pPr>
            <w:r w:rsidRPr="000F68B8">
              <w:rPr>
                <w:color w:val="000000"/>
              </w:rPr>
              <w:t xml:space="preserve">895,000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66A8704" w14:textId="39DFCC54">
            <w:pPr>
              <w:tabs>
                <w:tab w:val="decimal" w:pos="1185"/>
              </w:tabs>
              <w:jc w:val="left"/>
            </w:pPr>
            <w:r w:rsidRPr="000F68B8">
              <w:rPr>
                <w:color w:val="000000"/>
              </w:rPr>
              <w:t xml:space="preserve">1,128,255,000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FCA63C5" w14:textId="1D6EA368">
            <w:pPr>
              <w:tabs>
                <w:tab w:val="decimal" w:pos="330"/>
              </w:tabs>
              <w:jc w:val="left"/>
            </w:pPr>
            <w:r w:rsidRPr="000F68B8">
              <w:rPr>
                <w:color w:val="000000"/>
              </w:rPr>
              <w:t>71.971%</w:t>
            </w:r>
          </w:p>
        </w:tc>
      </w:tr>
      <w:tr w:rsidRPr="002F168A" w:rsidR="000F68B8" w:rsidTr="00921901" w14:paraId="5425034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EA5A778" w14:textId="3AB239D5">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416634B" w14:textId="69C87F15">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9EBDD4E" w14:textId="748769A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895E7DC" w14:textId="5D61EBB7">
            <w:pPr>
              <w:jc w:val="center"/>
            </w:pPr>
            <w:r w:rsidRPr="000F68B8">
              <w:rPr>
                <w:color w:val="000000"/>
              </w:rPr>
              <w:t>7/1/2036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9EC9353" w14:textId="155472E0">
            <w:pPr>
              <w:tabs>
                <w:tab w:val="decimal" w:pos="975"/>
              </w:tabs>
              <w:jc w:val="left"/>
            </w:pPr>
            <w:r w:rsidRPr="000F68B8">
              <w:rPr>
                <w:color w:val="000000"/>
              </w:rPr>
              <w:t xml:space="preserve">925,000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3DCBE08" w14:textId="008B5BDA">
            <w:pPr>
              <w:tabs>
                <w:tab w:val="decimal" w:pos="1185"/>
              </w:tabs>
              <w:jc w:val="left"/>
            </w:pPr>
            <w:r w:rsidRPr="000F68B8">
              <w:rPr>
                <w:color w:val="000000"/>
              </w:rPr>
              <w:t xml:space="preserve">1,129,180,000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672FB72" w14:textId="0FD2655B">
            <w:pPr>
              <w:tabs>
                <w:tab w:val="decimal" w:pos="330"/>
              </w:tabs>
              <w:jc w:val="left"/>
            </w:pPr>
            <w:r w:rsidRPr="000F68B8">
              <w:rPr>
                <w:color w:val="000000"/>
              </w:rPr>
              <w:t>72.030%</w:t>
            </w:r>
          </w:p>
        </w:tc>
      </w:tr>
      <w:tr w:rsidRPr="002F168A" w:rsidR="000F68B8" w:rsidTr="00921901" w14:paraId="286C500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AFBA3D8" w14:textId="519D3C60">
            <w:pPr>
              <w:tabs>
                <w:tab w:val="decimal" w:pos="255"/>
              </w:tabs>
              <w:jc w:val="right"/>
            </w:pPr>
            <w:r w:rsidRPr="000F68B8">
              <w:rPr>
                <w:color w:val="000000"/>
              </w:rPr>
              <w:t xml:space="preserve">4.000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2C96246" w14:textId="274FEC3D">
            <w:pPr>
              <w:jc w:val="left"/>
            </w:pPr>
            <w:r w:rsidRPr="000F68B8">
              <w:rPr>
                <w:color w:val="000000"/>
              </w:rPr>
              <w:t>2017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2CBD1DF" w14:textId="47BBEEBD">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03F4BEC" w14:textId="693EF5C1">
            <w:pPr>
              <w:jc w:val="center"/>
            </w:pPr>
            <w:r w:rsidRPr="000F68B8">
              <w:rPr>
                <w:color w:val="000000"/>
              </w:rPr>
              <w:t>7/1/2038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7509CDD" w14:textId="6A6BB9F3">
            <w:pPr>
              <w:tabs>
                <w:tab w:val="decimal" w:pos="975"/>
              </w:tabs>
              <w:jc w:val="left"/>
            </w:pPr>
            <w:r w:rsidRPr="000F68B8">
              <w:rPr>
                <w:color w:val="000000"/>
              </w:rPr>
              <w:t xml:space="preserve">1,035,000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A9E9523" w14:textId="6CA21E41">
            <w:pPr>
              <w:tabs>
                <w:tab w:val="decimal" w:pos="1185"/>
              </w:tabs>
              <w:jc w:val="left"/>
            </w:pPr>
            <w:r w:rsidRPr="000F68B8">
              <w:rPr>
                <w:color w:val="000000"/>
              </w:rPr>
              <w:t xml:space="preserve">1,130,215,000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0CC4B2A" w14:textId="7AD3C66F">
            <w:pPr>
              <w:tabs>
                <w:tab w:val="decimal" w:pos="330"/>
              </w:tabs>
              <w:jc w:val="left"/>
            </w:pPr>
            <w:r w:rsidRPr="000F68B8">
              <w:rPr>
                <w:color w:val="000000"/>
              </w:rPr>
              <w:t>72.096%</w:t>
            </w:r>
          </w:p>
        </w:tc>
      </w:tr>
      <w:tr w:rsidRPr="002F168A" w:rsidR="000F68B8" w:rsidTr="00921901" w14:paraId="211E1E3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5E468769" w14:textId="1822150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2C5BECE" w14:textId="26112253">
            <w:pPr>
              <w:jc w:val="left"/>
            </w:pPr>
            <w:r w:rsidRPr="000F68B8">
              <w:rPr>
                <w:color w:val="000000"/>
              </w:rPr>
              <w:t>2018 SERIES A</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735C1C0" w14:textId="38488107">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4569F38" w14:textId="18130BFA">
            <w:pPr>
              <w:jc w:val="center"/>
            </w:pPr>
            <w:r w:rsidRPr="000F68B8">
              <w:rPr>
                <w:color w:val="000000"/>
              </w:rPr>
              <w:t>7/1/2048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A26F138" w14:textId="2C1546E7">
            <w:pPr>
              <w:tabs>
                <w:tab w:val="decimal" w:pos="975"/>
              </w:tabs>
              <w:jc w:val="left"/>
            </w:pPr>
            <w:r w:rsidRPr="000F68B8">
              <w:rPr>
                <w:color w:val="000000"/>
              </w:rPr>
              <w:t xml:space="preserve">6,690,000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300F54B" w14:textId="11ECFB3B">
            <w:pPr>
              <w:tabs>
                <w:tab w:val="decimal" w:pos="1185"/>
              </w:tabs>
              <w:jc w:val="left"/>
            </w:pPr>
            <w:r w:rsidRPr="000F68B8">
              <w:rPr>
                <w:color w:val="000000"/>
              </w:rPr>
              <w:t xml:space="preserve">1,136,905,000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6CF1325" w14:textId="5EC71864">
            <w:pPr>
              <w:tabs>
                <w:tab w:val="decimal" w:pos="330"/>
              </w:tabs>
              <w:jc w:val="left"/>
            </w:pPr>
            <w:r w:rsidRPr="000F68B8">
              <w:rPr>
                <w:color w:val="000000"/>
              </w:rPr>
              <w:t>72.523%</w:t>
            </w:r>
          </w:p>
        </w:tc>
      </w:tr>
      <w:tr w:rsidRPr="002F168A" w:rsidR="000F68B8" w:rsidTr="00921901" w14:paraId="08572FC9"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B79675E" w14:textId="6E8C90F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B7F36A6" w14:textId="18989D8C">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A604C4D" w14:textId="74A1CD5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B5C298C" w14:textId="187DC759">
            <w:pPr>
              <w:jc w:val="center"/>
            </w:pPr>
            <w:r w:rsidRPr="000F68B8">
              <w:rPr>
                <w:color w:val="000000"/>
              </w:rPr>
              <w:t>1/1/2033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9B2B832" w14:textId="72158EDB">
            <w:pPr>
              <w:tabs>
                <w:tab w:val="decimal" w:pos="975"/>
              </w:tabs>
              <w:jc w:val="left"/>
            </w:pPr>
            <w:r w:rsidRPr="000F68B8">
              <w:rPr>
                <w:color w:val="000000"/>
              </w:rPr>
              <w:t xml:space="preserve">1,295,000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8515C49" w14:textId="3649D901">
            <w:pPr>
              <w:tabs>
                <w:tab w:val="decimal" w:pos="1185"/>
              </w:tabs>
              <w:jc w:val="left"/>
            </w:pPr>
            <w:r w:rsidRPr="000F68B8">
              <w:rPr>
                <w:color w:val="000000"/>
              </w:rPr>
              <w:t xml:space="preserve">1,138,200,000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44E3BC1" w14:textId="67F79705">
            <w:pPr>
              <w:tabs>
                <w:tab w:val="decimal" w:pos="330"/>
              </w:tabs>
              <w:jc w:val="left"/>
            </w:pPr>
            <w:r w:rsidRPr="000F68B8">
              <w:rPr>
                <w:color w:val="000000"/>
              </w:rPr>
              <w:t>72.605%</w:t>
            </w:r>
          </w:p>
        </w:tc>
      </w:tr>
      <w:tr w:rsidRPr="002F168A" w:rsidR="000F68B8" w:rsidTr="00921901" w14:paraId="255B01D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3D0EF3D" w14:textId="21A155A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176B9FF" w14:textId="1725160D">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2CA4660" w14:textId="59B68B9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4FAA971" w14:textId="5FB4C59A">
            <w:pPr>
              <w:jc w:val="center"/>
            </w:pPr>
            <w:r w:rsidRPr="000F68B8">
              <w:rPr>
                <w:color w:val="000000"/>
              </w:rPr>
              <w:t>7/1/2033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0F43225B" w14:textId="685A24EF">
            <w:pPr>
              <w:tabs>
                <w:tab w:val="decimal" w:pos="975"/>
              </w:tabs>
              <w:jc w:val="left"/>
            </w:pPr>
            <w:r w:rsidRPr="000F68B8">
              <w:rPr>
                <w:color w:val="000000"/>
              </w:rPr>
              <w:t xml:space="preserve">1,325,000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D89A96B" w14:textId="0D0E2A10">
            <w:pPr>
              <w:tabs>
                <w:tab w:val="decimal" w:pos="1185"/>
              </w:tabs>
              <w:jc w:val="left"/>
            </w:pPr>
            <w:r w:rsidRPr="000F68B8">
              <w:rPr>
                <w:color w:val="000000"/>
              </w:rPr>
              <w:t xml:space="preserve">1,139,525,000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53535BA" w14:textId="0BACA02D">
            <w:pPr>
              <w:tabs>
                <w:tab w:val="decimal" w:pos="330"/>
              </w:tabs>
              <w:jc w:val="left"/>
            </w:pPr>
            <w:r w:rsidRPr="000F68B8">
              <w:rPr>
                <w:color w:val="000000"/>
              </w:rPr>
              <w:t>72.690%</w:t>
            </w:r>
          </w:p>
        </w:tc>
      </w:tr>
      <w:tr w:rsidRPr="002F168A" w:rsidR="000F68B8" w:rsidTr="00921901" w14:paraId="60F8B67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F61F304" w14:textId="455EC08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BB4A17D" w14:textId="164CA8D6">
            <w:pPr>
              <w:jc w:val="left"/>
            </w:pPr>
            <w:r w:rsidRPr="000F68B8">
              <w:rPr>
                <w:color w:val="000000"/>
              </w:rPr>
              <w:t>2022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BA42BBA" w14:textId="475DE8A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42E46F4" w14:textId="66F89AD0">
            <w:pPr>
              <w:jc w:val="center"/>
            </w:pPr>
            <w:r w:rsidRPr="000F68B8">
              <w:rPr>
                <w:color w:val="000000"/>
              </w:rPr>
              <w:t>1/1/2033</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E64C3F4" w14:textId="37A4A07B">
            <w:pPr>
              <w:tabs>
                <w:tab w:val="decimal" w:pos="975"/>
              </w:tabs>
              <w:jc w:val="left"/>
            </w:pPr>
            <w:r w:rsidRPr="000F68B8">
              <w:rPr>
                <w:color w:val="000000"/>
              </w:rPr>
              <w:t xml:space="preserve">1,705,000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ABE1BCB" w14:textId="312015ED">
            <w:pPr>
              <w:tabs>
                <w:tab w:val="decimal" w:pos="1185"/>
              </w:tabs>
              <w:jc w:val="left"/>
            </w:pPr>
            <w:r w:rsidRPr="000F68B8">
              <w:rPr>
                <w:color w:val="000000"/>
              </w:rPr>
              <w:t xml:space="preserve">1,141,230,000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A3CFE69" w14:textId="526F6905">
            <w:pPr>
              <w:tabs>
                <w:tab w:val="decimal" w:pos="330"/>
              </w:tabs>
              <w:jc w:val="left"/>
            </w:pPr>
            <w:r w:rsidRPr="000F68B8">
              <w:rPr>
                <w:color w:val="000000"/>
              </w:rPr>
              <w:t>72.799%</w:t>
            </w:r>
          </w:p>
        </w:tc>
      </w:tr>
      <w:tr w:rsidRPr="002F168A" w:rsidR="000F68B8" w:rsidTr="00921901" w14:paraId="3B98DC91"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07C0503" w14:textId="5F0BE57C">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0D91682" w14:textId="13611CEA">
            <w:pPr>
              <w:jc w:val="left"/>
            </w:pPr>
            <w:r w:rsidRPr="000F68B8">
              <w:rPr>
                <w:color w:val="000000"/>
              </w:rPr>
              <w:t>2023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34171EF" w14:textId="703056E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0BCCFA5" w14:textId="4D2DCB68">
            <w:pPr>
              <w:jc w:val="center"/>
            </w:pPr>
            <w:r w:rsidRPr="000F68B8">
              <w:rPr>
                <w:color w:val="000000"/>
              </w:rPr>
              <w:t>7/1/2035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6769D0C" w14:textId="1573182C">
            <w:pPr>
              <w:tabs>
                <w:tab w:val="decimal" w:pos="975"/>
              </w:tabs>
              <w:jc w:val="left"/>
            </w:pPr>
            <w:r w:rsidRPr="000F68B8">
              <w:rPr>
                <w:color w:val="000000"/>
              </w:rPr>
              <w:t xml:space="preserve">780,000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F73A05C" w14:textId="0A8027B1">
            <w:pPr>
              <w:tabs>
                <w:tab w:val="decimal" w:pos="1185"/>
              </w:tabs>
              <w:jc w:val="left"/>
            </w:pPr>
            <w:r w:rsidRPr="000F68B8">
              <w:rPr>
                <w:color w:val="000000"/>
              </w:rPr>
              <w:t xml:space="preserve">1,142,010,000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11DBE2CF" w14:textId="4582FC6D">
            <w:pPr>
              <w:tabs>
                <w:tab w:val="decimal" w:pos="330"/>
              </w:tabs>
              <w:jc w:val="left"/>
            </w:pPr>
            <w:r w:rsidRPr="000F68B8">
              <w:rPr>
                <w:color w:val="000000"/>
              </w:rPr>
              <w:t>72.849%</w:t>
            </w:r>
          </w:p>
        </w:tc>
      </w:tr>
      <w:tr w:rsidRPr="002F168A" w:rsidR="000F68B8" w:rsidTr="00921901" w14:paraId="645AFB8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2527772" w14:textId="666FB0F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0BD4946" w14:textId="5F31DA14">
            <w:pPr>
              <w:jc w:val="left"/>
            </w:pPr>
            <w:r w:rsidRPr="000F68B8">
              <w:rPr>
                <w:color w:val="000000"/>
              </w:rPr>
              <w:t>2023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8B0DBD1" w14:textId="10347D5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3EDD584" w14:textId="0A86F2C6">
            <w:pPr>
              <w:jc w:val="center"/>
            </w:pPr>
            <w:r w:rsidRPr="000F68B8">
              <w:rPr>
                <w:color w:val="000000"/>
              </w:rPr>
              <w:t>7/1/2038</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624F4B5" w14:textId="40AE67EE">
            <w:pPr>
              <w:tabs>
                <w:tab w:val="decimal" w:pos="975"/>
              </w:tabs>
              <w:jc w:val="left"/>
            </w:pPr>
            <w:r w:rsidRPr="000F68B8">
              <w:rPr>
                <w:color w:val="000000"/>
              </w:rPr>
              <w:t xml:space="preserve">4,400,000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2CC8FBA" w14:textId="11674460">
            <w:pPr>
              <w:tabs>
                <w:tab w:val="decimal" w:pos="1185"/>
              </w:tabs>
              <w:jc w:val="left"/>
            </w:pPr>
            <w:r w:rsidRPr="000F68B8">
              <w:rPr>
                <w:color w:val="000000"/>
              </w:rPr>
              <w:t xml:space="preserve">1,146,410,000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CB2D9D1" w14:textId="163C41DC">
            <w:pPr>
              <w:tabs>
                <w:tab w:val="decimal" w:pos="330"/>
              </w:tabs>
              <w:jc w:val="left"/>
            </w:pPr>
            <w:r w:rsidRPr="000F68B8">
              <w:rPr>
                <w:color w:val="000000"/>
              </w:rPr>
              <w:t>73.129%</w:t>
            </w:r>
          </w:p>
        </w:tc>
      </w:tr>
      <w:tr w:rsidRPr="002F168A" w:rsidR="000F68B8" w:rsidTr="00921901" w14:paraId="2AA8C9D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16FF9EE" w14:textId="65E4FBA6">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FD3E66C" w14:textId="009CA8C1">
            <w:pPr>
              <w:jc w:val="left"/>
            </w:pPr>
            <w:r w:rsidRPr="000F68B8">
              <w:rPr>
                <w:color w:val="000000"/>
              </w:rPr>
              <w:t>2023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F3B713C" w14:textId="72F3923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673E6E2" w14:textId="35083A2A">
            <w:pPr>
              <w:jc w:val="center"/>
            </w:pPr>
            <w:r w:rsidRPr="000F68B8">
              <w:rPr>
                <w:color w:val="000000"/>
              </w:rPr>
              <w:t>1/1/2034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76D4F02" w14:textId="1CB72DC8">
            <w:pPr>
              <w:tabs>
                <w:tab w:val="decimal" w:pos="975"/>
              </w:tabs>
              <w:jc w:val="left"/>
            </w:pPr>
            <w:r w:rsidRPr="000F68B8">
              <w:rPr>
                <w:color w:val="000000"/>
              </w:rPr>
              <w:t xml:space="preserve">1,400,000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77CD093" w14:textId="2EF9C36A">
            <w:pPr>
              <w:tabs>
                <w:tab w:val="decimal" w:pos="1185"/>
              </w:tabs>
              <w:jc w:val="left"/>
            </w:pPr>
            <w:r w:rsidRPr="000F68B8">
              <w:rPr>
                <w:color w:val="000000"/>
              </w:rPr>
              <w:t xml:space="preserve">1,147,810,000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A5A70DD" w14:textId="36BC908D">
            <w:pPr>
              <w:tabs>
                <w:tab w:val="decimal" w:pos="330"/>
              </w:tabs>
              <w:jc w:val="left"/>
            </w:pPr>
            <w:r w:rsidRPr="000F68B8">
              <w:rPr>
                <w:color w:val="000000"/>
              </w:rPr>
              <w:t>73.219%</w:t>
            </w:r>
          </w:p>
        </w:tc>
      </w:tr>
      <w:tr w:rsidRPr="002F168A" w:rsidR="000F68B8" w:rsidTr="00921901" w14:paraId="3663719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8542B1A" w14:textId="1C96FC2E">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00650CC" w14:textId="2200DC3D">
            <w:pPr>
              <w:jc w:val="left"/>
            </w:pPr>
            <w:r w:rsidRPr="000F68B8">
              <w:rPr>
                <w:color w:val="000000"/>
              </w:rPr>
              <w:t>2023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D567F78" w14:textId="0D4B82E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A6504E0" w14:textId="4132B523">
            <w:pPr>
              <w:jc w:val="center"/>
            </w:pPr>
            <w:r w:rsidRPr="000F68B8">
              <w:rPr>
                <w:color w:val="000000"/>
              </w:rPr>
              <w:t>7/1/2034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078B687" w14:textId="7B589C73">
            <w:pPr>
              <w:tabs>
                <w:tab w:val="decimal" w:pos="975"/>
              </w:tabs>
              <w:jc w:val="left"/>
            </w:pPr>
            <w:r w:rsidRPr="000F68B8">
              <w:rPr>
                <w:color w:val="000000"/>
              </w:rPr>
              <w:t xml:space="preserve">2,255,000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1FF38E1" w14:textId="1A9A0F54">
            <w:pPr>
              <w:tabs>
                <w:tab w:val="decimal" w:pos="1185"/>
              </w:tabs>
              <w:jc w:val="left"/>
            </w:pPr>
            <w:r w:rsidRPr="000F68B8">
              <w:rPr>
                <w:color w:val="000000"/>
              </w:rPr>
              <w:t xml:space="preserve">1,150,065,000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735CF6E" w14:textId="1E0CE445">
            <w:pPr>
              <w:tabs>
                <w:tab w:val="decimal" w:pos="330"/>
              </w:tabs>
              <w:jc w:val="left"/>
            </w:pPr>
            <w:r w:rsidRPr="000F68B8">
              <w:rPr>
                <w:color w:val="000000"/>
              </w:rPr>
              <w:t>73.362%</w:t>
            </w:r>
          </w:p>
        </w:tc>
      </w:tr>
      <w:tr w:rsidRPr="002F168A" w:rsidR="000F68B8" w:rsidTr="00921901" w14:paraId="7FD7800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008DA3D" w14:textId="67552143">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0EA914BB" w14:textId="2A51D7BA">
            <w:pPr>
              <w:jc w:val="left"/>
            </w:pPr>
            <w:r w:rsidRPr="000F68B8">
              <w:rPr>
                <w:color w:val="000000"/>
              </w:rPr>
              <w:t>2023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78CF0C0" w14:textId="41EE348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4FCACAC" w14:textId="4DCC9634">
            <w:pPr>
              <w:jc w:val="center"/>
            </w:pPr>
            <w:r w:rsidRPr="000F68B8">
              <w:rPr>
                <w:color w:val="000000"/>
              </w:rPr>
              <w:t>1/1/2035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C7921CB" w14:textId="0754F606">
            <w:pPr>
              <w:tabs>
                <w:tab w:val="decimal" w:pos="975"/>
              </w:tabs>
              <w:jc w:val="left"/>
            </w:pPr>
            <w:r w:rsidRPr="000F68B8">
              <w:rPr>
                <w:color w:val="000000"/>
              </w:rPr>
              <w:t xml:space="preserve">2,015,000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E124462" w14:textId="79C95212">
            <w:pPr>
              <w:tabs>
                <w:tab w:val="decimal" w:pos="1185"/>
              </w:tabs>
              <w:jc w:val="left"/>
            </w:pPr>
            <w:r w:rsidRPr="000F68B8">
              <w:rPr>
                <w:color w:val="000000"/>
              </w:rPr>
              <w:t xml:space="preserve">1,152,080,000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DD6430F" w14:textId="16864B23">
            <w:pPr>
              <w:tabs>
                <w:tab w:val="decimal" w:pos="330"/>
              </w:tabs>
              <w:jc w:val="left"/>
            </w:pPr>
            <w:r w:rsidRPr="000F68B8">
              <w:rPr>
                <w:color w:val="000000"/>
              </w:rPr>
              <w:t>73.491%</w:t>
            </w:r>
          </w:p>
        </w:tc>
      </w:tr>
      <w:tr w:rsidRPr="002F168A" w:rsidR="000F68B8" w:rsidTr="00921901" w14:paraId="2479E31E"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9573D66" w14:textId="47E9FC27">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2DB3603" w14:textId="11C6B3FD">
            <w:pPr>
              <w:jc w:val="left"/>
            </w:pPr>
            <w:r w:rsidRPr="000F68B8">
              <w:rPr>
                <w:color w:val="000000"/>
              </w:rPr>
              <w:t>2023 SERIES C-1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EB407A0" w14:textId="5682A9F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B956CC0" w14:textId="0C6BB117">
            <w:pPr>
              <w:jc w:val="center"/>
            </w:pPr>
            <w:r w:rsidRPr="000F68B8">
              <w:rPr>
                <w:color w:val="000000"/>
              </w:rPr>
              <w:t>7/1/2035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E79E39B" w14:textId="30E1CDD9">
            <w:pPr>
              <w:tabs>
                <w:tab w:val="decimal" w:pos="975"/>
              </w:tabs>
              <w:jc w:val="left"/>
            </w:pPr>
            <w:r w:rsidRPr="000F68B8">
              <w:rPr>
                <w:color w:val="000000"/>
              </w:rPr>
              <w:t xml:space="preserve">1,490,000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51D93B0" w14:textId="3AB80704">
            <w:pPr>
              <w:tabs>
                <w:tab w:val="decimal" w:pos="1185"/>
              </w:tabs>
              <w:jc w:val="left"/>
            </w:pPr>
            <w:r w:rsidRPr="000F68B8">
              <w:rPr>
                <w:color w:val="000000"/>
              </w:rPr>
              <w:t xml:space="preserve">1,153,570,000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AB7B3CE" w14:textId="65186DAD">
            <w:pPr>
              <w:tabs>
                <w:tab w:val="decimal" w:pos="330"/>
              </w:tabs>
              <w:jc w:val="left"/>
            </w:pPr>
            <w:r w:rsidRPr="000F68B8">
              <w:rPr>
                <w:color w:val="000000"/>
              </w:rPr>
              <w:t>73.586%</w:t>
            </w:r>
          </w:p>
        </w:tc>
      </w:tr>
      <w:tr w:rsidRPr="002F168A" w:rsidR="000F68B8" w:rsidTr="00921901" w14:paraId="498D3BC8"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30AC458" w14:textId="767B44D3">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F1B6AFC" w14:textId="374D652A">
            <w:pPr>
              <w:jc w:val="left"/>
            </w:pPr>
            <w:r w:rsidRPr="000F68B8">
              <w:rPr>
                <w:color w:val="000000"/>
              </w:rPr>
              <w:t>2024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9E45209" w14:textId="37DA7D4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72C134A" w14:textId="29F94211">
            <w:pPr>
              <w:jc w:val="center"/>
            </w:pPr>
            <w:r w:rsidRPr="000F68B8">
              <w:rPr>
                <w:color w:val="000000"/>
              </w:rPr>
              <w:t>7/1/2039</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60ECC690" w14:textId="1F1430A7">
            <w:pPr>
              <w:tabs>
                <w:tab w:val="decimal" w:pos="975"/>
              </w:tabs>
              <w:jc w:val="left"/>
            </w:pPr>
            <w:r w:rsidRPr="000F68B8">
              <w:rPr>
                <w:color w:val="000000"/>
              </w:rPr>
              <w:t xml:space="preserve">7,250,000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68A637E" w14:textId="323921C2">
            <w:pPr>
              <w:tabs>
                <w:tab w:val="decimal" w:pos="1185"/>
              </w:tabs>
              <w:jc w:val="left"/>
            </w:pPr>
            <w:r w:rsidRPr="000F68B8">
              <w:rPr>
                <w:color w:val="000000"/>
              </w:rPr>
              <w:t xml:space="preserve">1,160,820,000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617C92B" w14:textId="7935C758">
            <w:pPr>
              <w:tabs>
                <w:tab w:val="decimal" w:pos="330"/>
              </w:tabs>
              <w:jc w:val="left"/>
            </w:pPr>
            <w:r w:rsidRPr="000F68B8">
              <w:rPr>
                <w:color w:val="000000"/>
              </w:rPr>
              <w:t>74.048%</w:t>
            </w:r>
          </w:p>
        </w:tc>
      </w:tr>
      <w:tr w:rsidRPr="002F168A" w:rsidR="000F68B8" w:rsidTr="00921901" w14:paraId="6DF87EA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A3B343C" w14:textId="720C38A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C4FADB3" w14:textId="3024FDE5">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7C785F0" w14:textId="0520821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C6A4731" w14:textId="6CFF7BC0">
            <w:pPr>
              <w:jc w:val="center"/>
            </w:pPr>
            <w:r w:rsidRPr="000F68B8">
              <w:rPr>
                <w:color w:val="000000"/>
              </w:rPr>
              <w:t>1/1/2035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439F825" w14:textId="6B4C1459">
            <w:pPr>
              <w:tabs>
                <w:tab w:val="decimal" w:pos="975"/>
              </w:tabs>
              <w:jc w:val="left"/>
            </w:pPr>
            <w:r w:rsidRPr="000F68B8">
              <w:rPr>
                <w:color w:val="000000"/>
              </w:rPr>
              <w:t xml:space="preserve">835,000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EF17902" w14:textId="30C8792C">
            <w:pPr>
              <w:tabs>
                <w:tab w:val="decimal" w:pos="1185"/>
              </w:tabs>
              <w:jc w:val="left"/>
            </w:pPr>
            <w:r w:rsidRPr="000F68B8">
              <w:rPr>
                <w:color w:val="000000"/>
              </w:rPr>
              <w:t xml:space="preserve">1,161,655,000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0BC2C34" w14:textId="2B5A4115">
            <w:pPr>
              <w:tabs>
                <w:tab w:val="decimal" w:pos="330"/>
              </w:tabs>
              <w:jc w:val="left"/>
            </w:pPr>
            <w:r w:rsidRPr="000F68B8">
              <w:rPr>
                <w:color w:val="000000"/>
              </w:rPr>
              <w:t>74.102%</w:t>
            </w:r>
          </w:p>
        </w:tc>
      </w:tr>
      <w:tr w:rsidRPr="002F168A" w:rsidR="000F68B8" w:rsidTr="00921901" w14:paraId="5B67371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11F1272" w14:textId="59E55A91">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0139A85" w14:textId="59E7CE44">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B1BCAF1" w14:textId="40A7E45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445453D" w14:textId="20706F84">
            <w:pPr>
              <w:jc w:val="center"/>
            </w:pPr>
            <w:r w:rsidRPr="000F68B8">
              <w:rPr>
                <w:color w:val="000000"/>
              </w:rPr>
              <w:t>7/1/2035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407DE5CA" w14:textId="679F36C4">
            <w:pPr>
              <w:tabs>
                <w:tab w:val="decimal" w:pos="975"/>
              </w:tabs>
              <w:jc w:val="left"/>
            </w:pPr>
            <w:r w:rsidRPr="000F68B8">
              <w:rPr>
                <w:color w:val="000000"/>
              </w:rPr>
              <w:t xml:space="preserve">865,000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8E54BCD" w14:textId="7066DF65">
            <w:pPr>
              <w:tabs>
                <w:tab w:val="decimal" w:pos="1185"/>
              </w:tabs>
              <w:jc w:val="left"/>
            </w:pPr>
            <w:r w:rsidRPr="000F68B8">
              <w:rPr>
                <w:color w:val="000000"/>
              </w:rPr>
              <w:t xml:space="preserve">1,162,520,000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F99D402" w14:textId="78D3AE15">
            <w:pPr>
              <w:tabs>
                <w:tab w:val="decimal" w:pos="330"/>
              </w:tabs>
              <w:jc w:val="left"/>
            </w:pPr>
            <w:r w:rsidRPr="000F68B8">
              <w:rPr>
                <w:color w:val="000000"/>
              </w:rPr>
              <w:t>74.157%</w:t>
            </w:r>
          </w:p>
        </w:tc>
      </w:tr>
      <w:tr w:rsidRPr="002F168A" w:rsidR="000F68B8" w:rsidTr="00921901" w14:paraId="35D9C9D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1B8D8C1" w14:textId="2B9A94AC">
            <w:pPr>
              <w:tabs>
                <w:tab w:val="decimal" w:pos="255"/>
              </w:tabs>
              <w:jc w:val="right"/>
            </w:pPr>
            <w:r w:rsidRPr="000F68B8">
              <w:rPr>
                <w:color w:val="000000"/>
              </w:rPr>
              <w:t xml:space="preserve">3.980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B601976" w14:textId="4E2F16D6">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0BDAA4B" w14:textId="0BBF788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73AE4B3" w14:textId="154BEDC8">
            <w:pPr>
              <w:jc w:val="center"/>
            </w:pPr>
            <w:r w:rsidRPr="000F68B8">
              <w:rPr>
                <w:color w:val="000000"/>
              </w:rPr>
              <w:t>7/1/2025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9647E9F" w14:textId="35C1B52E">
            <w:pPr>
              <w:tabs>
                <w:tab w:val="decimal" w:pos="975"/>
              </w:tabs>
              <w:jc w:val="left"/>
            </w:pPr>
            <w:r w:rsidRPr="000F68B8">
              <w:rPr>
                <w:color w:val="000000"/>
              </w:rPr>
              <w:t xml:space="preserve">1,035,000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F5A5A33" w14:textId="1E4EE308">
            <w:pPr>
              <w:tabs>
                <w:tab w:val="decimal" w:pos="1185"/>
              </w:tabs>
              <w:jc w:val="left"/>
            </w:pPr>
            <w:r w:rsidRPr="000F68B8">
              <w:rPr>
                <w:color w:val="000000"/>
              </w:rPr>
              <w:t xml:space="preserve">1,163,555,000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8433876" w14:textId="4ED2994C">
            <w:pPr>
              <w:tabs>
                <w:tab w:val="decimal" w:pos="330"/>
              </w:tabs>
              <w:jc w:val="left"/>
            </w:pPr>
            <w:r w:rsidRPr="000F68B8">
              <w:rPr>
                <w:color w:val="000000"/>
              </w:rPr>
              <w:t>74.223%</w:t>
            </w:r>
          </w:p>
        </w:tc>
      </w:tr>
      <w:tr w:rsidRPr="002F168A" w:rsidR="000F68B8" w:rsidTr="00921901" w14:paraId="24E905E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F2198DE" w14:textId="79952C11">
            <w:pPr>
              <w:tabs>
                <w:tab w:val="decimal" w:pos="255"/>
              </w:tabs>
              <w:jc w:val="right"/>
            </w:pPr>
            <w:r w:rsidRPr="000F68B8">
              <w:rPr>
                <w:color w:val="000000"/>
              </w:rPr>
              <w:t xml:space="preserve">3.950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6F27356" w14:textId="33A9E087">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E3F794A" w14:textId="5FE370A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41CFDEC" w14:textId="67BC2604">
            <w:pPr>
              <w:jc w:val="center"/>
            </w:pPr>
            <w:r w:rsidRPr="000F68B8">
              <w:rPr>
                <w:color w:val="000000"/>
              </w:rPr>
              <w:t>1/1/2032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746321C" w14:textId="68938A96">
            <w:pPr>
              <w:tabs>
                <w:tab w:val="decimal" w:pos="975"/>
              </w:tabs>
              <w:jc w:val="left"/>
            </w:pPr>
            <w:r w:rsidRPr="000F68B8">
              <w:rPr>
                <w:color w:val="000000"/>
              </w:rPr>
              <w:t xml:space="preserve">1,225,000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AFD1AD0" w14:textId="37FA6031">
            <w:pPr>
              <w:tabs>
                <w:tab w:val="decimal" w:pos="1185"/>
              </w:tabs>
              <w:jc w:val="left"/>
            </w:pPr>
            <w:r w:rsidRPr="000F68B8">
              <w:rPr>
                <w:color w:val="000000"/>
              </w:rPr>
              <w:t xml:space="preserve">1,164,780,000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AFA71B4" w14:textId="13AABC09">
            <w:pPr>
              <w:tabs>
                <w:tab w:val="decimal" w:pos="330"/>
              </w:tabs>
              <w:jc w:val="left"/>
            </w:pPr>
            <w:r w:rsidRPr="000F68B8">
              <w:rPr>
                <w:color w:val="000000"/>
              </w:rPr>
              <w:t>74.301%</w:t>
            </w:r>
          </w:p>
        </w:tc>
      </w:tr>
      <w:tr w:rsidRPr="002F168A" w:rsidR="000F68B8" w:rsidTr="00921901" w14:paraId="2FDB6FAF"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A94E835" w14:textId="6AC873D8">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D9CF8F1" w14:textId="7A25512F">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A071E86" w14:textId="482F2EA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E2AE6E1" w14:textId="23840408">
            <w:pPr>
              <w:jc w:val="center"/>
            </w:pPr>
            <w:r w:rsidRPr="000F68B8">
              <w:rPr>
                <w:color w:val="000000"/>
              </w:rPr>
              <w:t>7/1/2032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3EE8044E" w14:textId="5E0B48AE">
            <w:pPr>
              <w:tabs>
                <w:tab w:val="decimal" w:pos="975"/>
              </w:tabs>
              <w:jc w:val="left"/>
            </w:pPr>
            <w:r w:rsidRPr="000F68B8">
              <w:rPr>
                <w:color w:val="000000"/>
              </w:rPr>
              <w:t xml:space="preserve">1,260,000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5F9F183" w14:textId="229DE2CF">
            <w:pPr>
              <w:tabs>
                <w:tab w:val="decimal" w:pos="1185"/>
              </w:tabs>
              <w:jc w:val="left"/>
            </w:pPr>
            <w:r w:rsidRPr="000F68B8">
              <w:rPr>
                <w:color w:val="000000"/>
              </w:rPr>
              <w:t xml:space="preserve">1,166,040,000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0B30BE0" w14:textId="4821A933">
            <w:pPr>
              <w:tabs>
                <w:tab w:val="decimal" w:pos="330"/>
              </w:tabs>
              <w:jc w:val="left"/>
            </w:pPr>
            <w:r w:rsidRPr="000F68B8">
              <w:rPr>
                <w:color w:val="000000"/>
              </w:rPr>
              <w:t>74.381%</w:t>
            </w:r>
          </w:p>
        </w:tc>
      </w:tr>
      <w:tr w:rsidRPr="002F168A" w:rsidR="000F68B8" w:rsidTr="00921901" w14:paraId="31438042"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0586837" w14:textId="2711266C">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AA2BF14" w14:textId="4D2F5825">
            <w:pPr>
              <w:jc w:val="left"/>
            </w:pPr>
            <w:r w:rsidRPr="000F68B8">
              <w:rPr>
                <w:color w:val="000000"/>
              </w:rPr>
              <w:t>2023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4089257A" w14:textId="7DB0754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86F9089" w14:textId="5768366F">
            <w:pPr>
              <w:jc w:val="center"/>
            </w:pPr>
            <w:r w:rsidRPr="000F68B8">
              <w:rPr>
                <w:color w:val="000000"/>
              </w:rPr>
              <w:t>1/1/2035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B08C218" w14:textId="5802D0A6">
            <w:pPr>
              <w:tabs>
                <w:tab w:val="decimal" w:pos="975"/>
              </w:tabs>
              <w:jc w:val="left"/>
            </w:pPr>
            <w:r w:rsidRPr="000F68B8">
              <w:rPr>
                <w:color w:val="000000"/>
              </w:rPr>
              <w:t xml:space="preserve">750,000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3A0AE2E5" w14:textId="7280D892">
            <w:pPr>
              <w:tabs>
                <w:tab w:val="decimal" w:pos="1185"/>
              </w:tabs>
              <w:jc w:val="left"/>
            </w:pPr>
            <w:r w:rsidRPr="000F68B8">
              <w:rPr>
                <w:color w:val="000000"/>
              </w:rPr>
              <w:t xml:space="preserve">1,166,790,000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EAF2C4E" w14:textId="10E57631">
            <w:pPr>
              <w:tabs>
                <w:tab w:val="decimal" w:pos="330"/>
              </w:tabs>
              <w:jc w:val="left"/>
            </w:pPr>
            <w:r w:rsidRPr="000F68B8">
              <w:rPr>
                <w:color w:val="000000"/>
              </w:rPr>
              <w:t>74.429%</w:t>
            </w:r>
          </w:p>
        </w:tc>
      </w:tr>
      <w:tr w:rsidRPr="002F168A" w:rsidR="000F68B8" w:rsidTr="00921901" w14:paraId="76B234C5"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59C283D" w14:textId="57FBC7F0">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2C071D8" w14:textId="61C8C640">
            <w:pPr>
              <w:jc w:val="left"/>
            </w:pPr>
            <w:r w:rsidRPr="000F68B8">
              <w:rPr>
                <w:color w:val="000000"/>
              </w:rPr>
              <w:t>2024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BDC4276" w14:textId="0AF24B3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BEE7E4A" w14:textId="30126CBB">
            <w:pPr>
              <w:jc w:val="center"/>
            </w:pPr>
            <w:r w:rsidRPr="000F68B8">
              <w:rPr>
                <w:color w:val="000000"/>
              </w:rPr>
              <w:t>7/1/2026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76F930E" w14:textId="52A6F2D2">
            <w:pPr>
              <w:tabs>
                <w:tab w:val="decimal" w:pos="975"/>
              </w:tabs>
              <w:jc w:val="left"/>
            </w:pPr>
            <w:r w:rsidRPr="000F68B8">
              <w:rPr>
                <w:color w:val="000000"/>
              </w:rPr>
              <w:t xml:space="preserve">1,355,000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E69666F" w14:textId="44B91145">
            <w:pPr>
              <w:tabs>
                <w:tab w:val="decimal" w:pos="1185"/>
              </w:tabs>
              <w:jc w:val="left"/>
            </w:pPr>
            <w:r w:rsidRPr="000F68B8">
              <w:rPr>
                <w:color w:val="000000"/>
              </w:rPr>
              <w:t xml:space="preserve">1,168,145,000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C8BB52C" w14:textId="22740D04">
            <w:pPr>
              <w:tabs>
                <w:tab w:val="decimal" w:pos="330"/>
              </w:tabs>
              <w:jc w:val="left"/>
            </w:pPr>
            <w:r w:rsidRPr="000F68B8">
              <w:rPr>
                <w:color w:val="000000"/>
              </w:rPr>
              <w:t>74.516%</w:t>
            </w:r>
          </w:p>
        </w:tc>
      </w:tr>
      <w:tr w:rsidRPr="002F168A" w:rsidR="000F68B8" w:rsidTr="00921901" w14:paraId="125BD3F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D9F56F7" w14:textId="71321FB2">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4D7FCB3" w14:textId="02C8DBC8">
            <w:pPr>
              <w:jc w:val="left"/>
            </w:pPr>
            <w:r w:rsidRPr="000F68B8">
              <w:rPr>
                <w:color w:val="000000"/>
              </w:rPr>
              <w:t>2024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D0636FD" w14:textId="54D4CE8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7278918D" w14:textId="773EE1DD">
            <w:pPr>
              <w:jc w:val="center"/>
            </w:pPr>
            <w:r w:rsidRPr="000F68B8">
              <w:rPr>
                <w:color w:val="000000"/>
              </w:rPr>
              <w:t>7/1/2027</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674C1FD" w14:textId="281ECFE6">
            <w:pPr>
              <w:tabs>
                <w:tab w:val="decimal" w:pos="975"/>
              </w:tabs>
              <w:jc w:val="left"/>
            </w:pPr>
            <w:r w:rsidRPr="000F68B8">
              <w:rPr>
                <w:color w:val="000000"/>
              </w:rPr>
              <w:t xml:space="preserve">1,355,000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842D2D1" w14:textId="2BEF4692">
            <w:pPr>
              <w:tabs>
                <w:tab w:val="decimal" w:pos="1185"/>
              </w:tabs>
              <w:jc w:val="left"/>
            </w:pPr>
            <w:r w:rsidRPr="000F68B8">
              <w:rPr>
                <w:color w:val="000000"/>
              </w:rPr>
              <w:t xml:space="preserve">1,169,500,000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69E4F7A" w14:textId="5AB5D713">
            <w:pPr>
              <w:tabs>
                <w:tab w:val="decimal" w:pos="330"/>
              </w:tabs>
              <w:jc w:val="left"/>
            </w:pPr>
            <w:r w:rsidRPr="000F68B8">
              <w:rPr>
                <w:color w:val="000000"/>
              </w:rPr>
              <w:t>74.602%</w:t>
            </w:r>
          </w:p>
        </w:tc>
      </w:tr>
      <w:tr w:rsidRPr="002F168A" w:rsidR="000F68B8" w:rsidTr="00921901" w14:paraId="02190E7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67DF59A2" w14:textId="5C90FE16">
            <w:pPr>
              <w:tabs>
                <w:tab w:val="decimal" w:pos="255"/>
              </w:tabs>
              <w:jc w:val="right"/>
            </w:pPr>
            <w:r w:rsidRPr="000F68B8">
              <w:rPr>
                <w:color w:val="000000"/>
              </w:rPr>
              <w:t xml:space="preserve">3.930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E7E90D0" w14:textId="2B723091">
            <w:pPr>
              <w:jc w:val="left"/>
            </w:pPr>
            <w:r w:rsidRPr="000F68B8">
              <w:rPr>
                <w:color w:val="000000"/>
              </w:rPr>
              <w:t>2022 SERIES D</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58866A28" w14:textId="74E4B09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7A35E44" w14:textId="3F3A774C">
            <w:pPr>
              <w:jc w:val="center"/>
            </w:pPr>
            <w:r w:rsidRPr="000F68B8">
              <w:rPr>
                <w:color w:val="000000"/>
              </w:rPr>
              <w:t>1/1/2025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1643976" w14:textId="7BFD080A">
            <w:pPr>
              <w:tabs>
                <w:tab w:val="decimal" w:pos="975"/>
              </w:tabs>
              <w:jc w:val="left"/>
            </w:pPr>
            <w:r w:rsidRPr="000F68B8">
              <w:rPr>
                <w:color w:val="000000"/>
              </w:rPr>
              <w:t xml:space="preserve">1,005,000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CFD26C7" w14:textId="35A4FCA9">
            <w:pPr>
              <w:tabs>
                <w:tab w:val="decimal" w:pos="1185"/>
              </w:tabs>
              <w:jc w:val="left"/>
            </w:pPr>
            <w:r w:rsidRPr="000F68B8">
              <w:rPr>
                <w:color w:val="000000"/>
              </w:rPr>
              <w:t xml:space="preserve">1,170,505,000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6C58200" w14:textId="26483E02">
            <w:pPr>
              <w:tabs>
                <w:tab w:val="decimal" w:pos="330"/>
              </w:tabs>
              <w:jc w:val="left"/>
            </w:pPr>
            <w:r w:rsidRPr="000F68B8">
              <w:rPr>
                <w:color w:val="000000"/>
              </w:rPr>
              <w:t>74.666%</w:t>
            </w:r>
          </w:p>
        </w:tc>
      </w:tr>
      <w:tr w:rsidRPr="002F168A" w:rsidR="000F68B8" w:rsidTr="00921901" w14:paraId="59BB690B"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64BFA17" w14:textId="12F3A463">
            <w:pPr>
              <w:tabs>
                <w:tab w:val="decimal" w:pos="255"/>
              </w:tabs>
              <w:jc w:val="right"/>
            </w:pPr>
            <w:r w:rsidRPr="000F68B8">
              <w:rPr>
                <w:color w:val="000000"/>
              </w:rPr>
              <w:t xml:space="preserve">3.900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7BC6138E" w14:textId="4DCF4687">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8E91F33" w14:textId="43E29D9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25EE808" w14:textId="23D0C48C">
            <w:pPr>
              <w:jc w:val="center"/>
            </w:pPr>
            <w:r w:rsidRPr="000F68B8">
              <w:rPr>
                <w:color w:val="000000"/>
              </w:rPr>
              <w:t>7/1/2031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DF8422A" w14:textId="13912076">
            <w:pPr>
              <w:tabs>
                <w:tab w:val="decimal" w:pos="975"/>
              </w:tabs>
              <w:jc w:val="left"/>
            </w:pPr>
            <w:r w:rsidRPr="000F68B8">
              <w:rPr>
                <w:color w:val="000000"/>
              </w:rPr>
              <w:t xml:space="preserve">1,195,000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80F1522" w14:textId="5D0A700E">
            <w:pPr>
              <w:tabs>
                <w:tab w:val="decimal" w:pos="1185"/>
              </w:tabs>
              <w:jc w:val="left"/>
            </w:pPr>
            <w:r w:rsidRPr="000F68B8">
              <w:rPr>
                <w:color w:val="000000"/>
              </w:rPr>
              <w:t xml:space="preserve">1,171,700,000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65AA84F4" w14:textId="04CD793D">
            <w:pPr>
              <w:tabs>
                <w:tab w:val="decimal" w:pos="330"/>
              </w:tabs>
              <w:jc w:val="left"/>
            </w:pPr>
            <w:r w:rsidRPr="000F68B8">
              <w:rPr>
                <w:color w:val="000000"/>
              </w:rPr>
              <w:t>74.742%</w:t>
            </w:r>
          </w:p>
        </w:tc>
      </w:tr>
      <w:tr w:rsidRPr="002F168A" w:rsidR="000F68B8" w:rsidTr="00921901" w14:paraId="1F3E557D"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05B9B420" w14:textId="27F62A1B">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03FDD08" w14:textId="390C98F6">
            <w:pPr>
              <w:jc w:val="left"/>
            </w:pPr>
            <w:r w:rsidRPr="000F68B8">
              <w:rPr>
                <w:color w:val="000000"/>
              </w:rPr>
              <w:t>2023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6D0F5897" w14:textId="7F94696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00C68D26" w14:textId="73239F43">
            <w:pPr>
              <w:jc w:val="center"/>
            </w:pPr>
            <w:r w:rsidRPr="000F68B8">
              <w:rPr>
                <w:color w:val="000000"/>
              </w:rPr>
              <w:t>7/1/2034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C219AAF" w14:textId="7DF29BA6">
            <w:pPr>
              <w:tabs>
                <w:tab w:val="decimal" w:pos="975"/>
              </w:tabs>
              <w:jc w:val="left"/>
            </w:pPr>
            <w:r w:rsidRPr="000F68B8">
              <w:rPr>
                <w:color w:val="000000"/>
              </w:rPr>
              <w:t xml:space="preserve">725,000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1038080A" w14:textId="3A52B3E4">
            <w:pPr>
              <w:tabs>
                <w:tab w:val="decimal" w:pos="1185"/>
              </w:tabs>
              <w:jc w:val="left"/>
            </w:pPr>
            <w:r w:rsidRPr="000F68B8">
              <w:rPr>
                <w:color w:val="000000"/>
              </w:rPr>
              <w:t xml:space="preserve">1,172,425,000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0992C1E" w14:textId="6C5175C9">
            <w:pPr>
              <w:tabs>
                <w:tab w:val="decimal" w:pos="330"/>
              </w:tabs>
              <w:jc w:val="left"/>
            </w:pPr>
            <w:r w:rsidRPr="000F68B8">
              <w:rPr>
                <w:color w:val="000000"/>
              </w:rPr>
              <w:t>74.789%</w:t>
            </w:r>
          </w:p>
        </w:tc>
      </w:tr>
      <w:tr w:rsidRPr="002F168A" w:rsidR="000F68B8" w:rsidTr="00921901" w14:paraId="7B5FD17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3562670A" w14:textId="29BA13DE">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B17C12D" w14:textId="5C8C145F">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95AAD51" w14:textId="5798C51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6B7F1B1" w14:textId="3248BFF7">
            <w:pPr>
              <w:jc w:val="center"/>
            </w:pPr>
            <w:r w:rsidRPr="000F68B8">
              <w:rPr>
                <w:color w:val="000000"/>
              </w:rPr>
              <w:t>1/1/2034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9BFD11D" w14:textId="5A41E3CD">
            <w:pPr>
              <w:tabs>
                <w:tab w:val="decimal" w:pos="975"/>
              </w:tabs>
              <w:jc w:val="left"/>
            </w:pPr>
            <w:r w:rsidRPr="000F68B8">
              <w:rPr>
                <w:color w:val="000000"/>
              </w:rPr>
              <w:t xml:space="preserve">255,000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EC6401E" w14:textId="55660022">
            <w:pPr>
              <w:tabs>
                <w:tab w:val="decimal" w:pos="1185"/>
              </w:tabs>
              <w:jc w:val="left"/>
            </w:pPr>
            <w:r w:rsidRPr="000F68B8">
              <w:rPr>
                <w:color w:val="000000"/>
              </w:rPr>
              <w:t xml:space="preserve">1,172,680,000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26969F09" w14:textId="56D868AF">
            <w:pPr>
              <w:tabs>
                <w:tab w:val="decimal" w:pos="330"/>
              </w:tabs>
              <w:jc w:val="left"/>
            </w:pPr>
            <w:r w:rsidRPr="000F68B8">
              <w:rPr>
                <w:color w:val="000000"/>
              </w:rPr>
              <w:t>74.805%</w:t>
            </w:r>
          </w:p>
        </w:tc>
      </w:tr>
      <w:tr w:rsidRPr="002F168A" w:rsidR="000F68B8" w:rsidTr="00921901" w14:paraId="6269F90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25F3C116" w14:textId="6298FF1E">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13433067" w14:textId="7DFA1211">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3A496DE" w14:textId="767AE2B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C3C8603" w14:textId="138B1A16">
            <w:pPr>
              <w:jc w:val="center"/>
            </w:pPr>
            <w:r w:rsidRPr="000F68B8">
              <w:rPr>
                <w:color w:val="000000"/>
              </w:rPr>
              <w:t>7/1/2034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8EDDFE2" w14:textId="7655EB10">
            <w:pPr>
              <w:tabs>
                <w:tab w:val="decimal" w:pos="975"/>
              </w:tabs>
              <w:jc w:val="left"/>
            </w:pPr>
            <w:r w:rsidRPr="000F68B8">
              <w:rPr>
                <w:color w:val="000000"/>
              </w:rPr>
              <w:t xml:space="preserve">805,000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48B29CD2" w14:textId="65C69BE3">
            <w:pPr>
              <w:tabs>
                <w:tab w:val="decimal" w:pos="1185"/>
              </w:tabs>
              <w:jc w:val="left"/>
            </w:pPr>
            <w:r w:rsidRPr="000F68B8">
              <w:rPr>
                <w:color w:val="000000"/>
              </w:rPr>
              <w:t xml:space="preserve">1,173,485,000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736F537" w14:textId="514B2942">
            <w:pPr>
              <w:tabs>
                <w:tab w:val="decimal" w:pos="330"/>
              </w:tabs>
              <w:jc w:val="left"/>
            </w:pPr>
            <w:r w:rsidRPr="000F68B8">
              <w:rPr>
                <w:color w:val="000000"/>
              </w:rPr>
              <w:t>74.856%</w:t>
            </w:r>
          </w:p>
        </w:tc>
      </w:tr>
      <w:tr w:rsidRPr="002F168A" w:rsidR="000F68B8" w:rsidTr="00921901" w14:paraId="1027466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68438CC" w14:textId="22800914">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983B21D" w14:textId="32797806">
            <w:pPr>
              <w:jc w:val="left"/>
            </w:pPr>
            <w:r w:rsidRPr="000F68B8">
              <w:rPr>
                <w:color w:val="000000"/>
              </w:rPr>
              <w:t>2024 SERIES B-2</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C54F1BA" w14:textId="7CF0BB2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61CA5BB0" w14:textId="40D5B2E5">
            <w:pPr>
              <w:jc w:val="center"/>
            </w:pPr>
            <w:r w:rsidRPr="000F68B8">
              <w:rPr>
                <w:color w:val="000000"/>
              </w:rPr>
              <w:t>7/1/2025</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2B2C572A" w14:textId="1E9CF912">
            <w:pPr>
              <w:tabs>
                <w:tab w:val="decimal" w:pos="975"/>
              </w:tabs>
              <w:jc w:val="left"/>
            </w:pPr>
            <w:r w:rsidRPr="000F68B8">
              <w:rPr>
                <w:color w:val="000000"/>
              </w:rPr>
              <w:t xml:space="preserve">1,355,000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F18B322" w14:textId="6F08C12A">
            <w:pPr>
              <w:tabs>
                <w:tab w:val="decimal" w:pos="1185"/>
              </w:tabs>
              <w:jc w:val="left"/>
            </w:pPr>
            <w:r w:rsidRPr="000F68B8">
              <w:rPr>
                <w:color w:val="000000"/>
              </w:rPr>
              <w:t xml:space="preserve">1,174,840,000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519D0720" w14:textId="3AFB9B24">
            <w:pPr>
              <w:tabs>
                <w:tab w:val="decimal" w:pos="330"/>
              </w:tabs>
              <w:jc w:val="left"/>
            </w:pPr>
            <w:r w:rsidRPr="000F68B8">
              <w:rPr>
                <w:color w:val="000000"/>
              </w:rPr>
              <w:t>74.943%</w:t>
            </w:r>
          </w:p>
        </w:tc>
      </w:tr>
      <w:tr w:rsidRPr="002F168A" w:rsidR="000F68B8" w:rsidTr="00921901" w14:paraId="4C46AA1A"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DC55102" w14:textId="19245DCF">
            <w:pPr>
              <w:tabs>
                <w:tab w:val="decimal" w:pos="255"/>
              </w:tabs>
              <w:jc w:val="right"/>
            </w:pPr>
            <w:r w:rsidRPr="000F68B8">
              <w:rPr>
                <w:color w:val="000000"/>
              </w:rPr>
              <w:t xml:space="preserve">3.850 </w:t>
            </w: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5C1A746" w14:textId="503E8C97">
            <w:pPr>
              <w:jc w:val="left"/>
            </w:pPr>
            <w:r w:rsidRPr="000F68B8">
              <w:rPr>
                <w:color w:val="000000"/>
              </w:rPr>
              <w:t>2022 SERIES B</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113AF157" w14:textId="0714DA7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1D493FF8" w14:textId="74FF0E80">
            <w:pPr>
              <w:jc w:val="center"/>
            </w:pPr>
            <w:r w:rsidRPr="000F68B8">
              <w:rPr>
                <w:color w:val="000000"/>
              </w:rPr>
              <w:t>1/1/2031</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E27CAC3" w14:textId="6D5819F6">
            <w:pPr>
              <w:tabs>
                <w:tab w:val="decimal" w:pos="975"/>
              </w:tabs>
              <w:jc w:val="left"/>
            </w:pPr>
            <w:r w:rsidRPr="000F68B8">
              <w:rPr>
                <w:color w:val="000000"/>
              </w:rPr>
              <w:t xml:space="preserve">1,160,000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779A611F" w14:textId="6A89EC94">
            <w:pPr>
              <w:tabs>
                <w:tab w:val="decimal" w:pos="1185"/>
              </w:tabs>
              <w:jc w:val="left"/>
            </w:pPr>
            <w:r w:rsidRPr="000F68B8">
              <w:rPr>
                <w:color w:val="000000"/>
              </w:rPr>
              <w:t xml:space="preserve">1,176,000,000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788CCAA2" w14:textId="5BB2A589">
            <w:pPr>
              <w:tabs>
                <w:tab w:val="decimal" w:pos="330"/>
              </w:tabs>
              <w:jc w:val="left"/>
            </w:pPr>
            <w:r w:rsidRPr="000F68B8">
              <w:rPr>
                <w:color w:val="000000"/>
              </w:rPr>
              <w:t>75.017%</w:t>
            </w:r>
          </w:p>
        </w:tc>
      </w:tr>
      <w:tr w:rsidRPr="002F168A" w:rsidR="000F68B8" w:rsidTr="00921901" w14:paraId="1D212453"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DF88E06" w14:textId="232F9263">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536D4935" w14:textId="60E61692">
            <w:pPr>
              <w:jc w:val="left"/>
            </w:pPr>
            <w:r w:rsidRPr="000F68B8">
              <w:rPr>
                <w:color w:val="000000"/>
              </w:rPr>
              <w:t>2023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229E459B" w14:textId="0BEDAB9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2CE10C7F" w14:textId="54D206C4">
            <w:pPr>
              <w:jc w:val="center"/>
            </w:pPr>
            <w:r w:rsidRPr="000F68B8">
              <w:rPr>
                <w:color w:val="000000"/>
              </w:rPr>
              <w:t>1/1/2034</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0A93F06" w14:textId="3D1F416A">
            <w:pPr>
              <w:tabs>
                <w:tab w:val="decimal" w:pos="975"/>
              </w:tabs>
              <w:jc w:val="left"/>
            </w:pPr>
            <w:r w:rsidRPr="000F68B8">
              <w:rPr>
                <w:color w:val="000000"/>
              </w:rPr>
              <w:t xml:space="preserve">700,000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07E3AFAF" w14:textId="453EFC6E">
            <w:pPr>
              <w:tabs>
                <w:tab w:val="decimal" w:pos="1185"/>
              </w:tabs>
              <w:jc w:val="left"/>
            </w:pPr>
            <w:r w:rsidRPr="000F68B8">
              <w:rPr>
                <w:color w:val="000000"/>
              </w:rPr>
              <w:t xml:space="preserve">1,176,700,000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44D792A2" w14:textId="681B23B7">
            <w:pPr>
              <w:tabs>
                <w:tab w:val="decimal" w:pos="330"/>
              </w:tabs>
              <w:jc w:val="left"/>
            </w:pPr>
            <w:r w:rsidRPr="000F68B8">
              <w:rPr>
                <w:color w:val="000000"/>
              </w:rPr>
              <w:t>75.061%</w:t>
            </w:r>
          </w:p>
        </w:tc>
      </w:tr>
      <w:tr w:rsidRPr="002F168A" w:rsidR="000F68B8" w:rsidTr="00921901" w14:paraId="6B9CA8EC"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1B7B44F8" w14:textId="730F9EAD">
            <w:pPr>
              <w:tabs>
                <w:tab w:val="decimal" w:pos="255"/>
              </w:tabs>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63119623" w14:textId="7EDF7848">
            <w:pPr>
              <w:jc w:val="left"/>
            </w:pPr>
            <w:r w:rsidRPr="000F68B8">
              <w:rPr>
                <w:color w:val="000000"/>
              </w:rPr>
              <w:t>2024 SERIES A-1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34B9B7D3" w14:textId="3C98639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53CDDDD6" w14:textId="5F01E4BC">
            <w:pPr>
              <w:jc w:val="center"/>
            </w:pPr>
            <w:r w:rsidRPr="000F68B8">
              <w:rPr>
                <w:color w:val="000000"/>
              </w:rPr>
              <w:t>7/1/2036</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1BC43FD3" w14:textId="327B40F0">
            <w:pPr>
              <w:tabs>
                <w:tab w:val="decimal" w:pos="975"/>
              </w:tabs>
              <w:jc w:val="left"/>
            </w:pPr>
            <w:r w:rsidRPr="000F68B8">
              <w:rPr>
                <w:color w:val="000000"/>
              </w:rPr>
              <w:t xml:space="preserve">1,070,000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52D13667" w14:textId="1ADDD657">
            <w:pPr>
              <w:tabs>
                <w:tab w:val="decimal" w:pos="1185"/>
              </w:tabs>
              <w:jc w:val="left"/>
            </w:pPr>
            <w:r w:rsidRPr="000F68B8">
              <w:rPr>
                <w:color w:val="000000"/>
              </w:rPr>
              <w:t xml:space="preserve">1,177,770,000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3F20E276" w14:textId="56EABCF5">
            <w:pPr>
              <w:tabs>
                <w:tab w:val="decimal" w:pos="330"/>
              </w:tabs>
              <w:jc w:val="left"/>
            </w:pPr>
            <w:r w:rsidRPr="000F68B8">
              <w:rPr>
                <w:color w:val="000000"/>
              </w:rPr>
              <w:t>75.130%</w:t>
            </w:r>
          </w:p>
        </w:tc>
      </w:tr>
      <w:tr w:rsidRPr="002F168A" w:rsidR="000F68B8" w:rsidTr="00921901" w14:paraId="6A621447"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740960B0" w14:textId="39475453">
            <w:pPr>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26CF42FD" w14:textId="1ACB408D">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7849B1E8" w14:textId="5C93861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3E3B14DB" w14:textId="2DBDD392">
            <w:pPr>
              <w:jc w:val="center"/>
            </w:pPr>
            <w:r w:rsidRPr="000F68B8">
              <w:rPr>
                <w:color w:val="000000"/>
              </w:rPr>
              <w:t>1/1/2032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7B9BEDE5" w14:textId="4FF0174C">
            <w:pPr>
              <w:tabs>
                <w:tab w:val="decimal" w:pos="975"/>
              </w:tabs>
              <w:jc w:val="left"/>
            </w:pPr>
            <w:r w:rsidRPr="000F68B8">
              <w:rPr>
                <w:color w:val="000000"/>
              </w:rPr>
              <w:t xml:space="preserve">165,000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28027051" w14:textId="3C7F6288">
            <w:pPr>
              <w:tabs>
                <w:tab w:val="decimal" w:pos="1185"/>
              </w:tabs>
              <w:jc w:val="left"/>
            </w:pPr>
            <w:r w:rsidRPr="000F68B8">
              <w:rPr>
                <w:color w:val="000000"/>
              </w:rPr>
              <w:t xml:space="preserve">1,177,935,000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09B8C4D" w14:textId="2B0369F7">
            <w:pPr>
              <w:tabs>
                <w:tab w:val="decimal" w:pos="330"/>
              </w:tabs>
              <w:jc w:val="left"/>
            </w:pPr>
            <w:r w:rsidRPr="000F68B8">
              <w:rPr>
                <w:color w:val="000000"/>
              </w:rPr>
              <w:t>75.140%</w:t>
            </w:r>
          </w:p>
        </w:tc>
      </w:tr>
      <w:tr w:rsidRPr="002F168A" w:rsidR="000F68B8" w:rsidTr="00921901" w14:paraId="5F8DB554" w14:textId="77777777">
        <w:trPr>
          <w:trHeight w:val="255"/>
          <w:jc w:val="center"/>
        </w:trPr>
        <w:tc>
          <w:tcPr>
            <w:tcW w:w="980" w:type="dxa"/>
            <w:tcBorders>
              <w:top w:val="nil"/>
              <w:left w:val="nil"/>
              <w:bottom w:val="nil"/>
              <w:right w:val="nil"/>
            </w:tcBorders>
            <w:shd w:val="clear" w:color="auto" w:fill="auto"/>
            <w:noWrap/>
            <w:vAlign w:val="bottom"/>
            <w:hideMark/>
          </w:tcPr>
          <w:p w:rsidRPr="000F68B8" w:rsidR="000F68B8" w:rsidP="000F68B8" w:rsidRDefault="000F68B8" w14:paraId="4FB0CB60" w14:textId="007AC933">
            <w:pPr>
              <w:jc w:val="right"/>
            </w:pPr>
          </w:p>
        </w:tc>
        <w:tc>
          <w:tcPr>
            <w:tcW w:w="1820" w:type="dxa"/>
            <w:tcBorders>
              <w:top w:val="nil"/>
              <w:left w:val="nil"/>
              <w:bottom w:val="nil"/>
              <w:right w:val="nil"/>
            </w:tcBorders>
            <w:shd w:val="clear" w:color="auto" w:fill="auto"/>
            <w:noWrap/>
            <w:vAlign w:val="bottom"/>
            <w:hideMark/>
          </w:tcPr>
          <w:p w:rsidRPr="000F68B8" w:rsidR="000F68B8" w:rsidP="000F68B8" w:rsidRDefault="000F68B8" w14:paraId="4C76F02D" w14:textId="5753DF71">
            <w:pPr>
              <w:jc w:val="left"/>
            </w:pPr>
            <w:r w:rsidRPr="000F68B8">
              <w:rPr>
                <w:color w:val="000000"/>
              </w:rPr>
              <w:t>2024 SERIES B-1</w:t>
            </w:r>
          </w:p>
        </w:tc>
        <w:tc>
          <w:tcPr>
            <w:tcW w:w="1360" w:type="dxa"/>
            <w:tcBorders>
              <w:top w:val="nil"/>
              <w:left w:val="nil"/>
              <w:bottom w:val="nil"/>
              <w:right w:val="nil"/>
            </w:tcBorders>
            <w:shd w:val="clear" w:color="auto" w:fill="auto"/>
            <w:noWrap/>
            <w:vAlign w:val="bottom"/>
            <w:hideMark/>
          </w:tcPr>
          <w:p w:rsidRPr="000F68B8" w:rsidR="000F68B8" w:rsidP="000F68B8" w:rsidRDefault="000F68B8" w14:paraId="09E8C112" w14:textId="6DB4113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hideMark/>
          </w:tcPr>
          <w:p w:rsidRPr="000F68B8" w:rsidR="000F68B8" w:rsidP="000F68B8" w:rsidRDefault="000F68B8" w14:paraId="41439765" w14:textId="1ACF3FB0">
            <w:pPr>
              <w:jc w:val="center"/>
            </w:pPr>
            <w:r w:rsidRPr="000F68B8">
              <w:rPr>
                <w:color w:val="000000"/>
              </w:rPr>
              <w:t>7/1/2032</w:t>
            </w:r>
          </w:p>
        </w:tc>
        <w:tc>
          <w:tcPr>
            <w:tcW w:w="1220" w:type="dxa"/>
            <w:tcBorders>
              <w:top w:val="nil"/>
              <w:left w:val="nil"/>
              <w:bottom w:val="nil"/>
              <w:right w:val="nil"/>
            </w:tcBorders>
            <w:shd w:val="clear" w:color="auto" w:fill="auto"/>
            <w:noWrap/>
            <w:vAlign w:val="bottom"/>
            <w:hideMark/>
          </w:tcPr>
          <w:p w:rsidRPr="000F68B8" w:rsidR="000F68B8" w:rsidP="000F68B8" w:rsidRDefault="000F68B8" w14:paraId="5913DEF2" w14:textId="0E31A499">
            <w:pPr>
              <w:tabs>
                <w:tab w:val="decimal" w:pos="975"/>
              </w:tabs>
              <w:jc w:val="left"/>
            </w:pPr>
            <w:r w:rsidRPr="000F68B8">
              <w:rPr>
                <w:color w:val="000000"/>
              </w:rPr>
              <w:t xml:space="preserve">215,000 </w:t>
            </w:r>
          </w:p>
        </w:tc>
        <w:tc>
          <w:tcPr>
            <w:tcW w:w="1580" w:type="dxa"/>
            <w:tcBorders>
              <w:top w:val="nil"/>
              <w:left w:val="nil"/>
              <w:bottom w:val="nil"/>
              <w:right w:val="nil"/>
            </w:tcBorders>
            <w:shd w:val="clear" w:color="auto" w:fill="auto"/>
            <w:noWrap/>
            <w:vAlign w:val="bottom"/>
            <w:hideMark/>
          </w:tcPr>
          <w:p w:rsidRPr="000F68B8" w:rsidR="000F68B8" w:rsidP="000F68B8" w:rsidRDefault="000F68B8" w14:paraId="6A5CE146" w14:textId="6719DBF3">
            <w:pPr>
              <w:tabs>
                <w:tab w:val="decimal" w:pos="1185"/>
              </w:tabs>
              <w:jc w:val="left"/>
            </w:pPr>
            <w:r w:rsidRPr="000F68B8">
              <w:rPr>
                <w:color w:val="000000"/>
              </w:rPr>
              <w:t xml:space="preserve">1,178,150,000 </w:t>
            </w:r>
          </w:p>
        </w:tc>
        <w:tc>
          <w:tcPr>
            <w:tcW w:w="1160" w:type="dxa"/>
            <w:tcBorders>
              <w:top w:val="nil"/>
              <w:left w:val="nil"/>
              <w:bottom w:val="nil"/>
              <w:right w:val="nil"/>
            </w:tcBorders>
            <w:shd w:val="clear" w:color="auto" w:fill="auto"/>
            <w:noWrap/>
            <w:vAlign w:val="bottom"/>
            <w:hideMark/>
          </w:tcPr>
          <w:p w:rsidRPr="000F68B8" w:rsidR="000F68B8" w:rsidP="000F68B8" w:rsidRDefault="000F68B8" w14:paraId="083B21D6" w14:textId="0046DA7F">
            <w:pPr>
              <w:tabs>
                <w:tab w:val="decimal" w:pos="330"/>
              </w:tabs>
              <w:jc w:val="left"/>
            </w:pPr>
            <w:r w:rsidRPr="000F68B8">
              <w:rPr>
                <w:color w:val="000000"/>
              </w:rPr>
              <w:t>75.154%</w:t>
            </w:r>
          </w:p>
        </w:tc>
      </w:tr>
      <w:tr w:rsidRPr="002F168A" w:rsidR="000F68B8" w:rsidTr="00921901" w14:paraId="7549139E"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FC698C5" w14:textId="0185633A">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0DF796F" w14:textId="425282C8">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2842762F" w14:textId="651CE69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8BCC144" w14:textId="56AC378A">
            <w:pPr>
              <w:jc w:val="center"/>
            </w:pPr>
            <w:r w:rsidRPr="000F68B8">
              <w:rPr>
                <w:color w:val="000000"/>
              </w:rPr>
              <w:t>1/1/2033</w:t>
            </w:r>
          </w:p>
        </w:tc>
        <w:tc>
          <w:tcPr>
            <w:tcW w:w="1220" w:type="dxa"/>
            <w:tcBorders>
              <w:top w:val="nil"/>
              <w:left w:val="nil"/>
              <w:bottom w:val="nil"/>
              <w:right w:val="nil"/>
            </w:tcBorders>
            <w:shd w:val="clear" w:color="auto" w:fill="auto"/>
            <w:noWrap/>
            <w:vAlign w:val="bottom"/>
          </w:tcPr>
          <w:p w:rsidRPr="000F68B8" w:rsidR="000F68B8" w:rsidP="000F68B8" w:rsidRDefault="000F68B8" w14:paraId="1C4F1F87" w14:textId="3BEB2D7C">
            <w:pPr>
              <w:tabs>
                <w:tab w:val="decimal" w:pos="975"/>
              </w:tabs>
              <w:jc w:val="left"/>
            </w:pPr>
            <w:r w:rsidRPr="000F68B8">
              <w:rPr>
                <w:color w:val="000000"/>
              </w:rPr>
              <w:t xml:space="preserve">230,000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2793F02" w14:textId="5C8E3B00">
            <w:pPr>
              <w:tabs>
                <w:tab w:val="decimal" w:pos="1185"/>
              </w:tabs>
              <w:jc w:val="left"/>
            </w:pPr>
            <w:r w:rsidRPr="000F68B8">
              <w:rPr>
                <w:color w:val="000000"/>
              </w:rPr>
              <w:t xml:space="preserve">1,178,380,000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072F5B6" w14:textId="581770AC">
            <w:pPr>
              <w:tabs>
                <w:tab w:val="decimal" w:pos="330"/>
              </w:tabs>
              <w:jc w:val="left"/>
            </w:pPr>
            <w:r w:rsidRPr="000F68B8">
              <w:rPr>
                <w:color w:val="000000"/>
              </w:rPr>
              <w:t>75.169%</w:t>
            </w:r>
          </w:p>
        </w:tc>
      </w:tr>
      <w:tr w:rsidRPr="002F168A" w:rsidR="000F68B8" w:rsidTr="00921901" w14:paraId="5535C3D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B0150E3" w14:textId="753C564D">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C891531" w14:textId="5042EE4F">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21FED50A" w14:textId="19AF073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83FAB1D" w14:textId="2A6D6571">
            <w:pPr>
              <w:jc w:val="center"/>
            </w:pPr>
            <w:r w:rsidRPr="000F68B8">
              <w:rPr>
                <w:color w:val="000000"/>
              </w:rPr>
              <w:t>7/1/2033</w:t>
            </w:r>
          </w:p>
        </w:tc>
        <w:tc>
          <w:tcPr>
            <w:tcW w:w="1220" w:type="dxa"/>
            <w:tcBorders>
              <w:top w:val="nil"/>
              <w:left w:val="nil"/>
              <w:bottom w:val="nil"/>
              <w:right w:val="nil"/>
            </w:tcBorders>
            <w:shd w:val="clear" w:color="auto" w:fill="auto"/>
            <w:noWrap/>
            <w:vAlign w:val="bottom"/>
          </w:tcPr>
          <w:p w:rsidRPr="000F68B8" w:rsidR="000F68B8" w:rsidP="000F68B8" w:rsidRDefault="000F68B8" w14:paraId="4D944024" w14:textId="0C00D27C">
            <w:pPr>
              <w:tabs>
                <w:tab w:val="decimal" w:pos="975"/>
              </w:tabs>
              <w:jc w:val="left"/>
            </w:pPr>
            <w:r w:rsidRPr="000F68B8">
              <w:rPr>
                <w:color w:val="000000"/>
              </w:rPr>
              <w:t xml:space="preserve">245,000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B6D7F4B" w14:textId="4FD170DE">
            <w:pPr>
              <w:tabs>
                <w:tab w:val="decimal" w:pos="1185"/>
              </w:tabs>
              <w:jc w:val="left"/>
            </w:pPr>
            <w:r w:rsidRPr="000F68B8">
              <w:rPr>
                <w:color w:val="000000"/>
              </w:rPr>
              <w:t xml:space="preserve">1,178,625,000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2B92E65" w14:textId="3EDDF075">
            <w:pPr>
              <w:tabs>
                <w:tab w:val="decimal" w:pos="330"/>
              </w:tabs>
              <w:jc w:val="left"/>
            </w:pPr>
            <w:r w:rsidRPr="000F68B8">
              <w:rPr>
                <w:color w:val="000000"/>
              </w:rPr>
              <w:t>75.184%</w:t>
            </w:r>
          </w:p>
        </w:tc>
      </w:tr>
      <w:tr w:rsidRPr="002F168A" w:rsidR="000F68B8" w:rsidTr="00921901" w14:paraId="134E0C7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E9BB5C1" w14:textId="55BAFAB5">
            <w:pPr>
              <w:jc w:val="right"/>
            </w:pPr>
            <w:r w:rsidRPr="000F68B8">
              <w:rPr>
                <w:color w:val="000000"/>
              </w:rPr>
              <w:t xml:space="preserve">3.800 </w:t>
            </w:r>
          </w:p>
        </w:tc>
        <w:tc>
          <w:tcPr>
            <w:tcW w:w="1820" w:type="dxa"/>
            <w:tcBorders>
              <w:top w:val="nil"/>
              <w:left w:val="nil"/>
              <w:bottom w:val="nil"/>
              <w:right w:val="nil"/>
            </w:tcBorders>
            <w:shd w:val="clear" w:color="auto" w:fill="auto"/>
            <w:noWrap/>
            <w:vAlign w:val="bottom"/>
          </w:tcPr>
          <w:p w:rsidRPr="000F68B8" w:rsidR="000F68B8" w:rsidP="000F68B8" w:rsidRDefault="000F68B8" w14:paraId="6698AF69" w14:textId="1C17DDD8">
            <w:pPr>
              <w:jc w:val="left"/>
            </w:pPr>
            <w:r w:rsidRPr="000F68B8">
              <w:rPr>
                <w:color w:val="000000"/>
              </w:rPr>
              <w:t>2024 SERIES A-1</w:t>
            </w:r>
          </w:p>
        </w:tc>
        <w:tc>
          <w:tcPr>
            <w:tcW w:w="1360" w:type="dxa"/>
            <w:tcBorders>
              <w:top w:val="nil"/>
              <w:left w:val="nil"/>
              <w:bottom w:val="nil"/>
              <w:right w:val="nil"/>
            </w:tcBorders>
            <w:shd w:val="clear" w:color="auto" w:fill="auto"/>
            <w:noWrap/>
            <w:vAlign w:val="bottom"/>
          </w:tcPr>
          <w:p w:rsidRPr="000F68B8" w:rsidR="000F68B8" w:rsidP="000F68B8" w:rsidRDefault="000F68B8" w14:paraId="0A8E4A8E" w14:textId="25996E6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FCEE349" w14:textId="4D8DC3DD">
            <w:pPr>
              <w:jc w:val="center"/>
            </w:pPr>
            <w:r w:rsidRPr="000F68B8">
              <w:rPr>
                <w:color w:val="000000"/>
              </w:rPr>
              <w:t>7/1/2035</w:t>
            </w:r>
          </w:p>
        </w:tc>
        <w:tc>
          <w:tcPr>
            <w:tcW w:w="1220" w:type="dxa"/>
            <w:tcBorders>
              <w:top w:val="nil"/>
              <w:left w:val="nil"/>
              <w:bottom w:val="nil"/>
              <w:right w:val="nil"/>
            </w:tcBorders>
            <w:shd w:val="clear" w:color="auto" w:fill="auto"/>
            <w:noWrap/>
            <w:vAlign w:val="bottom"/>
          </w:tcPr>
          <w:p w:rsidRPr="000F68B8" w:rsidR="000F68B8" w:rsidP="000F68B8" w:rsidRDefault="000F68B8" w14:paraId="0EF215C1" w14:textId="30DC8768">
            <w:pPr>
              <w:tabs>
                <w:tab w:val="decimal" w:pos="975"/>
              </w:tabs>
              <w:jc w:val="left"/>
            </w:pPr>
            <w:r w:rsidRPr="000F68B8">
              <w:rPr>
                <w:color w:val="000000"/>
              </w:rPr>
              <w:t xml:space="preserve">1,000,000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839435C" w14:textId="12C3F770">
            <w:pPr>
              <w:tabs>
                <w:tab w:val="decimal" w:pos="1185"/>
              </w:tabs>
              <w:jc w:val="left"/>
            </w:pPr>
            <w:r w:rsidRPr="000F68B8">
              <w:rPr>
                <w:color w:val="000000"/>
              </w:rPr>
              <w:t xml:space="preserve">1,179,625,000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7DA0DBE" w14:textId="3FB37989">
            <w:pPr>
              <w:tabs>
                <w:tab w:val="decimal" w:pos="330"/>
              </w:tabs>
              <w:jc w:val="left"/>
            </w:pPr>
            <w:r w:rsidRPr="000F68B8">
              <w:rPr>
                <w:color w:val="000000"/>
              </w:rPr>
              <w:t>75.248%</w:t>
            </w:r>
          </w:p>
        </w:tc>
      </w:tr>
      <w:tr w:rsidRPr="002F168A" w:rsidR="000F68B8" w:rsidTr="00921901" w14:paraId="2C4ED20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5E92C3F" w14:textId="0130CCDF">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D532874" w14:textId="3CC1F327">
            <w:pPr>
              <w:jc w:val="left"/>
            </w:pPr>
            <w:r w:rsidRPr="000F68B8">
              <w:rPr>
                <w:color w:val="000000"/>
              </w:rPr>
              <w:t>2024 SERIES A-1</w:t>
            </w:r>
          </w:p>
        </w:tc>
        <w:tc>
          <w:tcPr>
            <w:tcW w:w="1360" w:type="dxa"/>
            <w:tcBorders>
              <w:top w:val="nil"/>
              <w:left w:val="nil"/>
              <w:bottom w:val="nil"/>
              <w:right w:val="nil"/>
            </w:tcBorders>
            <w:shd w:val="clear" w:color="auto" w:fill="auto"/>
            <w:noWrap/>
            <w:vAlign w:val="bottom"/>
          </w:tcPr>
          <w:p w:rsidRPr="000F68B8" w:rsidR="000F68B8" w:rsidP="000F68B8" w:rsidRDefault="000F68B8" w14:paraId="5A43D37D" w14:textId="7BA8A2D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7154B15" w14:textId="593E4042">
            <w:pPr>
              <w:jc w:val="center"/>
            </w:pPr>
            <w:r w:rsidRPr="000F68B8">
              <w:rPr>
                <w:color w:val="000000"/>
              </w:rPr>
              <w:t>1/1/2036</w:t>
            </w:r>
          </w:p>
        </w:tc>
        <w:tc>
          <w:tcPr>
            <w:tcW w:w="1220" w:type="dxa"/>
            <w:tcBorders>
              <w:top w:val="nil"/>
              <w:left w:val="nil"/>
              <w:bottom w:val="nil"/>
              <w:right w:val="nil"/>
            </w:tcBorders>
            <w:shd w:val="clear" w:color="auto" w:fill="auto"/>
            <w:noWrap/>
            <w:vAlign w:val="bottom"/>
          </w:tcPr>
          <w:p w:rsidRPr="000F68B8" w:rsidR="000F68B8" w:rsidP="000F68B8" w:rsidRDefault="000F68B8" w14:paraId="06EE5B52" w14:textId="0757D8B6">
            <w:pPr>
              <w:tabs>
                <w:tab w:val="decimal" w:pos="975"/>
              </w:tabs>
              <w:jc w:val="left"/>
            </w:pPr>
            <w:r w:rsidRPr="000F68B8">
              <w:rPr>
                <w:color w:val="000000"/>
              </w:rPr>
              <w:t xml:space="preserve">1,035,000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132017B" w14:textId="2BF35533">
            <w:pPr>
              <w:tabs>
                <w:tab w:val="decimal" w:pos="1185"/>
              </w:tabs>
              <w:jc w:val="left"/>
            </w:pPr>
            <w:r w:rsidRPr="000F68B8">
              <w:rPr>
                <w:color w:val="000000"/>
              </w:rPr>
              <w:t xml:space="preserve">1,180,660,000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66F70FF" w14:textId="359EB3B5">
            <w:pPr>
              <w:tabs>
                <w:tab w:val="decimal" w:pos="330"/>
              </w:tabs>
              <w:jc w:val="left"/>
            </w:pPr>
            <w:r w:rsidRPr="000F68B8">
              <w:rPr>
                <w:color w:val="000000"/>
              </w:rPr>
              <w:t>75.314%</w:t>
            </w:r>
          </w:p>
        </w:tc>
      </w:tr>
      <w:tr w:rsidRPr="002F168A" w:rsidR="000F68B8" w:rsidTr="00921901" w14:paraId="388A4F2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E56DB47" w14:textId="483035B1">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527201D" w14:textId="6909925D">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2907D2FA" w14:textId="0A23D16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C357D84" w14:textId="1D74205F">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1B1CE960" w14:textId="0C7768B3">
            <w:pPr>
              <w:tabs>
                <w:tab w:val="decimal" w:pos="975"/>
              </w:tabs>
              <w:jc w:val="left"/>
            </w:pPr>
            <w:r w:rsidRPr="000F68B8">
              <w:rPr>
                <w:color w:val="000000"/>
              </w:rPr>
              <w:t xml:space="preserve">155,000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F31D919" w14:textId="5EC62998">
            <w:pPr>
              <w:tabs>
                <w:tab w:val="decimal" w:pos="1185"/>
              </w:tabs>
              <w:jc w:val="left"/>
            </w:pPr>
            <w:r w:rsidRPr="000F68B8">
              <w:rPr>
                <w:color w:val="000000"/>
              </w:rPr>
              <w:t xml:space="preserve">1,180,815,000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6626A06" w14:textId="371EA760">
            <w:pPr>
              <w:tabs>
                <w:tab w:val="decimal" w:pos="330"/>
              </w:tabs>
              <w:jc w:val="left"/>
            </w:pPr>
            <w:r w:rsidRPr="000F68B8">
              <w:rPr>
                <w:color w:val="000000"/>
              </w:rPr>
              <w:t>75.324%</w:t>
            </w:r>
          </w:p>
        </w:tc>
      </w:tr>
      <w:tr w:rsidRPr="002F168A" w:rsidR="000F68B8" w:rsidTr="00921901" w14:paraId="27BA845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0102893" w14:textId="2189547B">
            <w:pPr>
              <w:jc w:val="right"/>
            </w:pPr>
            <w:r w:rsidRPr="000F68B8">
              <w:rPr>
                <w:color w:val="000000"/>
              </w:rPr>
              <w:t xml:space="preserve">3.750 </w:t>
            </w:r>
          </w:p>
        </w:tc>
        <w:tc>
          <w:tcPr>
            <w:tcW w:w="1820" w:type="dxa"/>
            <w:tcBorders>
              <w:top w:val="nil"/>
              <w:left w:val="nil"/>
              <w:bottom w:val="nil"/>
              <w:right w:val="nil"/>
            </w:tcBorders>
            <w:shd w:val="clear" w:color="auto" w:fill="auto"/>
            <w:noWrap/>
            <w:vAlign w:val="bottom"/>
          </w:tcPr>
          <w:p w:rsidRPr="000F68B8" w:rsidR="000F68B8" w:rsidP="000F68B8" w:rsidRDefault="000F68B8" w14:paraId="56F144C0" w14:textId="65C6EA00">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00E7602E" w14:textId="149B6AEC">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tcPr>
          <w:p w:rsidRPr="000F68B8" w:rsidR="000F68B8" w:rsidP="000F68B8" w:rsidRDefault="000F68B8" w14:paraId="476183CD" w14:textId="30B29E08">
            <w:pPr>
              <w:jc w:val="center"/>
            </w:pPr>
            <w:r w:rsidRPr="000F68B8">
              <w:rPr>
                <w:color w:val="000000"/>
              </w:rPr>
              <w:t>1/1/2049</w:t>
            </w:r>
          </w:p>
        </w:tc>
        <w:tc>
          <w:tcPr>
            <w:tcW w:w="1220" w:type="dxa"/>
            <w:tcBorders>
              <w:top w:val="nil"/>
              <w:left w:val="nil"/>
              <w:bottom w:val="nil"/>
              <w:right w:val="nil"/>
            </w:tcBorders>
            <w:shd w:val="clear" w:color="auto" w:fill="auto"/>
            <w:noWrap/>
            <w:vAlign w:val="bottom"/>
          </w:tcPr>
          <w:p w:rsidRPr="000F68B8" w:rsidR="000F68B8" w:rsidP="000F68B8" w:rsidRDefault="000F68B8" w14:paraId="030A2712" w14:textId="1292E7A5">
            <w:pPr>
              <w:tabs>
                <w:tab w:val="decimal" w:pos="975"/>
              </w:tabs>
              <w:jc w:val="left"/>
            </w:pPr>
            <w:r w:rsidRPr="000F68B8">
              <w:rPr>
                <w:color w:val="000000"/>
              </w:rPr>
              <w:t xml:space="preserve">10,580,000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7898314" w14:textId="683BD8C0">
            <w:pPr>
              <w:tabs>
                <w:tab w:val="decimal" w:pos="1185"/>
              </w:tabs>
              <w:jc w:val="left"/>
            </w:pPr>
            <w:r w:rsidRPr="000F68B8">
              <w:rPr>
                <w:color w:val="000000"/>
              </w:rPr>
              <w:t xml:space="preserve">1,191,395,000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176702F" w14:textId="006DE7DD">
            <w:pPr>
              <w:tabs>
                <w:tab w:val="decimal" w:pos="330"/>
              </w:tabs>
              <w:jc w:val="left"/>
            </w:pPr>
            <w:r w:rsidRPr="000F68B8">
              <w:rPr>
                <w:color w:val="000000"/>
              </w:rPr>
              <w:t>75.999%</w:t>
            </w:r>
          </w:p>
        </w:tc>
      </w:tr>
      <w:tr w:rsidRPr="002F168A" w:rsidR="000F68B8" w:rsidTr="00921901" w14:paraId="1C5050B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9FA8DE8" w14:textId="2C7AC76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C22C2F7" w14:textId="34EBAB84">
            <w:pPr>
              <w:jc w:val="left"/>
            </w:pPr>
            <w:r w:rsidRPr="000F68B8">
              <w:rPr>
                <w:color w:val="000000"/>
              </w:rPr>
              <w:t>2024 SERIES A-1</w:t>
            </w:r>
          </w:p>
        </w:tc>
        <w:tc>
          <w:tcPr>
            <w:tcW w:w="1360" w:type="dxa"/>
            <w:tcBorders>
              <w:top w:val="nil"/>
              <w:left w:val="nil"/>
              <w:bottom w:val="nil"/>
              <w:right w:val="nil"/>
            </w:tcBorders>
            <w:shd w:val="clear" w:color="auto" w:fill="auto"/>
            <w:noWrap/>
            <w:vAlign w:val="bottom"/>
          </w:tcPr>
          <w:p w:rsidRPr="000F68B8" w:rsidR="000F68B8" w:rsidP="000F68B8" w:rsidRDefault="000F68B8" w14:paraId="3C9E54B9" w14:textId="1FE629F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12512A1" w14:textId="7D8ECD7E">
            <w:pPr>
              <w:jc w:val="center"/>
            </w:pPr>
            <w:r w:rsidRPr="000F68B8">
              <w:rPr>
                <w:color w:val="000000"/>
              </w:rPr>
              <w:t>1/1/2035</w:t>
            </w:r>
          </w:p>
        </w:tc>
        <w:tc>
          <w:tcPr>
            <w:tcW w:w="1220" w:type="dxa"/>
            <w:tcBorders>
              <w:top w:val="nil"/>
              <w:left w:val="nil"/>
              <w:bottom w:val="nil"/>
              <w:right w:val="nil"/>
            </w:tcBorders>
            <w:shd w:val="clear" w:color="auto" w:fill="auto"/>
            <w:noWrap/>
            <w:vAlign w:val="bottom"/>
          </w:tcPr>
          <w:p w:rsidRPr="000F68B8" w:rsidR="000F68B8" w:rsidP="000F68B8" w:rsidRDefault="000F68B8" w14:paraId="264860AA" w14:textId="552583F5">
            <w:pPr>
              <w:tabs>
                <w:tab w:val="decimal" w:pos="975"/>
              </w:tabs>
              <w:jc w:val="left"/>
            </w:pPr>
            <w:r w:rsidRPr="000F68B8">
              <w:rPr>
                <w:color w:val="000000"/>
              </w:rPr>
              <w:t xml:space="preserve">960,000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41B119BF" w14:textId="20F2D88E">
            <w:pPr>
              <w:tabs>
                <w:tab w:val="decimal" w:pos="1185"/>
              </w:tabs>
              <w:jc w:val="left"/>
            </w:pPr>
            <w:r w:rsidRPr="000F68B8">
              <w:rPr>
                <w:color w:val="000000"/>
              </w:rPr>
              <w:t xml:space="preserve">1,192,355,000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23592DF" w14:textId="1A2BDC35">
            <w:pPr>
              <w:tabs>
                <w:tab w:val="decimal" w:pos="330"/>
              </w:tabs>
              <w:jc w:val="left"/>
            </w:pPr>
            <w:r w:rsidRPr="000F68B8">
              <w:rPr>
                <w:color w:val="000000"/>
              </w:rPr>
              <w:t>76.060%</w:t>
            </w:r>
          </w:p>
        </w:tc>
      </w:tr>
      <w:tr w:rsidRPr="002F168A" w:rsidR="000F68B8" w:rsidTr="00921901" w14:paraId="304F0F9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A20AFFE" w14:textId="7D418B24">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30C7505" w14:textId="69B325C4">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6FF2212C" w14:textId="5F34A59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6EF8574" w14:textId="25F88254">
            <w:pPr>
              <w:jc w:val="center"/>
            </w:pPr>
            <w:r w:rsidRPr="000F68B8">
              <w:rPr>
                <w:color w:val="000000"/>
              </w:rPr>
              <w:t>1/1/2030</w:t>
            </w:r>
          </w:p>
        </w:tc>
        <w:tc>
          <w:tcPr>
            <w:tcW w:w="1220" w:type="dxa"/>
            <w:tcBorders>
              <w:top w:val="nil"/>
              <w:left w:val="nil"/>
              <w:bottom w:val="nil"/>
              <w:right w:val="nil"/>
            </w:tcBorders>
            <w:shd w:val="clear" w:color="auto" w:fill="auto"/>
            <w:noWrap/>
            <w:vAlign w:val="bottom"/>
          </w:tcPr>
          <w:p w:rsidRPr="000F68B8" w:rsidR="000F68B8" w:rsidP="000F68B8" w:rsidRDefault="000F68B8" w14:paraId="1DDF7F58" w14:textId="56A106E0">
            <w:pPr>
              <w:tabs>
                <w:tab w:val="decimal" w:pos="975"/>
              </w:tabs>
              <w:jc w:val="left"/>
            </w:pPr>
            <w:r w:rsidRPr="000F68B8">
              <w:rPr>
                <w:color w:val="000000"/>
              </w:rPr>
              <w:t xml:space="preserve">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2252265" w14:textId="3D84B21A">
            <w:pPr>
              <w:tabs>
                <w:tab w:val="decimal" w:pos="1185"/>
              </w:tabs>
              <w:jc w:val="left"/>
            </w:pPr>
            <w:r w:rsidRPr="000F68B8">
              <w:rPr>
                <w:color w:val="000000"/>
              </w:rPr>
              <w:t xml:space="preserve">1,192,435,000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5A544DA" w14:textId="13F1B6A3">
            <w:pPr>
              <w:tabs>
                <w:tab w:val="decimal" w:pos="330"/>
              </w:tabs>
              <w:jc w:val="left"/>
            </w:pPr>
            <w:r w:rsidRPr="000F68B8">
              <w:rPr>
                <w:color w:val="000000"/>
              </w:rPr>
              <w:t>76.065%</w:t>
            </w:r>
          </w:p>
        </w:tc>
      </w:tr>
      <w:tr w:rsidRPr="002F168A" w:rsidR="000F68B8" w:rsidTr="00921901" w14:paraId="2739516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B3D77BA" w14:textId="5683EF85">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0271DB2" w14:textId="1BB9D84E">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67AB0AB5" w14:textId="7513B46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7C6A1D0" w14:textId="7DD9F034">
            <w:pPr>
              <w:jc w:val="center"/>
            </w:pPr>
            <w:r w:rsidRPr="000F68B8">
              <w:rPr>
                <w:color w:val="000000"/>
              </w:rPr>
              <w:t>7/1/2030</w:t>
            </w:r>
          </w:p>
        </w:tc>
        <w:tc>
          <w:tcPr>
            <w:tcW w:w="1220" w:type="dxa"/>
            <w:tcBorders>
              <w:top w:val="nil"/>
              <w:left w:val="nil"/>
              <w:bottom w:val="nil"/>
              <w:right w:val="nil"/>
            </w:tcBorders>
            <w:shd w:val="clear" w:color="auto" w:fill="auto"/>
            <w:noWrap/>
            <w:vAlign w:val="bottom"/>
          </w:tcPr>
          <w:p w:rsidRPr="000F68B8" w:rsidR="000F68B8" w:rsidP="000F68B8" w:rsidRDefault="000F68B8" w14:paraId="0A3A7D29" w14:textId="00125C55">
            <w:pPr>
              <w:tabs>
                <w:tab w:val="decimal" w:pos="975"/>
              </w:tabs>
              <w:jc w:val="left"/>
            </w:pPr>
            <w:r w:rsidRPr="000F68B8">
              <w:rPr>
                <w:color w:val="000000"/>
              </w:rPr>
              <w:t xml:space="preserve">95,000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0E04426" w14:textId="7A1AA30E">
            <w:pPr>
              <w:tabs>
                <w:tab w:val="decimal" w:pos="1185"/>
              </w:tabs>
              <w:jc w:val="left"/>
            </w:pPr>
            <w:r w:rsidRPr="000F68B8">
              <w:rPr>
                <w:color w:val="000000"/>
              </w:rPr>
              <w:t xml:space="preserve">1,192,530,000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6A30666" w14:textId="647680C5">
            <w:pPr>
              <w:tabs>
                <w:tab w:val="decimal" w:pos="330"/>
              </w:tabs>
              <w:jc w:val="left"/>
            </w:pPr>
            <w:r w:rsidRPr="000F68B8">
              <w:rPr>
                <w:color w:val="000000"/>
              </w:rPr>
              <w:t>76.071%</w:t>
            </w:r>
          </w:p>
        </w:tc>
      </w:tr>
      <w:tr w:rsidRPr="002F168A" w:rsidR="000F68B8" w:rsidTr="00921901" w14:paraId="427D5F0E"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9D21D12" w14:textId="1E889C82">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CB1F71B" w14:textId="34AEFA21">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5261B028" w14:textId="7A5F1B2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8AFD75C" w14:textId="4EEAEF6F">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5CE59C51" w14:textId="55232644">
            <w:pPr>
              <w:tabs>
                <w:tab w:val="decimal" w:pos="975"/>
              </w:tabs>
              <w:jc w:val="left"/>
            </w:pPr>
            <w:r w:rsidRPr="000F68B8">
              <w:rPr>
                <w:color w:val="000000"/>
              </w:rPr>
              <w:t xml:space="preserve">110,000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FAABC98" w14:textId="032A639B">
            <w:pPr>
              <w:tabs>
                <w:tab w:val="decimal" w:pos="1185"/>
              </w:tabs>
              <w:jc w:val="left"/>
            </w:pPr>
            <w:r w:rsidRPr="000F68B8">
              <w:rPr>
                <w:color w:val="000000"/>
              </w:rPr>
              <w:t xml:space="preserve">1,192,640,000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04120603" w14:textId="2691CBFE">
            <w:pPr>
              <w:tabs>
                <w:tab w:val="decimal" w:pos="330"/>
              </w:tabs>
              <w:jc w:val="left"/>
            </w:pPr>
            <w:r w:rsidRPr="000F68B8">
              <w:rPr>
                <w:color w:val="000000"/>
              </w:rPr>
              <w:t>76.078%</w:t>
            </w:r>
          </w:p>
        </w:tc>
      </w:tr>
      <w:tr w:rsidRPr="002F168A" w:rsidR="000F68B8" w:rsidTr="00921901" w14:paraId="37FCE9B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A803B86" w14:textId="756E594F">
            <w:pPr>
              <w:jc w:val="right"/>
            </w:pPr>
            <w:r w:rsidRPr="000F68B8">
              <w:rPr>
                <w:color w:val="000000"/>
              </w:rPr>
              <w:t xml:space="preserve">3.700 </w:t>
            </w:r>
          </w:p>
        </w:tc>
        <w:tc>
          <w:tcPr>
            <w:tcW w:w="1820" w:type="dxa"/>
            <w:tcBorders>
              <w:top w:val="nil"/>
              <w:left w:val="nil"/>
              <w:bottom w:val="nil"/>
              <w:right w:val="nil"/>
            </w:tcBorders>
            <w:shd w:val="clear" w:color="auto" w:fill="auto"/>
            <w:noWrap/>
            <w:vAlign w:val="bottom"/>
          </w:tcPr>
          <w:p w:rsidRPr="000F68B8" w:rsidR="000F68B8" w:rsidP="000F68B8" w:rsidRDefault="000F68B8" w14:paraId="34785581" w14:textId="266EE30D">
            <w:pPr>
              <w:jc w:val="left"/>
            </w:pPr>
            <w:r w:rsidRPr="000F68B8">
              <w:rPr>
                <w:color w:val="000000"/>
              </w:rPr>
              <w:t>2023 SERIES A-1</w:t>
            </w:r>
          </w:p>
        </w:tc>
        <w:tc>
          <w:tcPr>
            <w:tcW w:w="1360" w:type="dxa"/>
            <w:tcBorders>
              <w:top w:val="nil"/>
              <w:left w:val="nil"/>
              <w:bottom w:val="nil"/>
              <w:right w:val="nil"/>
            </w:tcBorders>
            <w:shd w:val="clear" w:color="auto" w:fill="auto"/>
            <w:noWrap/>
            <w:vAlign w:val="bottom"/>
          </w:tcPr>
          <w:p w:rsidRPr="000F68B8" w:rsidR="000F68B8" w:rsidP="000F68B8" w:rsidRDefault="000F68B8" w14:paraId="0774F6D4" w14:textId="1DC6CFA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D2DE900" w14:textId="0D7902AF">
            <w:pPr>
              <w:jc w:val="center"/>
            </w:pPr>
            <w:r w:rsidRPr="000F68B8">
              <w:rPr>
                <w:color w:val="000000"/>
              </w:rPr>
              <w:t>7/1/2033</w:t>
            </w:r>
          </w:p>
        </w:tc>
        <w:tc>
          <w:tcPr>
            <w:tcW w:w="1220" w:type="dxa"/>
            <w:tcBorders>
              <w:top w:val="nil"/>
              <w:left w:val="nil"/>
              <w:bottom w:val="nil"/>
              <w:right w:val="nil"/>
            </w:tcBorders>
            <w:shd w:val="clear" w:color="auto" w:fill="auto"/>
            <w:noWrap/>
            <w:vAlign w:val="bottom"/>
          </w:tcPr>
          <w:p w:rsidRPr="000F68B8" w:rsidR="000F68B8" w:rsidP="000F68B8" w:rsidRDefault="000F68B8" w14:paraId="55507180" w14:textId="6DE4E5CC">
            <w:pPr>
              <w:tabs>
                <w:tab w:val="decimal" w:pos="975"/>
              </w:tabs>
              <w:jc w:val="left"/>
            </w:pPr>
            <w:r w:rsidRPr="000F68B8">
              <w:rPr>
                <w:color w:val="000000"/>
              </w:rPr>
              <w:t xml:space="preserve">675,000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A1F26CD" w14:textId="12E2A40E">
            <w:pPr>
              <w:tabs>
                <w:tab w:val="decimal" w:pos="1185"/>
              </w:tabs>
              <w:jc w:val="left"/>
            </w:pPr>
            <w:r w:rsidRPr="000F68B8">
              <w:rPr>
                <w:color w:val="000000"/>
              </w:rPr>
              <w:t xml:space="preserve">1,193,315,000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8203E24" w14:textId="667C2A91">
            <w:pPr>
              <w:tabs>
                <w:tab w:val="decimal" w:pos="330"/>
              </w:tabs>
              <w:jc w:val="left"/>
            </w:pPr>
            <w:r w:rsidRPr="000F68B8">
              <w:rPr>
                <w:color w:val="000000"/>
              </w:rPr>
              <w:t>76.121%</w:t>
            </w:r>
          </w:p>
        </w:tc>
      </w:tr>
      <w:tr w:rsidRPr="002F168A" w:rsidR="000F68B8" w:rsidTr="00921901" w14:paraId="3F4EDDB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CBBF51C" w14:textId="2565271C">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1B6F3FC" w14:textId="082FCB79">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22BAE8F5" w14:textId="3EC6AA5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787D3BF" w14:textId="2B1C2A05">
            <w:pPr>
              <w:jc w:val="center"/>
            </w:pPr>
            <w:r w:rsidRPr="000F68B8">
              <w:rPr>
                <w:color w:val="000000"/>
              </w:rPr>
              <w:t>7/1/2029</w:t>
            </w:r>
          </w:p>
        </w:tc>
        <w:tc>
          <w:tcPr>
            <w:tcW w:w="1220" w:type="dxa"/>
            <w:tcBorders>
              <w:top w:val="nil"/>
              <w:left w:val="nil"/>
              <w:bottom w:val="nil"/>
              <w:right w:val="nil"/>
            </w:tcBorders>
            <w:shd w:val="clear" w:color="auto" w:fill="auto"/>
            <w:noWrap/>
            <w:vAlign w:val="bottom"/>
          </w:tcPr>
          <w:p w:rsidRPr="000F68B8" w:rsidR="000F68B8" w:rsidP="000F68B8" w:rsidRDefault="000F68B8" w14:paraId="30D330F0" w14:textId="277A92D6">
            <w:pPr>
              <w:tabs>
                <w:tab w:val="decimal" w:pos="975"/>
              </w:tabs>
              <w:jc w:val="left"/>
            </w:pPr>
            <w:r w:rsidRPr="000F68B8">
              <w:rPr>
                <w:color w:val="000000"/>
              </w:rPr>
              <w:t xml:space="preserve">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109260E" w14:textId="0FDA5CB0">
            <w:pPr>
              <w:tabs>
                <w:tab w:val="decimal" w:pos="1185"/>
              </w:tabs>
              <w:jc w:val="left"/>
            </w:pPr>
            <w:r w:rsidRPr="000F68B8">
              <w:rPr>
                <w:color w:val="000000"/>
              </w:rPr>
              <w:t xml:space="preserve">1,193,375,000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705A9C6" w14:textId="12D9641A">
            <w:pPr>
              <w:tabs>
                <w:tab w:val="decimal" w:pos="330"/>
              </w:tabs>
              <w:jc w:val="left"/>
            </w:pPr>
            <w:r w:rsidRPr="000F68B8">
              <w:rPr>
                <w:color w:val="000000"/>
              </w:rPr>
              <w:t>76.125%</w:t>
            </w:r>
          </w:p>
        </w:tc>
      </w:tr>
      <w:tr w:rsidRPr="002F168A" w:rsidR="000F68B8" w:rsidTr="00921901" w14:paraId="2787207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7A27D16" w14:textId="166EF71E">
            <w:pPr>
              <w:jc w:val="right"/>
            </w:pPr>
            <w:r w:rsidRPr="000F68B8">
              <w:rPr>
                <w:color w:val="000000"/>
              </w:rPr>
              <w:t xml:space="preserve">3.650 </w:t>
            </w:r>
          </w:p>
        </w:tc>
        <w:tc>
          <w:tcPr>
            <w:tcW w:w="1820" w:type="dxa"/>
            <w:tcBorders>
              <w:top w:val="nil"/>
              <w:left w:val="nil"/>
              <w:bottom w:val="nil"/>
              <w:right w:val="nil"/>
            </w:tcBorders>
            <w:shd w:val="clear" w:color="auto" w:fill="auto"/>
            <w:noWrap/>
            <w:vAlign w:val="bottom"/>
          </w:tcPr>
          <w:p w:rsidRPr="000F68B8" w:rsidR="000F68B8" w:rsidP="000F68B8" w:rsidRDefault="000F68B8" w14:paraId="2FA5B845" w14:textId="3470F6B4">
            <w:pPr>
              <w:jc w:val="left"/>
            </w:pPr>
            <w:r w:rsidRPr="000F68B8">
              <w:rPr>
                <w:color w:val="000000"/>
              </w:rPr>
              <w:t>2024 SERIES A-1</w:t>
            </w:r>
          </w:p>
        </w:tc>
        <w:tc>
          <w:tcPr>
            <w:tcW w:w="1360" w:type="dxa"/>
            <w:tcBorders>
              <w:top w:val="nil"/>
              <w:left w:val="nil"/>
              <w:bottom w:val="nil"/>
              <w:right w:val="nil"/>
            </w:tcBorders>
            <w:shd w:val="clear" w:color="auto" w:fill="auto"/>
            <w:noWrap/>
            <w:vAlign w:val="bottom"/>
          </w:tcPr>
          <w:p w:rsidRPr="000F68B8" w:rsidR="000F68B8" w:rsidP="000F68B8" w:rsidRDefault="000F68B8" w14:paraId="039AEB8A" w14:textId="28DFC6D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94AB0A6" w14:textId="6D9B1152">
            <w:pPr>
              <w:jc w:val="center"/>
            </w:pPr>
            <w:r w:rsidRPr="000F68B8">
              <w:rPr>
                <w:color w:val="000000"/>
              </w:rPr>
              <w:t>7/1/2034</w:t>
            </w:r>
          </w:p>
        </w:tc>
        <w:tc>
          <w:tcPr>
            <w:tcW w:w="1220" w:type="dxa"/>
            <w:tcBorders>
              <w:top w:val="nil"/>
              <w:left w:val="nil"/>
              <w:bottom w:val="nil"/>
              <w:right w:val="nil"/>
            </w:tcBorders>
            <w:shd w:val="clear" w:color="auto" w:fill="auto"/>
            <w:noWrap/>
            <w:vAlign w:val="bottom"/>
          </w:tcPr>
          <w:p w:rsidRPr="000F68B8" w:rsidR="000F68B8" w:rsidP="000F68B8" w:rsidRDefault="000F68B8" w14:paraId="7167ADE3" w14:textId="13A82E4A">
            <w:pPr>
              <w:tabs>
                <w:tab w:val="decimal" w:pos="975"/>
              </w:tabs>
              <w:jc w:val="left"/>
            </w:pPr>
            <w:r w:rsidRPr="000F68B8">
              <w:rPr>
                <w:color w:val="000000"/>
              </w:rPr>
              <w:t xml:space="preserve">930,000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186D8A6" w14:textId="64A647A3">
            <w:pPr>
              <w:tabs>
                <w:tab w:val="decimal" w:pos="1185"/>
              </w:tabs>
              <w:jc w:val="left"/>
            </w:pPr>
            <w:r w:rsidRPr="000F68B8">
              <w:rPr>
                <w:color w:val="000000"/>
              </w:rPr>
              <w:t xml:space="preserve">1,194,305,000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1D322376" w14:textId="4CF4DACC">
            <w:pPr>
              <w:tabs>
                <w:tab w:val="decimal" w:pos="330"/>
              </w:tabs>
              <w:jc w:val="left"/>
            </w:pPr>
            <w:r w:rsidRPr="000F68B8">
              <w:rPr>
                <w:color w:val="000000"/>
              </w:rPr>
              <w:t>76.184%</w:t>
            </w:r>
          </w:p>
        </w:tc>
      </w:tr>
      <w:tr w:rsidRPr="002F168A" w:rsidR="000F68B8" w:rsidTr="00921901" w14:paraId="08115D5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2BDF3F4" w14:textId="500D8FE0">
            <w:pPr>
              <w:jc w:val="right"/>
            </w:pPr>
            <w:r w:rsidRPr="000F68B8">
              <w:rPr>
                <w:color w:val="000000"/>
              </w:rPr>
              <w:t xml:space="preserve">3.600 </w:t>
            </w:r>
          </w:p>
        </w:tc>
        <w:tc>
          <w:tcPr>
            <w:tcW w:w="1820" w:type="dxa"/>
            <w:tcBorders>
              <w:top w:val="nil"/>
              <w:left w:val="nil"/>
              <w:bottom w:val="nil"/>
              <w:right w:val="nil"/>
            </w:tcBorders>
            <w:shd w:val="clear" w:color="auto" w:fill="auto"/>
            <w:noWrap/>
            <w:vAlign w:val="bottom"/>
          </w:tcPr>
          <w:p w:rsidRPr="000F68B8" w:rsidR="000F68B8" w:rsidP="000F68B8" w:rsidRDefault="000F68B8" w14:paraId="2C44B946" w14:textId="7DAFFBCB">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63847FE7" w14:textId="2D3F6EE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D2BBA13" w14:textId="6D85C005">
            <w:pPr>
              <w:jc w:val="center"/>
            </w:pPr>
            <w:r w:rsidRPr="000F68B8">
              <w:rPr>
                <w:color w:val="000000"/>
              </w:rPr>
              <w:t>1/1/2029</w:t>
            </w:r>
          </w:p>
        </w:tc>
        <w:tc>
          <w:tcPr>
            <w:tcW w:w="1220" w:type="dxa"/>
            <w:tcBorders>
              <w:top w:val="nil"/>
              <w:left w:val="nil"/>
              <w:bottom w:val="nil"/>
              <w:right w:val="nil"/>
            </w:tcBorders>
            <w:shd w:val="clear" w:color="auto" w:fill="auto"/>
            <w:noWrap/>
            <w:vAlign w:val="bottom"/>
          </w:tcPr>
          <w:p w:rsidRPr="000F68B8" w:rsidR="000F68B8" w:rsidP="000F68B8" w:rsidRDefault="000F68B8" w14:paraId="418E6017" w14:textId="447539BB">
            <w:pPr>
              <w:tabs>
                <w:tab w:val="decimal" w:pos="975"/>
              </w:tabs>
              <w:jc w:val="left"/>
            </w:pPr>
            <w:r w:rsidRPr="000F68B8">
              <w:rPr>
                <w:color w:val="000000"/>
              </w:rPr>
              <w:t xml:space="preserve">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0E092F7F" w14:textId="59930040">
            <w:pPr>
              <w:tabs>
                <w:tab w:val="decimal" w:pos="1185"/>
              </w:tabs>
              <w:jc w:val="left"/>
            </w:pPr>
            <w:r w:rsidRPr="000F68B8">
              <w:rPr>
                <w:color w:val="000000"/>
              </w:rPr>
              <w:t xml:space="preserve">1,194,355,000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116FC626" w14:textId="41B9F415">
            <w:pPr>
              <w:tabs>
                <w:tab w:val="decimal" w:pos="330"/>
              </w:tabs>
              <w:jc w:val="left"/>
            </w:pPr>
            <w:r w:rsidRPr="000F68B8">
              <w:rPr>
                <w:color w:val="000000"/>
              </w:rPr>
              <w:t>76.188%</w:t>
            </w:r>
          </w:p>
        </w:tc>
      </w:tr>
      <w:tr w:rsidRPr="002F168A" w:rsidR="000F68B8" w:rsidTr="00921901" w14:paraId="15C2A6C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8277FA2" w14:textId="6C993AD3">
            <w:pPr>
              <w:jc w:val="right"/>
            </w:pPr>
            <w:r w:rsidRPr="000F68B8">
              <w:rPr>
                <w:color w:val="000000"/>
              </w:rPr>
              <w:t xml:space="preserve">3.550 </w:t>
            </w:r>
          </w:p>
        </w:tc>
        <w:tc>
          <w:tcPr>
            <w:tcW w:w="1820" w:type="dxa"/>
            <w:tcBorders>
              <w:top w:val="nil"/>
              <w:left w:val="nil"/>
              <w:bottom w:val="nil"/>
              <w:right w:val="nil"/>
            </w:tcBorders>
            <w:shd w:val="clear" w:color="auto" w:fill="auto"/>
            <w:noWrap/>
            <w:vAlign w:val="bottom"/>
          </w:tcPr>
          <w:p w:rsidRPr="000F68B8" w:rsidR="000F68B8" w:rsidP="000F68B8" w:rsidRDefault="000F68B8" w14:paraId="5E582D49" w14:textId="4AB640A6">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77CE35A3" w14:textId="74B0B62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CECB28A" w14:textId="718D4865">
            <w:pPr>
              <w:jc w:val="center"/>
            </w:pPr>
            <w:r w:rsidRPr="000F68B8">
              <w:rPr>
                <w:color w:val="000000"/>
              </w:rPr>
              <w:t>7/1/2034</w:t>
            </w:r>
          </w:p>
        </w:tc>
        <w:tc>
          <w:tcPr>
            <w:tcW w:w="1220" w:type="dxa"/>
            <w:tcBorders>
              <w:top w:val="nil"/>
              <w:left w:val="nil"/>
              <w:bottom w:val="nil"/>
              <w:right w:val="nil"/>
            </w:tcBorders>
            <w:shd w:val="clear" w:color="auto" w:fill="auto"/>
            <w:noWrap/>
            <w:vAlign w:val="bottom"/>
          </w:tcPr>
          <w:p w:rsidRPr="000F68B8" w:rsidR="000F68B8" w:rsidP="000F68B8" w:rsidRDefault="000F68B8" w14:paraId="5F8A2994" w14:textId="24FA936A">
            <w:pPr>
              <w:tabs>
                <w:tab w:val="decimal" w:pos="975"/>
              </w:tabs>
              <w:jc w:val="left"/>
            </w:pPr>
            <w:r w:rsidRPr="000F68B8">
              <w:rPr>
                <w:color w:val="000000"/>
              </w:rPr>
              <w:t xml:space="preserve">465,000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5269FD9D" w14:textId="6936075A">
            <w:pPr>
              <w:tabs>
                <w:tab w:val="decimal" w:pos="1185"/>
              </w:tabs>
              <w:jc w:val="left"/>
            </w:pPr>
            <w:r w:rsidRPr="000F68B8">
              <w:rPr>
                <w:color w:val="000000"/>
              </w:rPr>
              <w:t xml:space="preserve">1,194,820,000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7334AA0" w14:textId="3D60819F">
            <w:pPr>
              <w:tabs>
                <w:tab w:val="decimal" w:pos="330"/>
              </w:tabs>
              <w:jc w:val="left"/>
            </w:pPr>
            <w:r w:rsidRPr="000F68B8">
              <w:rPr>
                <w:color w:val="000000"/>
              </w:rPr>
              <w:t>76.217%</w:t>
            </w:r>
          </w:p>
        </w:tc>
      </w:tr>
      <w:tr w:rsidRPr="002F168A" w:rsidR="000F68B8" w:rsidTr="00921901" w14:paraId="6861C61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1B3DC76" w14:textId="4D72956E">
            <w:pPr>
              <w:jc w:val="right"/>
            </w:pPr>
            <w:bookmarkStart w:name="ElPgBr103" w:id="1078"/>
            <w:bookmarkEnd w:id="1078"/>
          </w:p>
        </w:tc>
        <w:tc>
          <w:tcPr>
            <w:tcW w:w="1820" w:type="dxa"/>
            <w:tcBorders>
              <w:top w:val="nil"/>
              <w:left w:val="nil"/>
              <w:bottom w:val="nil"/>
              <w:right w:val="nil"/>
            </w:tcBorders>
            <w:shd w:val="clear" w:color="auto" w:fill="auto"/>
            <w:noWrap/>
            <w:vAlign w:val="bottom"/>
          </w:tcPr>
          <w:p w:rsidRPr="000F68B8" w:rsidR="000F68B8" w:rsidP="000F68B8" w:rsidRDefault="000F68B8" w14:paraId="7C1D8E2E" w14:textId="05A7670B">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4E48076" w14:textId="28B3DB6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D20EB30" w14:textId="4DE837C4">
            <w:pPr>
              <w:jc w:val="center"/>
            </w:pPr>
            <w:r w:rsidRPr="000F68B8">
              <w:rPr>
                <w:color w:val="000000"/>
              </w:rPr>
              <w:t>7/1/2028</w:t>
            </w:r>
          </w:p>
        </w:tc>
        <w:tc>
          <w:tcPr>
            <w:tcW w:w="1220" w:type="dxa"/>
            <w:tcBorders>
              <w:top w:val="nil"/>
              <w:left w:val="nil"/>
              <w:bottom w:val="nil"/>
              <w:right w:val="nil"/>
            </w:tcBorders>
            <w:shd w:val="clear" w:color="auto" w:fill="auto"/>
            <w:noWrap/>
            <w:vAlign w:val="bottom"/>
          </w:tcPr>
          <w:p w:rsidRPr="000F68B8" w:rsidR="000F68B8" w:rsidP="000F68B8" w:rsidRDefault="000F68B8" w14:paraId="12EB4C62" w14:textId="16F2B514">
            <w:pPr>
              <w:tabs>
                <w:tab w:val="decimal" w:pos="975"/>
              </w:tabs>
              <w:jc w:val="left"/>
            </w:pPr>
            <w:r w:rsidRPr="000F68B8">
              <w:rPr>
                <w:color w:val="000000"/>
              </w:rPr>
              <w:t xml:space="preserve">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7DE0B10" w14:textId="050C7F98">
            <w:pPr>
              <w:tabs>
                <w:tab w:val="decimal" w:pos="1185"/>
              </w:tabs>
              <w:jc w:val="left"/>
            </w:pPr>
            <w:r w:rsidRPr="000F68B8">
              <w:rPr>
                <w:color w:val="000000"/>
              </w:rPr>
              <w:t xml:space="preserve">1,194,860,000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C5B5F3F" w14:textId="1A4C0EEB">
            <w:pPr>
              <w:tabs>
                <w:tab w:val="decimal" w:pos="330"/>
              </w:tabs>
              <w:jc w:val="left"/>
            </w:pPr>
            <w:r w:rsidRPr="000F68B8">
              <w:rPr>
                <w:color w:val="000000"/>
              </w:rPr>
              <w:t>76.220%</w:t>
            </w:r>
          </w:p>
        </w:tc>
      </w:tr>
      <w:tr w:rsidRPr="002F168A" w:rsidR="000F68B8" w:rsidTr="00921901" w14:paraId="6C94E6D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1AC4EC7" w14:textId="632F93B6">
            <w:pPr>
              <w:jc w:val="right"/>
            </w:pPr>
            <w:r w:rsidRPr="000F68B8">
              <w:rPr>
                <w:color w:val="000000"/>
              </w:rPr>
              <w:t xml:space="preserve">3.500 </w:t>
            </w:r>
          </w:p>
        </w:tc>
        <w:tc>
          <w:tcPr>
            <w:tcW w:w="1820" w:type="dxa"/>
            <w:tcBorders>
              <w:top w:val="nil"/>
              <w:left w:val="nil"/>
              <w:bottom w:val="nil"/>
              <w:right w:val="nil"/>
            </w:tcBorders>
            <w:shd w:val="clear" w:color="auto" w:fill="auto"/>
            <w:noWrap/>
            <w:vAlign w:val="bottom"/>
          </w:tcPr>
          <w:p w:rsidRPr="000F68B8" w:rsidR="000F68B8" w:rsidP="000F68B8" w:rsidRDefault="000F68B8" w14:paraId="0A5706A2" w14:textId="703A10CF">
            <w:pPr>
              <w:jc w:val="left"/>
            </w:pPr>
            <w:r w:rsidRPr="000F68B8">
              <w:rPr>
                <w:color w:val="000000"/>
              </w:rPr>
              <w:t>2016 SERIES A-2</w:t>
            </w:r>
          </w:p>
        </w:tc>
        <w:tc>
          <w:tcPr>
            <w:tcW w:w="1360" w:type="dxa"/>
            <w:tcBorders>
              <w:top w:val="nil"/>
              <w:left w:val="nil"/>
              <w:bottom w:val="nil"/>
              <w:right w:val="nil"/>
            </w:tcBorders>
            <w:shd w:val="clear" w:color="auto" w:fill="auto"/>
            <w:noWrap/>
            <w:vAlign w:val="bottom"/>
          </w:tcPr>
          <w:p w:rsidRPr="000F68B8" w:rsidR="000F68B8" w:rsidP="000F68B8" w:rsidRDefault="000F68B8" w14:paraId="47A61C44" w14:textId="5A869072">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tcPr>
          <w:p w:rsidRPr="000F68B8" w:rsidR="000F68B8" w:rsidP="000F68B8" w:rsidRDefault="000F68B8" w14:paraId="4A972502" w14:textId="625F0074">
            <w:pPr>
              <w:jc w:val="center"/>
            </w:pPr>
            <w:r w:rsidRPr="000F68B8">
              <w:rPr>
                <w:color w:val="000000"/>
              </w:rPr>
              <w:t>7/1/2038</w:t>
            </w:r>
          </w:p>
        </w:tc>
        <w:tc>
          <w:tcPr>
            <w:tcW w:w="1220" w:type="dxa"/>
            <w:tcBorders>
              <w:top w:val="nil"/>
              <w:left w:val="nil"/>
              <w:bottom w:val="nil"/>
              <w:right w:val="nil"/>
            </w:tcBorders>
            <w:shd w:val="clear" w:color="auto" w:fill="auto"/>
            <w:noWrap/>
            <w:vAlign w:val="bottom"/>
          </w:tcPr>
          <w:p w:rsidRPr="000F68B8" w:rsidR="000F68B8" w:rsidP="000F68B8" w:rsidRDefault="000F68B8" w14:paraId="2373A26F" w14:textId="2C748A71">
            <w:pPr>
              <w:tabs>
                <w:tab w:val="decimal" w:pos="975"/>
              </w:tabs>
              <w:jc w:val="left"/>
            </w:pPr>
            <w:r w:rsidRPr="000F68B8">
              <w:rPr>
                <w:color w:val="000000"/>
              </w:rPr>
              <w:t xml:space="preserve">1,125,000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62B3499" w14:textId="4594DB36">
            <w:pPr>
              <w:tabs>
                <w:tab w:val="decimal" w:pos="1185"/>
              </w:tabs>
              <w:jc w:val="left"/>
            </w:pPr>
            <w:r w:rsidRPr="000F68B8">
              <w:rPr>
                <w:color w:val="000000"/>
              </w:rPr>
              <w:t xml:space="preserve">1,195,985,000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28D94DE" w14:textId="59131756">
            <w:pPr>
              <w:tabs>
                <w:tab w:val="decimal" w:pos="330"/>
              </w:tabs>
              <w:jc w:val="left"/>
            </w:pPr>
            <w:r w:rsidRPr="000F68B8">
              <w:rPr>
                <w:color w:val="000000"/>
              </w:rPr>
              <w:t>76.292%</w:t>
            </w:r>
          </w:p>
        </w:tc>
      </w:tr>
      <w:tr w:rsidRPr="002F168A" w:rsidR="000F68B8" w:rsidTr="00921901" w14:paraId="75548CD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C9E5CB5" w14:textId="3342878F">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257588D" w14:textId="6C0872A4">
            <w:pPr>
              <w:jc w:val="left"/>
            </w:pPr>
            <w:r w:rsidRPr="000F68B8">
              <w:rPr>
                <w:color w:val="000000"/>
              </w:rPr>
              <w:t>2019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1BED2065" w14:textId="416D5D89">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tcPr>
          <w:p w:rsidRPr="000F68B8" w:rsidR="000F68B8" w:rsidP="000F68B8" w:rsidRDefault="000F68B8" w14:paraId="7300903D" w14:textId="51504050">
            <w:pPr>
              <w:jc w:val="center"/>
            </w:pPr>
            <w:r w:rsidRPr="000F68B8">
              <w:rPr>
                <w:color w:val="000000"/>
              </w:rPr>
              <w:t>1/1/2049</w:t>
            </w:r>
          </w:p>
        </w:tc>
        <w:tc>
          <w:tcPr>
            <w:tcW w:w="1220" w:type="dxa"/>
            <w:tcBorders>
              <w:top w:val="nil"/>
              <w:left w:val="nil"/>
              <w:bottom w:val="nil"/>
              <w:right w:val="nil"/>
            </w:tcBorders>
            <w:shd w:val="clear" w:color="auto" w:fill="auto"/>
            <w:noWrap/>
            <w:vAlign w:val="bottom"/>
          </w:tcPr>
          <w:p w:rsidRPr="000F68B8" w:rsidR="000F68B8" w:rsidP="000F68B8" w:rsidRDefault="000F68B8" w14:paraId="77AA7449" w14:textId="791D6509">
            <w:pPr>
              <w:tabs>
                <w:tab w:val="decimal" w:pos="975"/>
              </w:tabs>
              <w:jc w:val="left"/>
            </w:pPr>
            <w:r w:rsidRPr="000F68B8">
              <w:rPr>
                <w:color w:val="000000"/>
              </w:rPr>
              <w:t xml:space="preserve">8,305,000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13C05BC" w14:textId="374794AC">
            <w:pPr>
              <w:tabs>
                <w:tab w:val="decimal" w:pos="1185"/>
              </w:tabs>
              <w:jc w:val="left"/>
            </w:pPr>
            <w:r w:rsidRPr="000F68B8">
              <w:rPr>
                <w:color w:val="000000"/>
              </w:rPr>
              <w:t xml:space="preserve">1,204,290,000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6B4E8D1" w14:textId="77052893">
            <w:pPr>
              <w:tabs>
                <w:tab w:val="decimal" w:pos="330"/>
              </w:tabs>
              <w:jc w:val="left"/>
            </w:pPr>
            <w:r w:rsidRPr="000F68B8">
              <w:rPr>
                <w:color w:val="000000"/>
              </w:rPr>
              <w:t>76.821%</w:t>
            </w:r>
          </w:p>
        </w:tc>
      </w:tr>
      <w:tr w:rsidRPr="002F168A" w:rsidR="000F68B8" w:rsidTr="00921901" w14:paraId="393042A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E0D8761" w14:textId="1A5735A5">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80F7F15" w14:textId="28FE6CF0">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058B4996" w14:textId="6C1FDE1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B92A3D5" w14:textId="7A696B84">
            <w:pPr>
              <w:jc w:val="center"/>
            </w:pPr>
            <w:r w:rsidRPr="000F68B8">
              <w:rPr>
                <w:color w:val="000000"/>
              </w:rPr>
              <w:t>1/1/2034</w:t>
            </w:r>
          </w:p>
        </w:tc>
        <w:tc>
          <w:tcPr>
            <w:tcW w:w="1220" w:type="dxa"/>
            <w:tcBorders>
              <w:top w:val="nil"/>
              <w:left w:val="nil"/>
              <w:bottom w:val="nil"/>
              <w:right w:val="nil"/>
            </w:tcBorders>
            <w:shd w:val="clear" w:color="auto" w:fill="auto"/>
            <w:noWrap/>
            <w:vAlign w:val="bottom"/>
          </w:tcPr>
          <w:p w:rsidRPr="000F68B8" w:rsidR="000F68B8" w:rsidP="000F68B8" w:rsidRDefault="000F68B8" w14:paraId="53A3FFE3" w14:textId="5B64C358">
            <w:pPr>
              <w:tabs>
                <w:tab w:val="decimal" w:pos="975"/>
              </w:tabs>
              <w:jc w:val="left"/>
            </w:pPr>
            <w:r w:rsidRPr="000F68B8">
              <w:rPr>
                <w:color w:val="000000"/>
              </w:rPr>
              <w:t xml:space="preserve">445,000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559C9BAD" w14:textId="78A5C1D8">
            <w:pPr>
              <w:tabs>
                <w:tab w:val="decimal" w:pos="1185"/>
              </w:tabs>
              <w:jc w:val="left"/>
            </w:pPr>
            <w:r w:rsidRPr="000F68B8">
              <w:rPr>
                <w:color w:val="000000"/>
              </w:rPr>
              <w:t xml:space="preserve">1,204,735,000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40D317B" w14:textId="400C66A1">
            <w:pPr>
              <w:tabs>
                <w:tab w:val="decimal" w:pos="330"/>
              </w:tabs>
              <w:jc w:val="left"/>
            </w:pPr>
            <w:r w:rsidRPr="000F68B8">
              <w:rPr>
                <w:color w:val="000000"/>
              </w:rPr>
              <w:t>76.850%</w:t>
            </w:r>
          </w:p>
        </w:tc>
      </w:tr>
      <w:tr w:rsidRPr="002F168A" w:rsidR="000F68B8" w:rsidTr="00921901" w14:paraId="297E6D30"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CBAF91C" w14:textId="1EB1B35D">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0BF38E6D" w14:textId="53268489">
            <w:pPr>
              <w:jc w:val="left"/>
            </w:pPr>
            <w:r w:rsidRPr="000F68B8">
              <w:rPr>
                <w:color w:val="000000"/>
              </w:rPr>
              <w:t>2024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9ABAA9D" w14:textId="77A3D39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9BD19A8" w14:textId="1AFC296F">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168E2CF5" w14:textId="4EE6CADA">
            <w:pPr>
              <w:tabs>
                <w:tab w:val="decimal" w:pos="975"/>
              </w:tabs>
              <w:jc w:val="left"/>
            </w:pPr>
            <w:r w:rsidRPr="000F68B8">
              <w:rPr>
                <w:color w:val="000000"/>
              </w:rPr>
              <w:t xml:space="preserve">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75F6E32" w14:textId="49B1AA2C">
            <w:pPr>
              <w:tabs>
                <w:tab w:val="decimal" w:pos="1185"/>
              </w:tabs>
              <w:jc w:val="left"/>
            </w:pPr>
            <w:r w:rsidRPr="000F68B8">
              <w:rPr>
                <w:color w:val="000000"/>
              </w:rPr>
              <w:t xml:space="preserve">1,204,780,000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3136109" w14:textId="7FEAAD78">
            <w:pPr>
              <w:tabs>
                <w:tab w:val="decimal" w:pos="330"/>
              </w:tabs>
              <w:jc w:val="left"/>
            </w:pPr>
            <w:r w:rsidRPr="000F68B8">
              <w:rPr>
                <w:color w:val="000000"/>
              </w:rPr>
              <w:t>76.853%</w:t>
            </w:r>
          </w:p>
        </w:tc>
      </w:tr>
      <w:tr w:rsidRPr="002F168A" w:rsidR="000F68B8" w:rsidTr="00921901" w14:paraId="3880136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166B9F8" w14:textId="4417CAAB">
            <w:pPr>
              <w:jc w:val="right"/>
            </w:pPr>
            <w:r w:rsidRPr="000F68B8">
              <w:rPr>
                <w:color w:val="000000"/>
              </w:rPr>
              <w:t xml:space="preserve">3.450 </w:t>
            </w:r>
          </w:p>
        </w:tc>
        <w:tc>
          <w:tcPr>
            <w:tcW w:w="1820" w:type="dxa"/>
            <w:tcBorders>
              <w:top w:val="nil"/>
              <w:left w:val="nil"/>
              <w:bottom w:val="nil"/>
              <w:right w:val="nil"/>
            </w:tcBorders>
            <w:shd w:val="clear" w:color="auto" w:fill="auto"/>
            <w:noWrap/>
            <w:vAlign w:val="bottom"/>
          </w:tcPr>
          <w:p w:rsidRPr="000F68B8" w:rsidR="000F68B8" w:rsidP="000F68B8" w:rsidRDefault="000F68B8" w14:paraId="2CF90B4E" w14:textId="1FA9AFDB">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69336941" w14:textId="1633553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459CC1C" w14:textId="42AF6541">
            <w:pPr>
              <w:jc w:val="center"/>
            </w:pPr>
            <w:r w:rsidRPr="000F68B8">
              <w:rPr>
                <w:color w:val="000000"/>
              </w:rPr>
              <w:t>7/1/2033</w:t>
            </w:r>
          </w:p>
        </w:tc>
        <w:tc>
          <w:tcPr>
            <w:tcW w:w="1220" w:type="dxa"/>
            <w:tcBorders>
              <w:top w:val="nil"/>
              <w:left w:val="nil"/>
              <w:bottom w:val="nil"/>
              <w:right w:val="nil"/>
            </w:tcBorders>
            <w:shd w:val="clear" w:color="auto" w:fill="auto"/>
            <w:noWrap/>
            <w:vAlign w:val="bottom"/>
          </w:tcPr>
          <w:p w:rsidRPr="000F68B8" w:rsidR="000F68B8" w:rsidP="000F68B8" w:rsidRDefault="000F68B8" w14:paraId="33F844C9" w14:textId="323C493B">
            <w:pPr>
              <w:tabs>
                <w:tab w:val="decimal" w:pos="975"/>
              </w:tabs>
              <w:jc w:val="left"/>
            </w:pPr>
            <w:r w:rsidRPr="000F68B8">
              <w:rPr>
                <w:color w:val="000000"/>
              </w:rPr>
              <w:t xml:space="preserve">430,000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6739B2D" w14:textId="10543CD3">
            <w:pPr>
              <w:tabs>
                <w:tab w:val="decimal" w:pos="1185"/>
              </w:tabs>
              <w:jc w:val="left"/>
            </w:pPr>
            <w:r w:rsidRPr="000F68B8">
              <w:rPr>
                <w:color w:val="000000"/>
              </w:rPr>
              <w:t xml:space="preserve">1,205,210,000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C14E41E" w14:textId="511F99A6">
            <w:pPr>
              <w:tabs>
                <w:tab w:val="decimal" w:pos="330"/>
              </w:tabs>
              <w:jc w:val="left"/>
            </w:pPr>
            <w:r w:rsidRPr="000F68B8">
              <w:rPr>
                <w:color w:val="000000"/>
              </w:rPr>
              <w:t>76.880%</w:t>
            </w:r>
          </w:p>
        </w:tc>
      </w:tr>
      <w:tr w:rsidRPr="002F168A" w:rsidR="000F68B8" w:rsidTr="00921901" w14:paraId="1C7F95A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9B5552D" w14:textId="6CE84768">
            <w:pPr>
              <w:jc w:val="right"/>
            </w:pPr>
            <w:r w:rsidRPr="000F68B8">
              <w:rPr>
                <w:color w:val="000000"/>
              </w:rPr>
              <w:t xml:space="preserve">3.400 </w:t>
            </w:r>
          </w:p>
        </w:tc>
        <w:tc>
          <w:tcPr>
            <w:tcW w:w="1820" w:type="dxa"/>
            <w:tcBorders>
              <w:top w:val="nil"/>
              <w:left w:val="nil"/>
              <w:bottom w:val="nil"/>
              <w:right w:val="nil"/>
            </w:tcBorders>
            <w:shd w:val="clear" w:color="auto" w:fill="auto"/>
            <w:noWrap/>
            <w:vAlign w:val="bottom"/>
          </w:tcPr>
          <w:p w:rsidRPr="000F68B8" w:rsidR="000F68B8" w:rsidP="000F68B8" w:rsidRDefault="000F68B8" w14:paraId="5C91561E" w14:textId="70443D1E">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4EA1B4A2" w14:textId="6134D65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C9B8EBC" w14:textId="00DEFD7F">
            <w:pPr>
              <w:jc w:val="center"/>
            </w:pPr>
            <w:r w:rsidRPr="000F68B8">
              <w:rPr>
                <w:color w:val="000000"/>
              </w:rPr>
              <w:t>1/1/2033</w:t>
            </w:r>
          </w:p>
        </w:tc>
        <w:tc>
          <w:tcPr>
            <w:tcW w:w="1220" w:type="dxa"/>
            <w:tcBorders>
              <w:top w:val="nil"/>
              <w:left w:val="nil"/>
              <w:bottom w:val="nil"/>
              <w:right w:val="nil"/>
            </w:tcBorders>
            <w:shd w:val="clear" w:color="auto" w:fill="auto"/>
            <w:noWrap/>
            <w:vAlign w:val="bottom"/>
          </w:tcPr>
          <w:p w:rsidRPr="000F68B8" w:rsidR="000F68B8" w:rsidP="000F68B8" w:rsidRDefault="000F68B8" w14:paraId="66BF7AA4" w14:textId="58616025">
            <w:pPr>
              <w:tabs>
                <w:tab w:val="decimal" w:pos="975"/>
              </w:tabs>
              <w:jc w:val="left"/>
            </w:pPr>
            <w:r w:rsidRPr="000F68B8">
              <w:rPr>
                <w:color w:val="000000"/>
              </w:rPr>
              <w:t xml:space="preserve">200,000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AD0D632" w14:textId="17012B56">
            <w:pPr>
              <w:tabs>
                <w:tab w:val="decimal" w:pos="1185"/>
              </w:tabs>
              <w:jc w:val="left"/>
            </w:pPr>
            <w:r w:rsidRPr="000F68B8">
              <w:rPr>
                <w:color w:val="000000"/>
              </w:rPr>
              <w:t xml:space="preserve">1,205,410,000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8B6163B" w14:textId="3E8BAB96">
            <w:pPr>
              <w:tabs>
                <w:tab w:val="decimal" w:pos="330"/>
              </w:tabs>
              <w:jc w:val="left"/>
            </w:pPr>
            <w:r w:rsidRPr="000F68B8">
              <w:rPr>
                <w:color w:val="000000"/>
              </w:rPr>
              <w:t>76.893%</w:t>
            </w:r>
          </w:p>
        </w:tc>
      </w:tr>
      <w:tr w:rsidRPr="002F168A" w:rsidR="000F68B8" w:rsidTr="00921901" w14:paraId="390440B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B665AE1" w14:textId="25D48AE4">
            <w:pPr>
              <w:jc w:val="right"/>
            </w:pPr>
            <w:r w:rsidRPr="000F68B8">
              <w:rPr>
                <w:color w:val="000000"/>
              </w:rPr>
              <w:t xml:space="preserve">3.350 </w:t>
            </w:r>
          </w:p>
        </w:tc>
        <w:tc>
          <w:tcPr>
            <w:tcW w:w="1820" w:type="dxa"/>
            <w:tcBorders>
              <w:top w:val="nil"/>
              <w:left w:val="nil"/>
              <w:bottom w:val="nil"/>
              <w:right w:val="nil"/>
            </w:tcBorders>
            <w:shd w:val="clear" w:color="auto" w:fill="auto"/>
            <w:noWrap/>
            <w:vAlign w:val="bottom"/>
          </w:tcPr>
          <w:p w:rsidRPr="000F68B8" w:rsidR="000F68B8" w:rsidP="000F68B8" w:rsidRDefault="000F68B8" w14:paraId="70B92C7F" w14:textId="13C5D50E">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0AECFE46" w14:textId="51F7E4C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0E379E7" w14:textId="4081333B">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71C86EC7" w14:textId="4255FA86">
            <w:pPr>
              <w:tabs>
                <w:tab w:val="decimal" w:pos="975"/>
              </w:tabs>
              <w:jc w:val="left"/>
            </w:pPr>
            <w:r w:rsidRPr="000F68B8">
              <w:rPr>
                <w:color w:val="000000"/>
              </w:rPr>
              <w:t xml:space="preserve">190,000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14EBCA8" w14:textId="6DACA96D">
            <w:pPr>
              <w:tabs>
                <w:tab w:val="decimal" w:pos="1185"/>
              </w:tabs>
              <w:jc w:val="left"/>
            </w:pPr>
            <w:r w:rsidRPr="000F68B8">
              <w:rPr>
                <w:color w:val="000000"/>
              </w:rPr>
              <w:t xml:space="preserve">1,205,600,000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4A85651" w14:textId="049FA66C">
            <w:pPr>
              <w:tabs>
                <w:tab w:val="decimal" w:pos="330"/>
              </w:tabs>
              <w:jc w:val="left"/>
            </w:pPr>
            <w:r w:rsidRPr="000F68B8">
              <w:rPr>
                <w:color w:val="000000"/>
              </w:rPr>
              <w:t>76.905%</w:t>
            </w:r>
          </w:p>
        </w:tc>
      </w:tr>
      <w:tr w:rsidRPr="002F168A" w:rsidR="000F68B8" w:rsidTr="00921901" w14:paraId="4AD6C0E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8826D88" w14:textId="0719FC61">
            <w:pPr>
              <w:jc w:val="right"/>
            </w:pPr>
            <w:r w:rsidRPr="000F68B8">
              <w:rPr>
                <w:color w:val="000000"/>
              </w:rPr>
              <w:t xml:space="preserve">3.300 </w:t>
            </w:r>
          </w:p>
        </w:tc>
        <w:tc>
          <w:tcPr>
            <w:tcW w:w="1820" w:type="dxa"/>
            <w:tcBorders>
              <w:top w:val="nil"/>
              <w:left w:val="nil"/>
              <w:bottom w:val="nil"/>
              <w:right w:val="nil"/>
            </w:tcBorders>
            <w:shd w:val="clear" w:color="auto" w:fill="auto"/>
            <w:noWrap/>
            <w:vAlign w:val="bottom"/>
          </w:tcPr>
          <w:p w:rsidRPr="000F68B8" w:rsidR="000F68B8" w:rsidP="000F68B8" w:rsidRDefault="000F68B8" w14:paraId="6EB0EEFE" w14:textId="209967E9">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4CD7864" w14:textId="4345584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9906062" w14:textId="400FE0CB">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22CE5117" w14:textId="7ACFE757">
            <w:pPr>
              <w:tabs>
                <w:tab w:val="decimal" w:pos="975"/>
              </w:tabs>
              <w:jc w:val="left"/>
            </w:pPr>
            <w:r w:rsidRPr="000F68B8">
              <w:rPr>
                <w:color w:val="000000"/>
              </w:rPr>
              <w:t xml:space="preserve">160,000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009AFC0" w14:textId="1157820F">
            <w:pPr>
              <w:tabs>
                <w:tab w:val="decimal" w:pos="1185"/>
              </w:tabs>
              <w:jc w:val="left"/>
            </w:pPr>
            <w:r w:rsidRPr="000F68B8">
              <w:rPr>
                <w:color w:val="000000"/>
              </w:rPr>
              <w:t xml:space="preserve">1,205,760,000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EA85521" w14:textId="19838BFD">
            <w:pPr>
              <w:tabs>
                <w:tab w:val="decimal" w:pos="330"/>
              </w:tabs>
              <w:jc w:val="left"/>
            </w:pPr>
            <w:r w:rsidRPr="000F68B8">
              <w:rPr>
                <w:color w:val="000000"/>
              </w:rPr>
              <w:t>76.915%</w:t>
            </w:r>
          </w:p>
        </w:tc>
      </w:tr>
      <w:tr w:rsidRPr="002F168A" w:rsidR="000F68B8" w:rsidTr="00921901" w14:paraId="7371E0A9"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55B8F22" w14:textId="43D85821">
            <w:pPr>
              <w:jc w:val="right"/>
            </w:pPr>
            <w:r w:rsidRPr="000F68B8">
              <w:rPr>
                <w:color w:val="000000"/>
              </w:rPr>
              <w:t xml:space="preserve">3.250 </w:t>
            </w:r>
          </w:p>
        </w:tc>
        <w:tc>
          <w:tcPr>
            <w:tcW w:w="1820" w:type="dxa"/>
            <w:tcBorders>
              <w:top w:val="nil"/>
              <w:left w:val="nil"/>
              <w:bottom w:val="nil"/>
              <w:right w:val="nil"/>
            </w:tcBorders>
            <w:shd w:val="clear" w:color="auto" w:fill="auto"/>
            <w:noWrap/>
            <w:vAlign w:val="bottom"/>
          </w:tcPr>
          <w:p w:rsidRPr="000F68B8" w:rsidR="000F68B8" w:rsidP="000F68B8" w:rsidRDefault="000F68B8" w14:paraId="248EAEA5" w14:textId="419C016C">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0CEB8A0" w14:textId="0946C198">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tcPr>
          <w:p w:rsidRPr="000F68B8" w:rsidR="000F68B8" w:rsidP="000F68B8" w:rsidRDefault="000F68B8" w14:paraId="658D8CF1" w14:textId="08C57621">
            <w:pPr>
              <w:jc w:val="center"/>
            </w:pPr>
            <w:r w:rsidRPr="000F68B8">
              <w:rPr>
                <w:color w:val="000000"/>
              </w:rPr>
              <w:t>7/1/2049</w:t>
            </w:r>
          </w:p>
        </w:tc>
        <w:tc>
          <w:tcPr>
            <w:tcW w:w="1220" w:type="dxa"/>
            <w:tcBorders>
              <w:top w:val="nil"/>
              <w:left w:val="nil"/>
              <w:bottom w:val="nil"/>
              <w:right w:val="nil"/>
            </w:tcBorders>
            <w:shd w:val="clear" w:color="auto" w:fill="auto"/>
            <w:noWrap/>
            <w:vAlign w:val="bottom"/>
          </w:tcPr>
          <w:p w:rsidRPr="000F68B8" w:rsidR="000F68B8" w:rsidP="000F68B8" w:rsidRDefault="000F68B8" w14:paraId="0264E9F3" w14:textId="614FCE34">
            <w:pPr>
              <w:tabs>
                <w:tab w:val="decimal" w:pos="975"/>
              </w:tabs>
              <w:jc w:val="left"/>
            </w:pPr>
            <w:r w:rsidRPr="000F68B8">
              <w:rPr>
                <w:color w:val="000000"/>
              </w:rPr>
              <w:t xml:space="preserve">14,855,000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746FAE12" w14:textId="09516BFE">
            <w:pPr>
              <w:tabs>
                <w:tab w:val="decimal" w:pos="1185"/>
              </w:tabs>
              <w:jc w:val="left"/>
            </w:pPr>
            <w:r w:rsidRPr="000F68B8">
              <w:rPr>
                <w:color w:val="000000"/>
              </w:rPr>
              <w:t xml:space="preserve">1,220,615,000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B75DB7A" w14:textId="5A189A9E">
            <w:pPr>
              <w:tabs>
                <w:tab w:val="decimal" w:pos="330"/>
              </w:tabs>
              <w:jc w:val="left"/>
            </w:pPr>
            <w:r w:rsidRPr="000F68B8">
              <w:rPr>
                <w:color w:val="000000"/>
              </w:rPr>
              <w:t>77.863%</w:t>
            </w:r>
          </w:p>
        </w:tc>
      </w:tr>
      <w:tr w:rsidRPr="002F168A" w:rsidR="000F68B8" w:rsidTr="00921901" w14:paraId="1B219CC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51743C5" w14:textId="3A2492FE">
            <w:pPr>
              <w:jc w:val="right"/>
            </w:pPr>
            <w:r w:rsidRPr="000F68B8">
              <w:rPr>
                <w:color w:val="000000"/>
              </w:rPr>
              <w:t xml:space="preserve">3.200 </w:t>
            </w:r>
          </w:p>
        </w:tc>
        <w:tc>
          <w:tcPr>
            <w:tcW w:w="1820" w:type="dxa"/>
            <w:tcBorders>
              <w:top w:val="nil"/>
              <w:left w:val="nil"/>
              <w:bottom w:val="nil"/>
              <w:right w:val="nil"/>
            </w:tcBorders>
            <w:shd w:val="clear" w:color="auto" w:fill="auto"/>
            <w:noWrap/>
            <w:vAlign w:val="bottom"/>
          </w:tcPr>
          <w:p w:rsidRPr="000F68B8" w:rsidR="000F68B8" w:rsidP="000F68B8" w:rsidRDefault="000F68B8" w14:paraId="388F8B9F" w14:textId="32FADAC6">
            <w:pPr>
              <w:jc w:val="left"/>
            </w:pPr>
            <w:r w:rsidRPr="000F68B8">
              <w:rPr>
                <w:color w:val="000000"/>
              </w:rPr>
              <w:t>2022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75EC2F4C" w14:textId="402B6E1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0DF5CF7" w14:textId="42923065">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13FE2801" w14:textId="49B477B0">
            <w:pPr>
              <w:tabs>
                <w:tab w:val="decimal" w:pos="975"/>
              </w:tabs>
              <w:jc w:val="left"/>
            </w:pPr>
            <w:r w:rsidRPr="000F68B8">
              <w:rPr>
                <w:color w:val="000000"/>
              </w:rPr>
              <w:t xml:space="preserve">1,000,000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85171A7" w14:textId="2C30C1B4">
            <w:pPr>
              <w:tabs>
                <w:tab w:val="decimal" w:pos="1185"/>
              </w:tabs>
              <w:jc w:val="left"/>
            </w:pPr>
            <w:r w:rsidRPr="000F68B8">
              <w:rPr>
                <w:color w:val="000000"/>
              </w:rPr>
              <w:t xml:space="preserve">1,221,615,000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781D6FF" w14:textId="34F13696">
            <w:pPr>
              <w:tabs>
                <w:tab w:val="decimal" w:pos="330"/>
              </w:tabs>
              <w:jc w:val="left"/>
            </w:pPr>
            <w:r w:rsidRPr="000F68B8">
              <w:rPr>
                <w:color w:val="000000"/>
              </w:rPr>
              <w:t>77.927%</w:t>
            </w:r>
          </w:p>
        </w:tc>
      </w:tr>
      <w:tr w:rsidRPr="002F168A" w:rsidR="000F68B8" w:rsidTr="00921901" w14:paraId="596E501E"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FE4DFEA" w14:textId="2827DCD0">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A6EECB9" w14:textId="2830BE87">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C7C5172" w14:textId="57CC639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84D4CE4" w14:textId="1FEDF7EE">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788BB5CB" w14:textId="0DFDA324">
            <w:pPr>
              <w:tabs>
                <w:tab w:val="decimal" w:pos="975"/>
              </w:tabs>
              <w:jc w:val="left"/>
            </w:pPr>
            <w:r w:rsidRPr="000F68B8">
              <w:rPr>
                <w:color w:val="000000"/>
              </w:rPr>
              <w:t xml:space="preserve">150,000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2CA2D53" w14:textId="7A2E32DA">
            <w:pPr>
              <w:tabs>
                <w:tab w:val="decimal" w:pos="1185"/>
              </w:tabs>
              <w:jc w:val="left"/>
            </w:pPr>
            <w:r w:rsidRPr="000F68B8">
              <w:rPr>
                <w:color w:val="000000"/>
              </w:rPr>
              <w:t xml:space="preserve">1,221,765,000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139974E" w14:textId="23529374">
            <w:pPr>
              <w:tabs>
                <w:tab w:val="decimal" w:pos="330"/>
              </w:tabs>
              <w:jc w:val="left"/>
            </w:pPr>
            <w:r w:rsidRPr="000F68B8">
              <w:rPr>
                <w:color w:val="000000"/>
              </w:rPr>
              <w:t>77.936%</w:t>
            </w:r>
          </w:p>
        </w:tc>
      </w:tr>
      <w:tr w:rsidRPr="002F168A" w:rsidR="000F68B8" w:rsidTr="00921901" w14:paraId="2D02CEE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52379FF" w14:textId="1784FCA6">
            <w:pPr>
              <w:jc w:val="right"/>
            </w:pPr>
            <w:r w:rsidRPr="000F68B8">
              <w:rPr>
                <w:color w:val="000000"/>
              </w:rPr>
              <w:t xml:space="preserve">3.150 </w:t>
            </w:r>
          </w:p>
        </w:tc>
        <w:tc>
          <w:tcPr>
            <w:tcW w:w="1820" w:type="dxa"/>
            <w:tcBorders>
              <w:top w:val="nil"/>
              <w:left w:val="nil"/>
              <w:bottom w:val="nil"/>
              <w:right w:val="nil"/>
            </w:tcBorders>
            <w:shd w:val="clear" w:color="auto" w:fill="auto"/>
            <w:noWrap/>
            <w:vAlign w:val="bottom"/>
          </w:tcPr>
          <w:p w:rsidRPr="000F68B8" w:rsidR="000F68B8" w:rsidP="000F68B8" w:rsidRDefault="000F68B8" w14:paraId="5D0BEB40" w14:textId="2712F730">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2D4CD842" w14:textId="6A1129D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81125ED" w14:textId="38238E6C">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44E90004" w14:textId="1633BF2F">
            <w:pPr>
              <w:tabs>
                <w:tab w:val="decimal" w:pos="975"/>
              </w:tabs>
              <w:jc w:val="left"/>
            </w:pPr>
            <w:r w:rsidRPr="000F68B8">
              <w:rPr>
                <w:color w:val="000000"/>
              </w:rPr>
              <w:t xml:space="preserve">110,000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9B26A4D" w14:textId="070B6306">
            <w:pPr>
              <w:tabs>
                <w:tab w:val="decimal" w:pos="1185"/>
              </w:tabs>
              <w:jc w:val="left"/>
            </w:pPr>
            <w:r w:rsidRPr="000F68B8">
              <w:rPr>
                <w:color w:val="000000"/>
              </w:rPr>
              <w:t xml:space="preserve">1,221,875,000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CA4E571" w14:textId="4D753516">
            <w:pPr>
              <w:tabs>
                <w:tab w:val="decimal" w:pos="330"/>
              </w:tabs>
              <w:jc w:val="left"/>
            </w:pPr>
            <w:r w:rsidRPr="000F68B8">
              <w:rPr>
                <w:color w:val="000000"/>
              </w:rPr>
              <w:t>77.943%</w:t>
            </w:r>
          </w:p>
        </w:tc>
      </w:tr>
      <w:tr w:rsidRPr="002F168A" w:rsidR="000F68B8" w:rsidTr="00921901" w14:paraId="45CCB6F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9456A24" w14:textId="38E4A19E">
            <w:pPr>
              <w:jc w:val="right"/>
            </w:pPr>
            <w:r w:rsidRPr="000F68B8">
              <w:rPr>
                <w:color w:val="000000"/>
              </w:rPr>
              <w:t xml:space="preserve">3.125 </w:t>
            </w:r>
          </w:p>
        </w:tc>
        <w:tc>
          <w:tcPr>
            <w:tcW w:w="1820" w:type="dxa"/>
            <w:tcBorders>
              <w:top w:val="nil"/>
              <w:left w:val="nil"/>
              <w:bottom w:val="nil"/>
              <w:right w:val="nil"/>
            </w:tcBorders>
            <w:shd w:val="clear" w:color="auto" w:fill="auto"/>
            <w:noWrap/>
            <w:vAlign w:val="bottom"/>
          </w:tcPr>
          <w:p w:rsidRPr="000F68B8" w:rsidR="000F68B8" w:rsidP="000F68B8" w:rsidRDefault="000F68B8" w14:paraId="7705E51B" w14:textId="5E8BCE24">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38332ABB" w14:textId="4DC7943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DFB0D65" w14:textId="0A3C675F">
            <w:pPr>
              <w:jc w:val="center"/>
            </w:pPr>
            <w:r w:rsidRPr="000F68B8">
              <w:rPr>
                <w:color w:val="000000"/>
              </w:rPr>
              <w:t>7/1/2030</w:t>
            </w:r>
          </w:p>
        </w:tc>
        <w:tc>
          <w:tcPr>
            <w:tcW w:w="1220" w:type="dxa"/>
            <w:tcBorders>
              <w:top w:val="nil"/>
              <w:left w:val="nil"/>
              <w:bottom w:val="nil"/>
              <w:right w:val="nil"/>
            </w:tcBorders>
            <w:shd w:val="clear" w:color="auto" w:fill="auto"/>
            <w:noWrap/>
            <w:vAlign w:val="bottom"/>
          </w:tcPr>
          <w:p w:rsidRPr="000F68B8" w:rsidR="000F68B8" w:rsidP="000F68B8" w:rsidRDefault="000F68B8" w14:paraId="433D9DC7" w14:textId="3F2DC1B7">
            <w:pPr>
              <w:tabs>
                <w:tab w:val="decimal" w:pos="975"/>
              </w:tabs>
              <w:jc w:val="left"/>
            </w:pPr>
            <w:r w:rsidRPr="000F68B8">
              <w:rPr>
                <w:color w:val="000000"/>
              </w:rPr>
              <w:t xml:space="preserve">105,000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DDABD13" w14:textId="53434113">
            <w:pPr>
              <w:tabs>
                <w:tab w:val="decimal" w:pos="1185"/>
              </w:tabs>
              <w:jc w:val="left"/>
            </w:pPr>
            <w:r w:rsidRPr="000F68B8">
              <w:rPr>
                <w:color w:val="000000"/>
              </w:rPr>
              <w:t xml:space="preserve">1,221,980,000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B945D51" w14:textId="381D5D28">
            <w:pPr>
              <w:tabs>
                <w:tab w:val="decimal" w:pos="330"/>
              </w:tabs>
              <w:jc w:val="left"/>
            </w:pPr>
            <w:r w:rsidRPr="000F68B8">
              <w:rPr>
                <w:color w:val="000000"/>
              </w:rPr>
              <w:t>77.950%</w:t>
            </w:r>
          </w:p>
        </w:tc>
      </w:tr>
      <w:tr w:rsidRPr="002F168A" w:rsidR="000F68B8" w:rsidTr="00921901" w14:paraId="0E690F4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E33D0E6" w14:textId="76ECFF0A">
            <w:pPr>
              <w:jc w:val="right"/>
            </w:pPr>
            <w:r w:rsidRPr="000F68B8">
              <w:rPr>
                <w:color w:val="000000"/>
              </w:rPr>
              <w:t xml:space="preserve">3.100 </w:t>
            </w:r>
          </w:p>
        </w:tc>
        <w:tc>
          <w:tcPr>
            <w:tcW w:w="1820" w:type="dxa"/>
            <w:tcBorders>
              <w:top w:val="nil"/>
              <w:left w:val="nil"/>
              <w:bottom w:val="nil"/>
              <w:right w:val="nil"/>
            </w:tcBorders>
            <w:shd w:val="clear" w:color="auto" w:fill="auto"/>
            <w:noWrap/>
            <w:vAlign w:val="bottom"/>
          </w:tcPr>
          <w:p w:rsidRPr="000F68B8" w:rsidR="000F68B8" w:rsidP="000F68B8" w:rsidRDefault="000F68B8" w14:paraId="54E2001E" w14:textId="4D633013">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7D2B5357" w14:textId="766B40D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22925A6" w14:textId="6CF638B4">
            <w:pPr>
              <w:jc w:val="center"/>
            </w:pPr>
            <w:r w:rsidRPr="000F68B8">
              <w:rPr>
                <w:color w:val="000000"/>
              </w:rPr>
              <w:t>1/1/2030</w:t>
            </w:r>
          </w:p>
        </w:tc>
        <w:tc>
          <w:tcPr>
            <w:tcW w:w="1220" w:type="dxa"/>
            <w:tcBorders>
              <w:top w:val="nil"/>
              <w:left w:val="nil"/>
              <w:bottom w:val="nil"/>
              <w:right w:val="nil"/>
            </w:tcBorders>
            <w:shd w:val="clear" w:color="auto" w:fill="auto"/>
            <w:noWrap/>
            <w:vAlign w:val="bottom"/>
          </w:tcPr>
          <w:p w:rsidRPr="000F68B8" w:rsidR="000F68B8" w:rsidP="000F68B8" w:rsidRDefault="000F68B8" w14:paraId="7F95FA49" w14:textId="4ACED54A">
            <w:pPr>
              <w:tabs>
                <w:tab w:val="decimal" w:pos="975"/>
              </w:tabs>
              <w:jc w:val="left"/>
            </w:pPr>
            <w:r w:rsidRPr="000F68B8">
              <w:rPr>
                <w:color w:val="000000"/>
              </w:rPr>
              <w:t xml:space="preserve">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7AFD070" w14:textId="5B29977D">
            <w:pPr>
              <w:tabs>
                <w:tab w:val="decimal" w:pos="1185"/>
              </w:tabs>
              <w:jc w:val="left"/>
            </w:pPr>
            <w:r w:rsidRPr="000F68B8">
              <w:rPr>
                <w:color w:val="000000"/>
              </w:rPr>
              <w:t xml:space="preserve">1,222,060,000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EDC244A" w14:textId="5CE2C95F">
            <w:pPr>
              <w:tabs>
                <w:tab w:val="decimal" w:pos="330"/>
              </w:tabs>
              <w:jc w:val="left"/>
            </w:pPr>
            <w:r w:rsidRPr="000F68B8">
              <w:rPr>
                <w:color w:val="000000"/>
              </w:rPr>
              <w:t>77.955%</w:t>
            </w:r>
          </w:p>
        </w:tc>
      </w:tr>
      <w:tr w:rsidRPr="002F168A" w:rsidR="000F68B8" w:rsidTr="00921901" w14:paraId="337DB5FF"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D28257F" w14:textId="2D5D979D">
            <w:pPr>
              <w:jc w:val="right"/>
            </w:pPr>
            <w:r w:rsidRPr="000F68B8">
              <w:rPr>
                <w:color w:val="000000"/>
              </w:rPr>
              <w:t xml:space="preserve">3.050 </w:t>
            </w:r>
          </w:p>
        </w:tc>
        <w:tc>
          <w:tcPr>
            <w:tcW w:w="1820" w:type="dxa"/>
            <w:tcBorders>
              <w:top w:val="nil"/>
              <w:left w:val="nil"/>
              <w:bottom w:val="nil"/>
              <w:right w:val="nil"/>
            </w:tcBorders>
            <w:shd w:val="clear" w:color="auto" w:fill="auto"/>
            <w:noWrap/>
            <w:vAlign w:val="bottom"/>
          </w:tcPr>
          <w:p w:rsidRPr="000F68B8" w:rsidR="000F68B8" w:rsidP="000F68B8" w:rsidRDefault="000F68B8" w14:paraId="28334CD5" w14:textId="112C699D">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53175D19" w14:textId="455AC4F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25B5A21" w14:textId="7FD6B92D">
            <w:pPr>
              <w:jc w:val="center"/>
            </w:pPr>
            <w:r w:rsidRPr="000F68B8">
              <w:rPr>
                <w:color w:val="000000"/>
              </w:rPr>
              <w:t>7/1/2029</w:t>
            </w:r>
          </w:p>
        </w:tc>
        <w:tc>
          <w:tcPr>
            <w:tcW w:w="1220" w:type="dxa"/>
            <w:tcBorders>
              <w:top w:val="nil"/>
              <w:left w:val="nil"/>
              <w:bottom w:val="nil"/>
              <w:right w:val="nil"/>
            </w:tcBorders>
            <w:shd w:val="clear" w:color="auto" w:fill="auto"/>
            <w:noWrap/>
            <w:vAlign w:val="bottom"/>
          </w:tcPr>
          <w:p w:rsidRPr="000F68B8" w:rsidR="000F68B8" w:rsidP="000F68B8" w:rsidRDefault="000F68B8" w14:paraId="459D79DB" w14:textId="1AA72CB2">
            <w:pPr>
              <w:tabs>
                <w:tab w:val="decimal" w:pos="975"/>
              </w:tabs>
              <w:jc w:val="left"/>
            </w:pPr>
            <w:r w:rsidRPr="000F68B8">
              <w:rPr>
                <w:color w:val="000000"/>
              </w:rPr>
              <w:t xml:space="preserve">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558A68B" w14:textId="7ECD9231">
            <w:pPr>
              <w:tabs>
                <w:tab w:val="decimal" w:pos="1185"/>
              </w:tabs>
              <w:jc w:val="left"/>
            </w:pPr>
            <w:r w:rsidRPr="000F68B8">
              <w:rPr>
                <w:color w:val="000000"/>
              </w:rPr>
              <w:t xml:space="preserve">1,222,125,000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4F9F01E" w14:textId="4F72FD4B">
            <w:pPr>
              <w:tabs>
                <w:tab w:val="decimal" w:pos="330"/>
              </w:tabs>
              <w:jc w:val="left"/>
            </w:pPr>
            <w:r w:rsidRPr="000F68B8">
              <w:rPr>
                <w:color w:val="000000"/>
              </w:rPr>
              <w:t>77.959%</w:t>
            </w:r>
          </w:p>
        </w:tc>
      </w:tr>
      <w:tr w:rsidRPr="002F168A" w:rsidR="000F68B8" w:rsidTr="00921901" w14:paraId="75840BE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9C9EF99" w14:textId="3CDE1A95">
            <w:pPr>
              <w:jc w:val="right"/>
            </w:pPr>
            <w:r w:rsidRPr="000F68B8">
              <w:rPr>
                <w:color w:val="000000"/>
              </w:rPr>
              <w:t xml:space="preserve">3.000 </w:t>
            </w:r>
          </w:p>
        </w:tc>
        <w:tc>
          <w:tcPr>
            <w:tcW w:w="1820" w:type="dxa"/>
            <w:tcBorders>
              <w:top w:val="nil"/>
              <w:left w:val="nil"/>
              <w:bottom w:val="nil"/>
              <w:right w:val="nil"/>
            </w:tcBorders>
            <w:shd w:val="clear" w:color="auto" w:fill="auto"/>
            <w:noWrap/>
            <w:vAlign w:val="bottom"/>
          </w:tcPr>
          <w:p w:rsidRPr="000F68B8" w:rsidR="000F68B8" w:rsidP="000F68B8" w:rsidRDefault="000F68B8" w14:paraId="42F98285" w14:textId="74B0719A">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7910FC28" w14:textId="1F7D12B1">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tcPr>
          <w:p w:rsidRPr="000F68B8" w:rsidR="000F68B8" w:rsidP="000F68B8" w:rsidRDefault="000F68B8" w14:paraId="1BA6948D" w14:textId="4B01ED50">
            <w:pPr>
              <w:jc w:val="center"/>
            </w:pPr>
            <w:r w:rsidRPr="000F68B8">
              <w:rPr>
                <w:color w:val="000000"/>
              </w:rPr>
              <w:t>7/1/2051</w:t>
            </w:r>
          </w:p>
        </w:tc>
        <w:tc>
          <w:tcPr>
            <w:tcW w:w="1220" w:type="dxa"/>
            <w:tcBorders>
              <w:top w:val="nil"/>
              <w:left w:val="nil"/>
              <w:bottom w:val="nil"/>
              <w:right w:val="nil"/>
            </w:tcBorders>
            <w:shd w:val="clear" w:color="auto" w:fill="auto"/>
            <w:noWrap/>
            <w:vAlign w:val="bottom"/>
          </w:tcPr>
          <w:p w:rsidRPr="000F68B8" w:rsidR="000F68B8" w:rsidP="000F68B8" w:rsidRDefault="000F68B8" w14:paraId="609DAF2D" w14:textId="3A114255">
            <w:pPr>
              <w:tabs>
                <w:tab w:val="decimal" w:pos="975"/>
              </w:tabs>
              <w:jc w:val="left"/>
            </w:pPr>
            <w:r w:rsidRPr="000F68B8">
              <w:rPr>
                <w:color w:val="000000"/>
              </w:rPr>
              <w:t xml:space="preserve">12,100,000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C5635E7" w14:textId="535D903F">
            <w:pPr>
              <w:tabs>
                <w:tab w:val="decimal" w:pos="1185"/>
              </w:tabs>
              <w:jc w:val="left"/>
            </w:pPr>
            <w:r w:rsidRPr="000F68B8">
              <w:rPr>
                <w:color w:val="000000"/>
              </w:rPr>
              <w:t xml:space="preserve">1,234,225,000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25EAF9E" w14:textId="114BDDA6">
            <w:pPr>
              <w:tabs>
                <w:tab w:val="decimal" w:pos="330"/>
              </w:tabs>
              <w:jc w:val="left"/>
            </w:pPr>
            <w:r w:rsidRPr="000F68B8">
              <w:rPr>
                <w:color w:val="000000"/>
              </w:rPr>
              <w:t>78.731%</w:t>
            </w:r>
          </w:p>
        </w:tc>
      </w:tr>
      <w:tr w:rsidRPr="002F168A" w:rsidR="000F68B8" w:rsidTr="00921901" w14:paraId="2456259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C3FE981" w14:textId="2FAEA2F7">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AEDC46A" w14:textId="03D37847">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6E950C71" w14:textId="4AD8BE62">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tcPr>
          <w:p w:rsidRPr="000F68B8" w:rsidR="000F68B8" w:rsidP="000F68B8" w:rsidRDefault="000F68B8" w14:paraId="670B4781" w14:textId="48862ACB">
            <w:pPr>
              <w:jc w:val="center"/>
            </w:pPr>
            <w:r w:rsidRPr="000F68B8">
              <w:rPr>
                <w:color w:val="000000"/>
              </w:rPr>
              <w:t>7/1/2050</w:t>
            </w:r>
          </w:p>
        </w:tc>
        <w:tc>
          <w:tcPr>
            <w:tcW w:w="1220" w:type="dxa"/>
            <w:tcBorders>
              <w:top w:val="nil"/>
              <w:left w:val="nil"/>
              <w:bottom w:val="nil"/>
              <w:right w:val="nil"/>
            </w:tcBorders>
            <w:shd w:val="clear" w:color="auto" w:fill="auto"/>
            <w:noWrap/>
            <w:vAlign w:val="bottom"/>
          </w:tcPr>
          <w:p w:rsidRPr="000F68B8" w:rsidR="000F68B8" w:rsidP="000F68B8" w:rsidRDefault="000F68B8" w14:paraId="36C314D4" w14:textId="3B9025E3">
            <w:pPr>
              <w:tabs>
                <w:tab w:val="decimal" w:pos="975"/>
              </w:tabs>
              <w:jc w:val="left"/>
            </w:pPr>
            <w:r w:rsidRPr="000F68B8">
              <w:rPr>
                <w:color w:val="000000"/>
              </w:rPr>
              <w:t xml:space="preserve">23,380,000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502D13E" w14:textId="3849AF43">
            <w:pPr>
              <w:tabs>
                <w:tab w:val="decimal" w:pos="1185"/>
              </w:tabs>
              <w:jc w:val="left"/>
            </w:pPr>
            <w:r w:rsidRPr="000F68B8">
              <w:rPr>
                <w:color w:val="000000"/>
              </w:rPr>
              <w:t xml:space="preserve">1,257,605,000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8223BA0" w14:textId="08FD2C8F">
            <w:pPr>
              <w:tabs>
                <w:tab w:val="decimal" w:pos="330"/>
              </w:tabs>
              <w:jc w:val="left"/>
            </w:pPr>
            <w:r w:rsidRPr="000F68B8">
              <w:rPr>
                <w:color w:val="000000"/>
              </w:rPr>
              <w:t>80.222%</w:t>
            </w:r>
          </w:p>
        </w:tc>
      </w:tr>
      <w:tr w:rsidRPr="002F168A" w:rsidR="000F68B8" w:rsidTr="00921901" w14:paraId="010038C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D37E0C2" w14:textId="59AEB997">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3B6608D" w14:textId="13CF0837">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56A2AE41" w14:textId="1654C34D">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tcPr>
          <w:p w:rsidRPr="000F68B8" w:rsidR="000F68B8" w:rsidP="000F68B8" w:rsidRDefault="000F68B8" w14:paraId="3A03D3D2" w14:textId="3BBA086C">
            <w:pPr>
              <w:jc w:val="center"/>
            </w:pPr>
            <w:r w:rsidRPr="000F68B8">
              <w:rPr>
                <w:color w:val="000000"/>
              </w:rPr>
              <w:t>1/1/2052</w:t>
            </w:r>
          </w:p>
        </w:tc>
        <w:tc>
          <w:tcPr>
            <w:tcW w:w="1220" w:type="dxa"/>
            <w:tcBorders>
              <w:top w:val="nil"/>
              <w:left w:val="nil"/>
              <w:bottom w:val="nil"/>
              <w:right w:val="nil"/>
            </w:tcBorders>
            <w:shd w:val="clear" w:color="auto" w:fill="auto"/>
            <w:noWrap/>
            <w:vAlign w:val="bottom"/>
          </w:tcPr>
          <w:p w:rsidRPr="000F68B8" w:rsidR="000F68B8" w:rsidP="000F68B8" w:rsidRDefault="000F68B8" w14:paraId="3FE201D2" w14:textId="001C1EF7">
            <w:pPr>
              <w:tabs>
                <w:tab w:val="decimal" w:pos="975"/>
              </w:tabs>
              <w:jc w:val="left"/>
            </w:pPr>
            <w:r w:rsidRPr="000F68B8">
              <w:rPr>
                <w:color w:val="000000"/>
              </w:rPr>
              <w:t xml:space="preserve">22,140,000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C6CA9A8" w14:textId="19147A15">
            <w:pPr>
              <w:tabs>
                <w:tab w:val="decimal" w:pos="1185"/>
              </w:tabs>
              <w:jc w:val="left"/>
            </w:pPr>
            <w:r w:rsidRPr="000F68B8">
              <w:rPr>
                <w:color w:val="000000"/>
              </w:rPr>
              <w:t xml:space="preserve">1,279,745,000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FB5801A" w14:textId="5558FD00">
            <w:pPr>
              <w:tabs>
                <w:tab w:val="decimal" w:pos="330"/>
              </w:tabs>
              <w:jc w:val="left"/>
            </w:pPr>
            <w:r w:rsidRPr="000F68B8">
              <w:rPr>
                <w:color w:val="000000"/>
              </w:rPr>
              <w:t>81.635%</w:t>
            </w:r>
          </w:p>
        </w:tc>
      </w:tr>
      <w:tr w:rsidRPr="002F168A" w:rsidR="000F68B8" w:rsidTr="00921901" w14:paraId="03FAFC9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ECAC4D3" w14:textId="1F12CA39">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3ED8B85" w14:textId="6A9F1E90">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2B0E685A" w14:textId="277DFA6E">
            <w:pPr>
              <w:jc w:val="left"/>
            </w:pPr>
            <w:r w:rsidRPr="000F68B8">
              <w:rPr>
                <w:color w:val="000000"/>
              </w:rPr>
              <w:t xml:space="preserve"> PAC </w:t>
            </w:r>
          </w:p>
        </w:tc>
        <w:tc>
          <w:tcPr>
            <w:tcW w:w="1060" w:type="dxa"/>
            <w:tcBorders>
              <w:top w:val="nil"/>
              <w:left w:val="nil"/>
              <w:bottom w:val="nil"/>
              <w:right w:val="nil"/>
            </w:tcBorders>
            <w:shd w:val="clear" w:color="auto" w:fill="auto"/>
            <w:noWrap/>
            <w:vAlign w:val="bottom"/>
          </w:tcPr>
          <w:p w:rsidRPr="000F68B8" w:rsidR="000F68B8" w:rsidP="000F68B8" w:rsidRDefault="000F68B8" w14:paraId="62C601E9" w14:textId="776EC8A4">
            <w:pPr>
              <w:jc w:val="center"/>
            </w:pPr>
            <w:r w:rsidRPr="000F68B8">
              <w:rPr>
                <w:color w:val="000000"/>
              </w:rPr>
              <w:t>7/1/2052</w:t>
            </w:r>
          </w:p>
        </w:tc>
        <w:tc>
          <w:tcPr>
            <w:tcW w:w="1220" w:type="dxa"/>
            <w:tcBorders>
              <w:top w:val="nil"/>
              <w:left w:val="nil"/>
              <w:bottom w:val="nil"/>
              <w:right w:val="nil"/>
            </w:tcBorders>
            <w:shd w:val="clear" w:color="auto" w:fill="auto"/>
            <w:noWrap/>
            <w:vAlign w:val="bottom"/>
          </w:tcPr>
          <w:p w:rsidRPr="000F68B8" w:rsidR="000F68B8" w:rsidP="000F68B8" w:rsidRDefault="000F68B8" w14:paraId="614430D8" w14:textId="2247D8CA">
            <w:pPr>
              <w:tabs>
                <w:tab w:val="decimal" w:pos="975"/>
              </w:tabs>
              <w:jc w:val="left"/>
            </w:pPr>
            <w:r w:rsidRPr="000F68B8">
              <w:rPr>
                <w:color w:val="000000"/>
              </w:rPr>
              <w:t xml:space="preserve">26,030,000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012A936" w14:textId="796EA316">
            <w:pPr>
              <w:tabs>
                <w:tab w:val="decimal" w:pos="1185"/>
              </w:tabs>
              <w:jc w:val="left"/>
            </w:pPr>
            <w:r w:rsidRPr="000F68B8">
              <w:rPr>
                <w:color w:val="000000"/>
              </w:rPr>
              <w:t xml:space="preserve">1,305,775,000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6F22ED2" w14:textId="4F9E84D0">
            <w:pPr>
              <w:tabs>
                <w:tab w:val="decimal" w:pos="330"/>
              </w:tabs>
              <w:jc w:val="left"/>
            </w:pPr>
            <w:r w:rsidRPr="000F68B8">
              <w:rPr>
                <w:color w:val="000000"/>
              </w:rPr>
              <w:t>83.295%</w:t>
            </w:r>
          </w:p>
        </w:tc>
      </w:tr>
      <w:tr w:rsidRPr="002F168A" w:rsidR="000F68B8" w:rsidTr="00921901" w14:paraId="7DF41E1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1DE63FA" w14:textId="2EE4A38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BAE190E" w14:textId="296C9AC2">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71040082" w14:textId="58293DF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1946493" w14:textId="54432E05">
            <w:pPr>
              <w:jc w:val="center"/>
            </w:pPr>
            <w:r w:rsidRPr="000F68B8">
              <w:rPr>
                <w:color w:val="000000"/>
              </w:rPr>
              <w:t>1/1/2029</w:t>
            </w:r>
          </w:p>
        </w:tc>
        <w:tc>
          <w:tcPr>
            <w:tcW w:w="1220" w:type="dxa"/>
            <w:tcBorders>
              <w:top w:val="nil"/>
              <w:left w:val="nil"/>
              <w:bottom w:val="nil"/>
              <w:right w:val="nil"/>
            </w:tcBorders>
            <w:shd w:val="clear" w:color="auto" w:fill="auto"/>
            <w:noWrap/>
            <w:vAlign w:val="bottom"/>
          </w:tcPr>
          <w:p w:rsidRPr="000F68B8" w:rsidR="000F68B8" w:rsidP="000F68B8" w:rsidRDefault="000F68B8" w14:paraId="74E34439" w14:textId="0031D342">
            <w:pPr>
              <w:tabs>
                <w:tab w:val="decimal" w:pos="975"/>
              </w:tabs>
              <w:jc w:val="left"/>
            </w:pPr>
            <w:r w:rsidRPr="000F68B8">
              <w:rPr>
                <w:color w:val="000000"/>
              </w:rPr>
              <w:t xml:space="preserve">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DBD4354" w14:textId="28B9E44B">
            <w:pPr>
              <w:tabs>
                <w:tab w:val="decimal" w:pos="1185"/>
              </w:tabs>
              <w:jc w:val="left"/>
            </w:pPr>
            <w:r w:rsidRPr="000F68B8">
              <w:rPr>
                <w:color w:val="000000"/>
              </w:rPr>
              <w:t xml:space="preserve">1,305,830,000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0CCDAD5" w14:textId="08E1802E">
            <w:pPr>
              <w:tabs>
                <w:tab w:val="decimal" w:pos="330"/>
              </w:tabs>
              <w:jc w:val="left"/>
            </w:pPr>
            <w:r w:rsidRPr="000F68B8">
              <w:rPr>
                <w:color w:val="000000"/>
              </w:rPr>
              <w:t>83.299%</w:t>
            </w:r>
          </w:p>
        </w:tc>
      </w:tr>
      <w:tr w:rsidRPr="002F168A" w:rsidR="000F68B8" w:rsidTr="00921901" w14:paraId="53AC7FE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AC7B09F" w14:textId="420AA1DB">
            <w:pPr>
              <w:jc w:val="right"/>
            </w:pPr>
            <w:r w:rsidRPr="000F68B8">
              <w:rPr>
                <w:color w:val="000000"/>
              </w:rPr>
              <w:t xml:space="preserve">2.950 </w:t>
            </w:r>
          </w:p>
        </w:tc>
        <w:tc>
          <w:tcPr>
            <w:tcW w:w="1820" w:type="dxa"/>
            <w:tcBorders>
              <w:top w:val="nil"/>
              <w:left w:val="nil"/>
              <w:bottom w:val="nil"/>
              <w:right w:val="nil"/>
            </w:tcBorders>
            <w:shd w:val="clear" w:color="auto" w:fill="auto"/>
            <w:noWrap/>
            <w:vAlign w:val="bottom"/>
          </w:tcPr>
          <w:p w:rsidRPr="000F68B8" w:rsidR="000F68B8" w:rsidP="000F68B8" w:rsidRDefault="000F68B8" w14:paraId="69CF979B" w14:textId="49C8F853">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5BF7F8F6" w14:textId="69E8DCD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5316E589" w14:textId="0BA3821D">
            <w:pPr>
              <w:jc w:val="center"/>
            </w:pPr>
            <w:r w:rsidRPr="000F68B8">
              <w:rPr>
                <w:color w:val="000000"/>
              </w:rPr>
              <w:t>7/1/2028</w:t>
            </w:r>
          </w:p>
        </w:tc>
        <w:tc>
          <w:tcPr>
            <w:tcW w:w="1220" w:type="dxa"/>
            <w:tcBorders>
              <w:top w:val="nil"/>
              <w:left w:val="nil"/>
              <w:bottom w:val="nil"/>
              <w:right w:val="nil"/>
            </w:tcBorders>
            <w:shd w:val="clear" w:color="auto" w:fill="auto"/>
            <w:noWrap/>
            <w:vAlign w:val="bottom"/>
          </w:tcPr>
          <w:p w:rsidRPr="000F68B8" w:rsidR="000F68B8" w:rsidP="000F68B8" w:rsidRDefault="000F68B8" w14:paraId="30708F63" w14:textId="5420E2A9">
            <w:pPr>
              <w:tabs>
                <w:tab w:val="decimal" w:pos="975"/>
              </w:tabs>
              <w:jc w:val="left"/>
            </w:pPr>
            <w:r w:rsidRPr="000F68B8">
              <w:rPr>
                <w:color w:val="000000"/>
              </w:rPr>
              <w:t xml:space="preserve">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939A1E7" w14:textId="18447854">
            <w:pPr>
              <w:tabs>
                <w:tab w:val="decimal" w:pos="1185"/>
              </w:tabs>
              <w:jc w:val="left"/>
            </w:pPr>
            <w:r w:rsidRPr="000F68B8">
              <w:rPr>
                <w:color w:val="000000"/>
              </w:rPr>
              <w:t xml:space="preserve">1,305,875,000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3050C0F" w14:textId="506C22CC">
            <w:pPr>
              <w:tabs>
                <w:tab w:val="decimal" w:pos="330"/>
              </w:tabs>
              <w:jc w:val="left"/>
            </w:pPr>
            <w:r w:rsidRPr="000F68B8">
              <w:rPr>
                <w:color w:val="000000"/>
              </w:rPr>
              <w:t>83.301%</w:t>
            </w:r>
          </w:p>
        </w:tc>
      </w:tr>
      <w:tr w:rsidRPr="002F168A" w:rsidR="000F68B8" w:rsidTr="00921901" w14:paraId="7BD576A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D852EF4" w14:textId="1513D9AD">
            <w:pPr>
              <w:jc w:val="right"/>
            </w:pPr>
            <w:r w:rsidRPr="000F68B8">
              <w:rPr>
                <w:color w:val="000000"/>
              </w:rPr>
              <w:t xml:space="preserve">2.900 </w:t>
            </w:r>
          </w:p>
        </w:tc>
        <w:tc>
          <w:tcPr>
            <w:tcW w:w="1820" w:type="dxa"/>
            <w:tcBorders>
              <w:top w:val="nil"/>
              <w:left w:val="nil"/>
              <w:bottom w:val="nil"/>
              <w:right w:val="nil"/>
            </w:tcBorders>
            <w:shd w:val="clear" w:color="auto" w:fill="auto"/>
            <w:noWrap/>
            <w:vAlign w:val="bottom"/>
          </w:tcPr>
          <w:p w:rsidRPr="000F68B8" w:rsidR="000F68B8" w:rsidP="000F68B8" w:rsidRDefault="000F68B8" w14:paraId="09672966" w14:textId="0BA20D5C">
            <w:pPr>
              <w:jc w:val="left"/>
            </w:pPr>
            <w:r w:rsidRPr="000F68B8">
              <w:rPr>
                <w:color w:val="000000"/>
              </w:rPr>
              <w:t>2023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55ABF0F7" w14:textId="3E20942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0481570" w14:textId="53025480">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286B3E22" w14:textId="5A30354D">
            <w:pPr>
              <w:tabs>
                <w:tab w:val="decimal" w:pos="975"/>
              </w:tabs>
              <w:jc w:val="left"/>
            </w:pPr>
            <w:r w:rsidRPr="000F68B8">
              <w:rPr>
                <w:color w:val="000000"/>
              </w:rPr>
              <w:t xml:space="preserve">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53B6D07" w14:textId="05FEF6DB">
            <w:pPr>
              <w:tabs>
                <w:tab w:val="decimal" w:pos="1185"/>
              </w:tabs>
              <w:jc w:val="left"/>
            </w:pPr>
            <w:r w:rsidRPr="000F68B8">
              <w:rPr>
                <w:color w:val="000000"/>
              </w:rPr>
              <w:t xml:space="preserve">1,305,920,000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3D274BE" w14:textId="42A91AA8">
            <w:pPr>
              <w:tabs>
                <w:tab w:val="decimal" w:pos="330"/>
              </w:tabs>
              <w:jc w:val="left"/>
            </w:pPr>
            <w:r w:rsidRPr="000F68B8">
              <w:rPr>
                <w:color w:val="000000"/>
              </w:rPr>
              <w:t>83.304%</w:t>
            </w:r>
          </w:p>
        </w:tc>
      </w:tr>
      <w:tr w:rsidRPr="002F168A" w:rsidR="000F68B8" w:rsidTr="00921901" w14:paraId="4FBEB75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134BCB3" w14:textId="515DA3C9">
            <w:pPr>
              <w:jc w:val="right"/>
            </w:pPr>
            <w:r w:rsidRPr="000F68B8">
              <w:rPr>
                <w:color w:val="000000"/>
              </w:rPr>
              <w:t xml:space="preserve">2.850 </w:t>
            </w:r>
          </w:p>
        </w:tc>
        <w:tc>
          <w:tcPr>
            <w:tcW w:w="1820" w:type="dxa"/>
            <w:tcBorders>
              <w:top w:val="nil"/>
              <w:left w:val="nil"/>
              <w:bottom w:val="nil"/>
              <w:right w:val="nil"/>
            </w:tcBorders>
            <w:shd w:val="clear" w:color="auto" w:fill="auto"/>
            <w:noWrap/>
            <w:vAlign w:val="bottom"/>
          </w:tcPr>
          <w:p w:rsidRPr="000F68B8" w:rsidR="000F68B8" w:rsidP="000F68B8" w:rsidRDefault="000F68B8" w14:paraId="3F37F9B1" w14:textId="5D393123">
            <w:pPr>
              <w:jc w:val="left"/>
            </w:pPr>
            <w:r w:rsidRPr="000F68B8">
              <w:rPr>
                <w:color w:val="000000"/>
              </w:rPr>
              <w:t>2016 SERIES A-1</w:t>
            </w:r>
          </w:p>
        </w:tc>
        <w:tc>
          <w:tcPr>
            <w:tcW w:w="1360" w:type="dxa"/>
            <w:tcBorders>
              <w:top w:val="nil"/>
              <w:left w:val="nil"/>
              <w:bottom w:val="nil"/>
              <w:right w:val="nil"/>
            </w:tcBorders>
            <w:shd w:val="clear" w:color="auto" w:fill="auto"/>
            <w:noWrap/>
            <w:vAlign w:val="bottom"/>
          </w:tcPr>
          <w:p w:rsidRPr="000F68B8" w:rsidR="000F68B8" w:rsidP="000F68B8" w:rsidRDefault="000F68B8" w14:paraId="6172CCE5" w14:textId="7752C57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C2B65FB" w14:textId="46EA411B">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77F3FA2A" w14:textId="378FDD07">
            <w:pPr>
              <w:tabs>
                <w:tab w:val="decimal" w:pos="975"/>
              </w:tabs>
              <w:jc w:val="left"/>
            </w:pPr>
            <w:r w:rsidRPr="000F68B8">
              <w:rPr>
                <w:color w:val="000000"/>
              </w:rPr>
              <w:t xml:space="preserve">685,000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5D10EFF" w14:textId="37DF9A7B">
            <w:pPr>
              <w:tabs>
                <w:tab w:val="decimal" w:pos="1185"/>
              </w:tabs>
              <w:jc w:val="left"/>
            </w:pPr>
            <w:r w:rsidRPr="000F68B8">
              <w:rPr>
                <w:color w:val="000000"/>
              </w:rPr>
              <w:t xml:space="preserve">1,306,605,000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03942A7" w14:textId="3401BBDB">
            <w:pPr>
              <w:tabs>
                <w:tab w:val="decimal" w:pos="330"/>
              </w:tabs>
              <w:jc w:val="left"/>
            </w:pPr>
            <w:r w:rsidRPr="000F68B8">
              <w:rPr>
                <w:color w:val="000000"/>
              </w:rPr>
              <w:t>83.348%</w:t>
            </w:r>
          </w:p>
        </w:tc>
      </w:tr>
      <w:tr w:rsidRPr="002F168A" w:rsidR="000F68B8" w:rsidTr="00921901" w14:paraId="5905F0B9"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A374440" w14:textId="106137C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05421249" w14:textId="1B33C06E">
            <w:pPr>
              <w:jc w:val="left"/>
            </w:pPr>
            <w:r w:rsidRPr="000F68B8">
              <w:rPr>
                <w:color w:val="000000"/>
              </w:rPr>
              <w:t>2017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52C4357D" w14:textId="3589427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C44D460" w14:textId="121121E4">
            <w:pPr>
              <w:jc w:val="center"/>
            </w:pPr>
            <w:r w:rsidRPr="000F68B8">
              <w:rPr>
                <w:color w:val="000000"/>
              </w:rPr>
              <w:t>7/1/2027</w:t>
            </w:r>
          </w:p>
        </w:tc>
        <w:tc>
          <w:tcPr>
            <w:tcW w:w="1220" w:type="dxa"/>
            <w:tcBorders>
              <w:top w:val="nil"/>
              <w:left w:val="nil"/>
              <w:bottom w:val="nil"/>
              <w:right w:val="nil"/>
            </w:tcBorders>
            <w:shd w:val="clear" w:color="auto" w:fill="auto"/>
            <w:noWrap/>
            <w:vAlign w:val="bottom"/>
          </w:tcPr>
          <w:p w:rsidRPr="000F68B8" w:rsidR="000F68B8" w:rsidP="000F68B8" w:rsidRDefault="000F68B8" w14:paraId="07944A29" w14:textId="7444AEC7">
            <w:pPr>
              <w:tabs>
                <w:tab w:val="decimal" w:pos="975"/>
              </w:tabs>
              <w:jc w:val="left"/>
            </w:pPr>
            <w:r w:rsidRPr="000F68B8">
              <w:rPr>
                <w:color w:val="000000"/>
              </w:rPr>
              <w:t xml:space="preserve">500,000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EEDADDB" w14:textId="25763F4D">
            <w:pPr>
              <w:tabs>
                <w:tab w:val="decimal" w:pos="1185"/>
              </w:tabs>
              <w:jc w:val="left"/>
            </w:pPr>
            <w:r w:rsidRPr="000F68B8">
              <w:rPr>
                <w:color w:val="000000"/>
              </w:rPr>
              <w:t xml:space="preserve">1,307,105,000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5F3395C8" w14:textId="5FDCB6A0">
            <w:pPr>
              <w:tabs>
                <w:tab w:val="decimal" w:pos="330"/>
              </w:tabs>
              <w:jc w:val="left"/>
            </w:pPr>
            <w:r w:rsidRPr="000F68B8">
              <w:rPr>
                <w:color w:val="000000"/>
              </w:rPr>
              <w:t>83.380%</w:t>
            </w:r>
          </w:p>
        </w:tc>
      </w:tr>
      <w:tr w:rsidRPr="002F168A" w:rsidR="000F68B8" w:rsidTr="00921901" w14:paraId="7AE6923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C80F031" w14:textId="1CC46505">
            <w:pPr>
              <w:jc w:val="right"/>
            </w:pPr>
            <w:r w:rsidRPr="000F68B8">
              <w:rPr>
                <w:color w:val="000000"/>
              </w:rPr>
              <w:t xml:space="preserve">2.800 </w:t>
            </w:r>
          </w:p>
        </w:tc>
        <w:tc>
          <w:tcPr>
            <w:tcW w:w="1820" w:type="dxa"/>
            <w:tcBorders>
              <w:top w:val="nil"/>
              <w:left w:val="nil"/>
              <w:bottom w:val="nil"/>
              <w:right w:val="nil"/>
            </w:tcBorders>
            <w:shd w:val="clear" w:color="auto" w:fill="auto"/>
            <w:noWrap/>
            <w:vAlign w:val="bottom"/>
          </w:tcPr>
          <w:p w:rsidRPr="000F68B8" w:rsidR="000F68B8" w:rsidP="000F68B8" w:rsidRDefault="000F68B8" w14:paraId="698B4311" w14:textId="1ED63687">
            <w:pPr>
              <w:jc w:val="left"/>
            </w:pPr>
            <w:r w:rsidRPr="000F68B8">
              <w:rPr>
                <w:color w:val="000000"/>
              </w:rPr>
              <w:t>2017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1E98D704" w14:textId="07A95DD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87D873F" w14:textId="6763E8A8">
            <w:pPr>
              <w:jc w:val="center"/>
            </w:pPr>
            <w:r w:rsidRPr="000F68B8">
              <w:rPr>
                <w:color w:val="000000"/>
              </w:rPr>
              <w:t>1/1/2027</w:t>
            </w:r>
          </w:p>
        </w:tc>
        <w:tc>
          <w:tcPr>
            <w:tcW w:w="1220" w:type="dxa"/>
            <w:tcBorders>
              <w:top w:val="nil"/>
              <w:left w:val="nil"/>
              <w:bottom w:val="nil"/>
              <w:right w:val="nil"/>
            </w:tcBorders>
            <w:shd w:val="clear" w:color="auto" w:fill="auto"/>
            <w:noWrap/>
            <w:vAlign w:val="bottom"/>
          </w:tcPr>
          <w:p w:rsidRPr="000F68B8" w:rsidR="000F68B8" w:rsidP="000F68B8" w:rsidRDefault="000F68B8" w14:paraId="32BA7113" w14:textId="43744C07">
            <w:pPr>
              <w:tabs>
                <w:tab w:val="decimal" w:pos="975"/>
              </w:tabs>
              <w:jc w:val="left"/>
            </w:pPr>
            <w:r w:rsidRPr="000F68B8">
              <w:rPr>
                <w:color w:val="000000"/>
              </w:rPr>
              <w:t xml:space="preserve">850,000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590C30A" w14:textId="049B2815">
            <w:pPr>
              <w:tabs>
                <w:tab w:val="decimal" w:pos="1185"/>
              </w:tabs>
              <w:jc w:val="left"/>
            </w:pPr>
            <w:r w:rsidRPr="000F68B8">
              <w:rPr>
                <w:color w:val="000000"/>
              </w:rPr>
              <w:t xml:space="preserve">1,307,955,000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D972802" w14:textId="741C6DE5">
            <w:pPr>
              <w:tabs>
                <w:tab w:val="decimal" w:pos="330"/>
              </w:tabs>
              <w:jc w:val="left"/>
            </w:pPr>
            <w:r w:rsidRPr="000F68B8">
              <w:rPr>
                <w:color w:val="000000"/>
              </w:rPr>
              <w:t>83.434%</w:t>
            </w:r>
          </w:p>
        </w:tc>
      </w:tr>
      <w:tr w:rsidRPr="002F168A" w:rsidR="000F68B8" w:rsidTr="00921901" w14:paraId="63D31FE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8AE816D" w14:textId="6209F24A">
            <w:pPr>
              <w:jc w:val="right"/>
            </w:pPr>
            <w:r w:rsidRPr="000F68B8">
              <w:rPr>
                <w:color w:val="000000"/>
              </w:rPr>
              <w:t xml:space="preserve">2.750 </w:t>
            </w:r>
          </w:p>
        </w:tc>
        <w:tc>
          <w:tcPr>
            <w:tcW w:w="1820" w:type="dxa"/>
            <w:tcBorders>
              <w:top w:val="nil"/>
              <w:left w:val="nil"/>
              <w:bottom w:val="nil"/>
              <w:right w:val="nil"/>
            </w:tcBorders>
            <w:shd w:val="clear" w:color="auto" w:fill="auto"/>
            <w:noWrap/>
            <w:vAlign w:val="bottom"/>
          </w:tcPr>
          <w:p w:rsidRPr="000F68B8" w:rsidR="000F68B8" w:rsidP="000F68B8" w:rsidRDefault="000F68B8" w14:paraId="39A81D25" w14:textId="02033EC4">
            <w:pPr>
              <w:jc w:val="left"/>
            </w:pPr>
            <w:r w:rsidRPr="000F68B8">
              <w:rPr>
                <w:color w:val="000000"/>
              </w:rPr>
              <w:t>2017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0172F986" w14:textId="1A60571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2DB3E6E" w14:textId="27533363">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1FF6D702" w14:textId="4A385371">
            <w:pPr>
              <w:tabs>
                <w:tab w:val="decimal" w:pos="975"/>
              </w:tabs>
              <w:jc w:val="left"/>
            </w:pPr>
            <w:r w:rsidRPr="000F68B8">
              <w:rPr>
                <w:color w:val="000000"/>
              </w:rPr>
              <w:t xml:space="preserve">875,000 </w:t>
            </w:r>
          </w:p>
        </w:tc>
        <w:tc>
          <w:tcPr>
            <w:tcW w:w="1580" w:type="dxa"/>
            <w:tcBorders>
              <w:top w:val="nil"/>
              <w:left w:val="nil"/>
              <w:bottom w:val="nil"/>
              <w:right w:val="nil"/>
            </w:tcBorders>
            <w:shd w:val="clear" w:color="auto" w:fill="auto"/>
            <w:noWrap/>
            <w:vAlign w:val="bottom"/>
          </w:tcPr>
          <w:p w:rsidRPr="000F68B8" w:rsidR="000F68B8" w:rsidP="000F68B8" w:rsidRDefault="000F68B8" w14:paraId="5BA32CEC" w14:textId="2795C1FF">
            <w:pPr>
              <w:tabs>
                <w:tab w:val="decimal" w:pos="1185"/>
              </w:tabs>
              <w:jc w:val="left"/>
            </w:pPr>
            <w:r w:rsidRPr="000F68B8">
              <w:rPr>
                <w:color w:val="000000"/>
              </w:rPr>
              <w:t xml:space="preserve">1,308,830,000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DFF3CFB" w14:textId="77851FD2">
            <w:pPr>
              <w:tabs>
                <w:tab w:val="decimal" w:pos="330"/>
              </w:tabs>
              <w:jc w:val="left"/>
            </w:pPr>
            <w:r w:rsidRPr="000F68B8">
              <w:rPr>
                <w:color w:val="000000"/>
              </w:rPr>
              <w:t>83.490%</w:t>
            </w:r>
          </w:p>
        </w:tc>
      </w:tr>
      <w:tr w:rsidRPr="002F168A" w:rsidR="000F68B8" w:rsidTr="00921901" w14:paraId="2172CD9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67FAD84" w14:textId="32A0F1A7">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B308E92" w14:textId="71C3B006">
            <w:pPr>
              <w:jc w:val="left"/>
            </w:pPr>
            <w:r w:rsidRPr="000F68B8">
              <w:rPr>
                <w:color w:val="000000"/>
              </w:rPr>
              <w:t>2017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0DA6D47" w14:textId="3073F9F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69F088C" w14:textId="6A22CF06">
            <w:pPr>
              <w:jc w:val="center"/>
            </w:pPr>
            <w:r w:rsidRPr="000F68B8">
              <w:rPr>
                <w:color w:val="000000"/>
              </w:rPr>
              <w:t>7/1/2028</w:t>
            </w:r>
          </w:p>
        </w:tc>
        <w:tc>
          <w:tcPr>
            <w:tcW w:w="1220" w:type="dxa"/>
            <w:tcBorders>
              <w:top w:val="nil"/>
              <w:left w:val="nil"/>
              <w:bottom w:val="nil"/>
              <w:right w:val="nil"/>
            </w:tcBorders>
            <w:shd w:val="clear" w:color="auto" w:fill="auto"/>
            <w:noWrap/>
            <w:vAlign w:val="bottom"/>
          </w:tcPr>
          <w:p w:rsidRPr="000F68B8" w:rsidR="000F68B8" w:rsidP="000F68B8" w:rsidRDefault="000F68B8" w14:paraId="3E17AED6" w14:textId="30631DEE">
            <w:pPr>
              <w:tabs>
                <w:tab w:val="decimal" w:pos="975"/>
              </w:tabs>
              <w:jc w:val="left"/>
            </w:pPr>
            <w:r w:rsidRPr="000F68B8">
              <w:rPr>
                <w:color w:val="000000"/>
              </w:rPr>
              <w:t xml:space="preserve">680,000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D9B28A0" w14:textId="7A8B6BA9">
            <w:pPr>
              <w:tabs>
                <w:tab w:val="decimal" w:pos="1185"/>
              </w:tabs>
              <w:jc w:val="left"/>
            </w:pPr>
            <w:r w:rsidRPr="000F68B8">
              <w:rPr>
                <w:color w:val="000000"/>
              </w:rPr>
              <w:t xml:space="preserve">1,309,510,000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47256A5" w14:textId="51E1F7A8">
            <w:pPr>
              <w:tabs>
                <w:tab w:val="decimal" w:pos="330"/>
              </w:tabs>
              <w:jc w:val="left"/>
            </w:pPr>
            <w:r w:rsidRPr="000F68B8">
              <w:rPr>
                <w:color w:val="000000"/>
              </w:rPr>
              <w:t>83.533%</w:t>
            </w:r>
          </w:p>
        </w:tc>
      </w:tr>
      <w:tr w:rsidRPr="002F168A" w:rsidR="000F68B8" w:rsidTr="00921901" w14:paraId="4F0A885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FCE6530" w14:textId="74CC6FAB">
            <w:pPr>
              <w:jc w:val="right"/>
            </w:pPr>
            <w:r w:rsidRPr="000F68B8">
              <w:rPr>
                <w:color w:val="000000"/>
              </w:rPr>
              <w:t xml:space="preserve">2.700 </w:t>
            </w:r>
          </w:p>
        </w:tc>
        <w:tc>
          <w:tcPr>
            <w:tcW w:w="1820" w:type="dxa"/>
            <w:tcBorders>
              <w:top w:val="nil"/>
              <w:left w:val="nil"/>
              <w:bottom w:val="nil"/>
              <w:right w:val="nil"/>
            </w:tcBorders>
            <w:shd w:val="clear" w:color="auto" w:fill="auto"/>
            <w:noWrap/>
            <w:vAlign w:val="bottom"/>
          </w:tcPr>
          <w:p w:rsidRPr="000F68B8" w:rsidR="000F68B8" w:rsidP="000F68B8" w:rsidRDefault="000F68B8" w14:paraId="6C0CB322" w14:textId="17ED414A">
            <w:pPr>
              <w:jc w:val="left"/>
            </w:pPr>
            <w:r w:rsidRPr="000F68B8">
              <w:rPr>
                <w:color w:val="000000"/>
              </w:rPr>
              <w:t>2017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3E41113E" w14:textId="7FEA024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13F54F5" w14:textId="751AFCCF">
            <w:pPr>
              <w:jc w:val="center"/>
            </w:pPr>
            <w:r w:rsidRPr="000F68B8">
              <w:rPr>
                <w:color w:val="000000"/>
              </w:rPr>
              <w:t>7/1/2026</w:t>
            </w:r>
          </w:p>
        </w:tc>
        <w:tc>
          <w:tcPr>
            <w:tcW w:w="1220" w:type="dxa"/>
            <w:tcBorders>
              <w:top w:val="nil"/>
              <w:left w:val="nil"/>
              <w:bottom w:val="nil"/>
              <w:right w:val="nil"/>
            </w:tcBorders>
            <w:shd w:val="clear" w:color="auto" w:fill="auto"/>
            <w:noWrap/>
            <w:vAlign w:val="bottom"/>
          </w:tcPr>
          <w:p w:rsidRPr="000F68B8" w:rsidR="000F68B8" w:rsidP="000F68B8" w:rsidRDefault="000F68B8" w14:paraId="55AB2840" w14:textId="2378E217">
            <w:pPr>
              <w:tabs>
                <w:tab w:val="decimal" w:pos="975"/>
              </w:tabs>
              <w:jc w:val="left"/>
            </w:pPr>
            <w:r w:rsidRPr="000F68B8">
              <w:rPr>
                <w:color w:val="000000"/>
              </w:rPr>
              <w:t xml:space="preserve">830,000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233F2A6" w14:textId="0D2EB5D6">
            <w:pPr>
              <w:tabs>
                <w:tab w:val="decimal" w:pos="1185"/>
              </w:tabs>
              <w:jc w:val="left"/>
            </w:pPr>
            <w:r w:rsidRPr="000F68B8">
              <w:rPr>
                <w:color w:val="000000"/>
              </w:rPr>
              <w:t xml:space="preserve">1,310,340,000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DF08426" w14:textId="0371BC25">
            <w:pPr>
              <w:tabs>
                <w:tab w:val="decimal" w:pos="330"/>
              </w:tabs>
              <w:jc w:val="left"/>
            </w:pPr>
            <w:r w:rsidRPr="000F68B8">
              <w:rPr>
                <w:color w:val="000000"/>
              </w:rPr>
              <w:t>83.586%</w:t>
            </w:r>
          </w:p>
        </w:tc>
      </w:tr>
      <w:tr w:rsidRPr="002F168A" w:rsidR="000F68B8" w:rsidTr="00921901" w14:paraId="2C93EE20"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B0CC863" w14:textId="61E4E742">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470460B" w14:textId="6D64760E">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123C0A29" w14:textId="15D4824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45E8B9B" w14:textId="6513EE2A">
            <w:pPr>
              <w:jc w:val="center"/>
            </w:pPr>
            <w:r w:rsidRPr="000F68B8">
              <w:rPr>
                <w:color w:val="000000"/>
              </w:rPr>
              <w:t>7/1/2045</w:t>
            </w:r>
          </w:p>
        </w:tc>
        <w:tc>
          <w:tcPr>
            <w:tcW w:w="1220" w:type="dxa"/>
            <w:tcBorders>
              <w:top w:val="nil"/>
              <w:left w:val="nil"/>
              <w:bottom w:val="nil"/>
              <w:right w:val="nil"/>
            </w:tcBorders>
            <w:shd w:val="clear" w:color="auto" w:fill="auto"/>
            <w:noWrap/>
            <w:vAlign w:val="bottom"/>
          </w:tcPr>
          <w:p w:rsidRPr="000F68B8" w:rsidR="000F68B8" w:rsidP="000F68B8" w:rsidRDefault="000F68B8" w14:paraId="5A1E8270" w14:textId="02C982A7">
            <w:pPr>
              <w:tabs>
                <w:tab w:val="decimal" w:pos="975"/>
              </w:tabs>
              <w:jc w:val="left"/>
            </w:pPr>
            <w:r w:rsidRPr="000F68B8">
              <w:rPr>
                <w:color w:val="000000"/>
              </w:rPr>
              <w:t xml:space="preserve">2,360,000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F7EE751" w14:textId="06266F04">
            <w:pPr>
              <w:tabs>
                <w:tab w:val="decimal" w:pos="1185"/>
              </w:tabs>
              <w:jc w:val="left"/>
            </w:pPr>
            <w:r w:rsidRPr="000F68B8">
              <w:rPr>
                <w:color w:val="000000"/>
              </w:rPr>
              <w:t xml:space="preserve">1,312,700,000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27CE618" w14:textId="1648491B">
            <w:pPr>
              <w:tabs>
                <w:tab w:val="decimal" w:pos="330"/>
              </w:tabs>
              <w:jc w:val="left"/>
            </w:pPr>
            <w:r w:rsidRPr="000F68B8">
              <w:rPr>
                <w:color w:val="000000"/>
              </w:rPr>
              <w:t>83.737%</w:t>
            </w:r>
          </w:p>
        </w:tc>
      </w:tr>
      <w:tr w:rsidRPr="002F168A" w:rsidR="000F68B8" w:rsidTr="00921901" w14:paraId="4843A1F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DF8FD03" w14:textId="09E60764">
            <w:pPr>
              <w:jc w:val="right"/>
            </w:pPr>
            <w:r w:rsidRPr="000F68B8">
              <w:rPr>
                <w:color w:val="000000"/>
              </w:rPr>
              <w:lastRenderedPageBreak/>
              <w:t xml:space="preserve">2.650 </w:t>
            </w:r>
          </w:p>
        </w:tc>
        <w:tc>
          <w:tcPr>
            <w:tcW w:w="1820" w:type="dxa"/>
            <w:tcBorders>
              <w:top w:val="nil"/>
              <w:left w:val="nil"/>
              <w:bottom w:val="nil"/>
              <w:right w:val="nil"/>
            </w:tcBorders>
            <w:shd w:val="clear" w:color="auto" w:fill="auto"/>
            <w:noWrap/>
            <w:vAlign w:val="bottom"/>
          </w:tcPr>
          <w:p w:rsidRPr="000F68B8" w:rsidR="000F68B8" w:rsidP="000F68B8" w:rsidRDefault="000F68B8" w14:paraId="640F30D5" w14:textId="445FF99D">
            <w:pPr>
              <w:jc w:val="left"/>
            </w:pPr>
            <w:r w:rsidRPr="000F68B8">
              <w:rPr>
                <w:color w:val="000000"/>
              </w:rPr>
              <w:t>2019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35D145EE" w14:textId="18431E1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8747A2D" w14:textId="6ED8F480">
            <w:pPr>
              <w:jc w:val="center"/>
            </w:pPr>
            <w:r w:rsidRPr="000F68B8">
              <w:rPr>
                <w:color w:val="000000"/>
              </w:rPr>
              <w:t>7/1/2039</w:t>
            </w:r>
          </w:p>
        </w:tc>
        <w:tc>
          <w:tcPr>
            <w:tcW w:w="1220" w:type="dxa"/>
            <w:tcBorders>
              <w:top w:val="nil"/>
              <w:left w:val="nil"/>
              <w:bottom w:val="nil"/>
              <w:right w:val="nil"/>
            </w:tcBorders>
            <w:shd w:val="clear" w:color="auto" w:fill="auto"/>
            <w:noWrap/>
            <w:vAlign w:val="bottom"/>
          </w:tcPr>
          <w:p w:rsidRPr="000F68B8" w:rsidR="000F68B8" w:rsidP="000F68B8" w:rsidRDefault="000F68B8" w14:paraId="677FEB75" w14:textId="6AD4E105">
            <w:pPr>
              <w:tabs>
                <w:tab w:val="decimal" w:pos="975"/>
              </w:tabs>
              <w:jc w:val="left"/>
            </w:pPr>
            <w:r w:rsidRPr="000F68B8">
              <w:rPr>
                <w:color w:val="000000"/>
              </w:rPr>
              <w:t xml:space="preserve">2,125,000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178E2E9" w14:textId="6377626E">
            <w:pPr>
              <w:tabs>
                <w:tab w:val="decimal" w:pos="1185"/>
              </w:tabs>
              <w:jc w:val="left"/>
            </w:pPr>
            <w:r w:rsidRPr="000F68B8">
              <w:rPr>
                <w:color w:val="000000"/>
              </w:rPr>
              <w:t xml:space="preserve">1,314,825,000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5A5E4B5" w14:textId="42583D3B">
            <w:pPr>
              <w:tabs>
                <w:tab w:val="decimal" w:pos="330"/>
              </w:tabs>
              <w:jc w:val="left"/>
            </w:pPr>
            <w:r w:rsidRPr="000F68B8">
              <w:rPr>
                <w:color w:val="000000"/>
              </w:rPr>
              <w:t>83.872%</w:t>
            </w:r>
          </w:p>
        </w:tc>
      </w:tr>
      <w:tr w:rsidRPr="002F168A" w:rsidR="000F68B8" w:rsidTr="00921901" w14:paraId="4736513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EC93B0D" w14:textId="61768874">
            <w:pPr>
              <w:jc w:val="right"/>
            </w:pPr>
            <w:r w:rsidRPr="000F68B8">
              <w:rPr>
                <w:color w:val="000000"/>
              </w:rPr>
              <w:t xml:space="preserve">2.600 </w:t>
            </w:r>
          </w:p>
        </w:tc>
        <w:tc>
          <w:tcPr>
            <w:tcW w:w="1820" w:type="dxa"/>
            <w:tcBorders>
              <w:top w:val="nil"/>
              <w:left w:val="nil"/>
              <w:bottom w:val="nil"/>
              <w:right w:val="nil"/>
            </w:tcBorders>
            <w:shd w:val="clear" w:color="auto" w:fill="auto"/>
            <w:noWrap/>
            <w:vAlign w:val="bottom"/>
          </w:tcPr>
          <w:p w:rsidRPr="000F68B8" w:rsidR="000F68B8" w:rsidP="000F68B8" w:rsidRDefault="000F68B8" w14:paraId="38EB6167" w14:textId="31500778">
            <w:pPr>
              <w:jc w:val="left"/>
            </w:pPr>
            <w:r w:rsidRPr="000F68B8">
              <w:rPr>
                <w:color w:val="000000"/>
              </w:rPr>
              <w:t>2017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390473AD" w14:textId="52A58D7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AD683B8" w14:textId="7B1A0CBA">
            <w:pPr>
              <w:jc w:val="center"/>
            </w:pPr>
            <w:r w:rsidRPr="000F68B8">
              <w:rPr>
                <w:color w:val="000000"/>
              </w:rPr>
              <w:t>1/1/2027</w:t>
            </w:r>
          </w:p>
        </w:tc>
        <w:tc>
          <w:tcPr>
            <w:tcW w:w="1220" w:type="dxa"/>
            <w:tcBorders>
              <w:top w:val="nil"/>
              <w:left w:val="nil"/>
              <w:bottom w:val="nil"/>
              <w:right w:val="nil"/>
            </w:tcBorders>
            <w:shd w:val="clear" w:color="auto" w:fill="auto"/>
            <w:noWrap/>
            <w:vAlign w:val="bottom"/>
          </w:tcPr>
          <w:p w:rsidRPr="000F68B8" w:rsidR="000F68B8" w:rsidP="000F68B8" w:rsidRDefault="000F68B8" w14:paraId="12881BD0" w14:textId="2B78A6C6">
            <w:pPr>
              <w:tabs>
                <w:tab w:val="decimal" w:pos="975"/>
              </w:tabs>
              <w:jc w:val="left"/>
            </w:pPr>
            <w:r w:rsidRPr="000F68B8">
              <w:rPr>
                <w:color w:val="000000"/>
              </w:rPr>
              <w:t xml:space="preserve">835,000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A9FB8AF" w14:textId="5439258D">
            <w:pPr>
              <w:tabs>
                <w:tab w:val="decimal" w:pos="1185"/>
              </w:tabs>
              <w:jc w:val="left"/>
            </w:pPr>
            <w:r w:rsidRPr="000F68B8">
              <w:rPr>
                <w:color w:val="000000"/>
              </w:rPr>
              <w:t xml:space="preserve">1,315,660,000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C7CB4F1" w14:textId="6B0AF007">
            <w:pPr>
              <w:tabs>
                <w:tab w:val="decimal" w:pos="330"/>
              </w:tabs>
              <w:jc w:val="left"/>
            </w:pPr>
            <w:r w:rsidRPr="000F68B8">
              <w:rPr>
                <w:color w:val="000000"/>
              </w:rPr>
              <w:t>83.926%</w:t>
            </w:r>
          </w:p>
        </w:tc>
      </w:tr>
      <w:tr w:rsidRPr="002F168A" w:rsidR="000F68B8" w:rsidTr="00921901" w14:paraId="2600C330"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B5287CB" w14:textId="1B5DC7A6">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8304ECA" w14:textId="0A9CA5CA">
            <w:pPr>
              <w:jc w:val="left"/>
            </w:pPr>
            <w:r w:rsidRPr="000F68B8">
              <w:rPr>
                <w:color w:val="000000"/>
              </w:rPr>
              <w:t>2017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04B5F45" w14:textId="2A2845A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692A346" w14:textId="5E64A428">
            <w:pPr>
              <w:jc w:val="center"/>
            </w:pPr>
            <w:r w:rsidRPr="000F68B8">
              <w:rPr>
                <w:color w:val="000000"/>
              </w:rPr>
              <w:t>7/1/2027</w:t>
            </w:r>
          </w:p>
        </w:tc>
        <w:tc>
          <w:tcPr>
            <w:tcW w:w="1220" w:type="dxa"/>
            <w:tcBorders>
              <w:top w:val="nil"/>
              <w:left w:val="nil"/>
              <w:bottom w:val="nil"/>
              <w:right w:val="nil"/>
            </w:tcBorders>
            <w:shd w:val="clear" w:color="auto" w:fill="auto"/>
            <w:noWrap/>
            <w:vAlign w:val="bottom"/>
          </w:tcPr>
          <w:p w:rsidRPr="000F68B8" w:rsidR="000F68B8" w:rsidP="000F68B8" w:rsidRDefault="000F68B8" w14:paraId="328E79AA" w14:textId="718D08CE">
            <w:pPr>
              <w:tabs>
                <w:tab w:val="decimal" w:pos="975"/>
              </w:tabs>
              <w:jc w:val="left"/>
            </w:pPr>
            <w:r w:rsidRPr="000F68B8">
              <w:rPr>
                <w:color w:val="000000"/>
              </w:rPr>
              <w:t xml:space="preserve">850,000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EDE424E" w14:textId="39153AE7">
            <w:pPr>
              <w:tabs>
                <w:tab w:val="decimal" w:pos="1185"/>
              </w:tabs>
              <w:jc w:val="left"/>
            </w:pPr>
            <w:r w:rsidRPr="000F68B8">
              <w:rPr>
                <w:color w:val="000000"/>
              </w:rPr>
              <w:t xml:space="preserve">1,316,510,000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FA2721E" w14:textId="32B889CF">
            <w:pPr>
              <w:tabs>
                <w:tab w:val="decimal" w:pos="330"/>
              </w:tabs>
              <w:jc w:val="left"/>
            </w:pPr>
            <w:r w:rsidRPr="000F68B8">
              <w:rPr>
                <w:color w:val="000000"/>
              </w:rPr>
              <w:t>83.980%</w:t>
            </w:r>
          </w:p>
        </w:tc>
      </w:tr>
      <w:tr w:rsidRPr="002F168A" w:rsidR="000F68B8" w:rsidTr="00921901" w14:paraId="7AD2685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59ACFBE" w14:textId="77C0E84B">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F20517E" w14:textId="726537B3">
            <w:pPr>
              <w:jc w:val="left"/>
            </w:pPr>
            <w:r w:rsidRPr="000F68B8">
              <w:rPr>
                <w:color w:val="000000"/>
              </w:rPr>
              <w:t>2017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35E306DB" w14:textId="04EEDDA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18ABCF6" w14:textId="07AE358D">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228010C5" w14:textId="47CE68D5">
            <w:pPr>
              <w:tabs>
                <w:tab w:val="decimal" w:pos="975"/>
              </w:tabs>
              <w:jc w:val="left"/>
            </w:pPr>
            <w:r w:rsidRPr="000F68B8">
              <w:rPr>
                <w:color w:val="000000"/>
              </w:rPr>
              <w:t xml:space="preserve">805,000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6102285" w14:textId="7D349A94">
            <w:pPr>
              <w:tabs>
                <w:tab w:val="decimal" w:pos="1185"/>
              </w:tabs>
              <w:jc w:val="left"/>
            </w:pPr>
            <w:r w:rsidRPr="000F68B8">
              <w:rPr>
                <w:color w:val="000000"/>
              </w:rPr>
              <w:t xml:space="preserve">1,317,315,000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540910B2" w14:textId="4263595A">
            <w:pPr>
              <w:tabs>
                <w:tab w:val="decimal" w:pos="330"/>
              </w:tabs>
              <w:jc w:val="left"/>
            </w:pPr>
            <w:r w:rsidRPr="000F68B8">
              <w:rPr>
                <w:color w:val="000000"/>
              </w:rPr>
              <w:t>84.031%</w:t>
            </w:r>
          </w:p>
        </w:tc>
      </w:tr>
      <w:tr w:rsidRPr="002F168A" w:rsidR="000F68B8" w:rsidTr="00921901" w14:paraId="6BF30AE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2CAF2A0" w14:textId="3E9C7FE7">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ECADAF7" w14:textId="75CD20EF">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673EEC5A" w14:textId="08E1353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3FE227E" w14:textId="2D5C13FC">
            <w:pPr>
              <w:jc w:val="center"/>
            </w:pPr>
            <w:r w:rsidRPr="000F68B8">
              <w:rPr>
                <w:color w:val="000000"/>
              </w:rPr>
              <w:t>7/1/2042</w:t>
            </w:r>
          </w:p>
        </w:tc>
        <w:tc>
          <w:tcPr>
            <w:tcW w:w="1220" w:type="dxa"/>
            <w:tcBorders>
              <w:top w:val="nil"/>
              <w:left w:val="nil"/>
              <w:bottom w:val="nil"/>
              <w:right w:val="nil"/>
            </w:tcBorders>
            <w:shd w:val="clear" w:color="auto" w:fill="auto"/>
            <w:noWrap/>
            <w:vAlign w:val="bottom"/>
          </w:tcPr>
          <w:p w:rsidRPr="000F68B8" w:rsidR="000F68B8" w:rsidP="000F68B8" w:rsidRDefault="000F68B8" w14:paraId="777E27E4" w14:textId="39BD3DCE">
            <w:pPr>
              <w:tabs>
                <w:tab w:val="decimal" w:pos="975"/>
              </w:tabs>
              <w:jc w:val="left"/>
            </w:pPr>
            <w:r w:rsidRPr="000F68B8">
              <w:rPr>
                <w:color w:val="000000"/>
              </w:rPr>
              <w:t xml:space="preserve">19,950,000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DCD5A3A" w14:textId="07BF86F6">
            <w:pPr>
              <w:tabs>
                <w:tab w:val="decimal" w:pos="1185"/>
              </w:tabs>
              <w:jc w:val="left"/>
            </w:pPr>
            <w:r w:rsidRPr="000F68B8">
              <w:rPr>
                <w:color w:val="000000"/>
              </w:rPr>
              <w:t xml:space="preserve">1,337,265,000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A0B3B6A" w14:textId="3A1B903D">
            <w:pPr>
              <w:tabs>
                <w:tab w:val="decimal" w:pos="330"/>
              </w:tabs>
              <w:jc w:val="left"/>
            </w:pPr>
            <w:r w:rsidRPr="000F68B8">
              <w:rPr>
                <w:color w:val="000000"/>
              </w:rPr>
              <w:t>85.304%</w:t>
            </w:r>
          </w:p>
        </w:tc>
      </w:tr>
      <w:tr w:rsidRPr="002F168A" w:rsidR="000F68B8" w:rsidTr="00921901" w14:paraId="32971EA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DA34E65" w14:textId="7CB47F20">
            <w:pPr>
              <w:jc w:val="right"/>
            </w:pPr>
            <w:r w:rsidRPr="000F68B8">
              <w:rPr>
                <w:color w:val="000000"/>
              </w:rPr>
              <w:t xml:space="preserve">2.550 </w:t>
            </w:r>
          </w:p>
        </w:tc>
        <w:tc>
          <w:tcPr>
            <w:tcW w:w="1820" w:type="dxa"/>
            <w:tcBorders>
              <w:top w:val="nil"/>
              <w:left w:val="nil"/>
              <w:bottom w:val="nil"/>
              <w:right w:val="nil"/>
            </w:tcBorders>
            <w:shd w:val="clear" w:color="auto" w:fill="auto"/>
            <w:noWrap/>
            <w:vAlign w:val="bottom"/>
          </w:tcPr>
          <w:p w:rsidRPr="000F68B8" w:rsidR="000F68B8" w:rsidP="000F68B8" w:rsidRDefault="000F68B8" w14:paraId="3D0355FA" w14:textId="080B1C0D">
            <w:pPr>
              <w:jc w:val="left"/>
            </w:pPr>
            <w:r w:rsidRPr="000F68B8">
              <w:rPr>
                <w:color w:val="000000"/>
              </w:rPr>
              <w:t>2017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44063721" w14:textId="3564D56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D7DC8A0" w14:textId="3FEE6BE0">
            <w:pPr>
              <w:jc w:val="center"/>
            </w:pPr>
            <w:r w:rsidRPr="000F68B8">
              <w:rPr>
                <w:color w:val="000000"/>
              </w:rPr>
              <w:t>7/1/2025</w:t>
            </w:r>
          </w:p>
        </w:tc>
        <w:tc>
          <w:tcPr>
            <w:tcW w:w="1220" w:type="dxa"/>
            <w:tcBorders>
              <w:top w:val="nil"/>
              <w:left w:val="nil"/>
              <w:bottom w:val="nil"/>
              <w:right w:val="nil"/>
            </w:tcBorders>
            <w:shd w:val="clear" w:color="auto" w:fill="auto"/>
            <w:noWrap/>
            <w:vAlign w:val="bottom"/>
          </w:tcPr>
          <w:p w:rsidRPr="000F68B8" w:rsidR="000F68B8" w:rsidP="000F68B8" w:rsidRDefault="000F68B8" w14:paraId="1D868196" w14:textId="4C559C38">
            <w:pPr>
              <w:tabs>
                <w:tab w:val="decimal" w:pos="975"/>
              </w:tabs>
              <w:jc w:val="left"/>
            </w:pPr>
            <w:r w:rsidRPr="000F68B8">
              <w:rPr>
                <w:color w:val="000000"/>
              </w:rPr>
              <w:t xml:space="preserve">790,000 </w:t>
            </w:r>
          </w:p>
        </w:tc>
        <w:tc>
          <w:tcPr>
            <w:tcW w:w="1580" w:type="dxa"/>
            <w:tcBorders>
              <w:top w:val="nil"/>
              <w:left w:val="nil"/>
              <w:bottom w:val="nil"/>
              <w:right w:val="nil"/>
            </w:tcBorders>
            <w:shd w:val="clear" w:color="auto" w:fill="auto"/>
            <w:noWrap/>
            <w:vAlign w:val="bottom"/>
          </w:tcPr>
          <w:p w:rsidRPr="000F68B8" w:rsidR="000F68B8" w:rsidP="000F68B8" w:rsidRDefault="000F68B8" w14:paraId="4C261AB4" w14:textId="20997C4B">
            <w:pPr>
              <w:tabs>
                <w:tab w:val="decimal" w:pos="1185"/>
              </w:tabs>
              <w:jc w:val="left"/>
            </w:pPr>
            <w:r w:rsidRPr="000F68B8">
              <w:rPr>
                <w:color w:val="000000"/>
              </w:rPr>
              <w:t xml:space="preserve">1,338,055,000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CDB429B" w14:textId="1D4DB7B6">
            <w:pPr>
              <w:tabs>
                <w:tab w:val="decimal" w:pos="330"/>
              </w:tabs>
              <w:jc w:val="left"/>
            </w:pPr>
            <w:r w:rsidRPr="000F68B8">
              <w:rPr>
                <w:color w:val="000000"/>
              </w:rPr>
              <w:t>85.354%</w:t>
            </w:r>
          </w:p>
        </w:tc>
      </w:tr>
      <w:tr w:rsidRPr="002F168A" w:rsidR="000F68B8" w:rsidTr="00921901" w14:paraId="24DE588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13F9C0E" w14:textId="337DE9BC">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0528D17" w14:textId="05A3525D">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09FB9A8D" w14:textId="6DC52CF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464DBFB" w14:textId="6B584DE6">
            <w:pPr>
              <w:jc w:val="center"/>
            </w:pPr>
            <w:r w:rsidRPr="000F68B8">
              <w:rPr>
                <w:color w:val="000000"/>
              </w:rPr>
              <w:t>7/1/2044</w:t>
            </w:r>
          </w:p>
        </w:tc>
        <w:tc>
          <w:tcPr>
            <w:tcW w:w="1220" w:type="dxa"/>
            <w:tcBorders>
              <w:top w:val="nil"/>
              <w:left w:val="nil"/>
              <w:bottom w:val="nil"/>
              <w:right w:val="nil"/>
            </w:tcBorders>
            <w:shd w:val="clear" w:color="auto" w:fill="auto"/>
            <w:noWrap/>
            <w:vAlign w:val="bottom"/>
          </w:tcPr>
          <w:p w:rsidRPr="000F68B8" w:rsidR="000F68B8" w:rsidP="000F68B8" w:rsidRDefault="000F68B8" w14:paraId="7C57EDF8" w14:textId="6D3B7A5E">
            <w:pPr>
              <w:tabs>
                <w:tab w:val="decimal" w:pos="975"/>
              </w:tabs>
              <w:jc w:val="left"/>
            </w:pPr>
            <w:r w:rsidRPr="000F68B8">
              <w:rPr>
                <w:color w:val="000000"/>
              </w:rPr>
              <w:t xml:space="preserve">5,135,000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54512F5D" w14:textId="2B563DE4">
            <w:pPr>
              <w:tabs>
                <w:tab w:val="decimal" w:pos="1185"/>
              </w:tabs>
              <w:jc w:val="left"/>
            </w:pPr>
            <w:r w:rsidRPr="000F68B8">
              <w:rPr>
                <w:color w:val="000000"/>
              </w:rPr>
              <w:t xml:space="preserve">1,343,190,000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992EEC2" w14:textId="5484E875">
            <w:pPr>
              <w:tabs>
                <w:tab w:val="decimal" w:pos="330"/>
              </w:tabs>
              <w:jc w:val="left"/>
            </w:pPr>
            <w:r w:rsidRPr="000F68B8">
              <w:rPr>
                <w:color w:val="000000"/>
              </w:rPr>
              <w:t>85.682%</w:t>
            </w:r>
          </w:p>
        </w:tc>
      </w:tr>
      <w:tr w:rsidRPr="002F168A" w:rsidR="000F68B8" w:rsidTr="00921901" w14:paraId="3946D919"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39AA254" w14:textId="468254A2">
            <w:pPr>
              <w:jc w:val="right"/>
            </w:pPr>
            <w:r w:rsidRPr="000F68B8">
              <w:rPr>
                <w:color w:val="000000"/>
              </w:rPr>
              <w:t xml:space="preserve">2.450 </w:t>
            </w:r>
          </w:p>
        </w:tc>
        <w:tc>
          <w:tcPr>
            <w:tcW w:w="1820" w:type="dxa"/>
            <w:tcBorders>
              <w:top w:val="nil"/>
              <w:left w:val="nil"/>
              <w:bottom w:val="nil"/>
              <w:right w:val="nil"/>
            </w:tcBorders>
            <w:shd w:val="clear" w:color="auto" w:fill="auto"/>
            <w:noWrap/>
            <w:vAlign w:val="bottom"/>
          </w:tcPr>
          <w:p w:rsidRPr="000F68B8" w:rsidR="000F68B8" w:rsidP="000F68B8" w:rsidRDefault="000F68B8" w14:paraId="6E5258E3" w14:textId="1992B44B">
            <w:pPr>
              <w:jc w:val="left"/>
            </w:pPr>
            <w:r w:rsidRPr="000F68B8">
              <w:rPr>
                <w:color w:val="000000"/>
              </w:rPr>
              <w:t>2017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6828FDA4" w14:textId="19344D6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7975C1E" w14:textId="7284BCB4">
            <w:pPr>
              <w:jc w:val="center"/>
            </w:pPr>
            <w:r w:rsidRPr="000F68B8">
              <w:rPr>
                <w:color w:val="000000"/>
              </w:rPr>
              <w:t>7/1/2026</w:t>
            </w:r>
          </w:p>
        </w:tc>
        <w:tc>
          <w:tcPr>
            <w:tcW w:w="1220" w:type="dxa"/>
            <w:tcBorders>
              <w:top w:val="nil"/>
              <w:left w:val="nil"/>
              <w:bottom w:val="nil"/>
              <w:right w:val="nil"/>
            </w:tcBorders>
            <w:shd w:val="clear" w:color="auto" w:fill="auto"/>
            <w:noWrap/>
            <w:vAlign w:val="bottom"/>
          </w:tcPr>
          <w:p w:rsidRPr="000F68B8" w:rsidR="000F68B8" w:rsidP="000F68B8" w:rsidRDefault="000F68B8" w14:paraId="54B58EB7" w14:textId="278C8D95">
            <w:pPr>
              <w:tabs>
                <w:tab w:val="decimal" w:pos="975"/>
              </w:tabs>
              <w:jc w:val="left"/>
            </w:pPr>
            <w:r w:rsidRPr="000F68B8">
              <w:rPr>
                <w:color w:val="000000"/>
              </w:rPr>
              <w:t xml:space="preserve">815,000 </w:t>
            </w:r>
          </w:p>
        </w:tc>
        <w:tc>
          <w:tcPr>
            <w:tcW w:w="1580" w:type="dxa"/>
            <w:tcBorders>
              <w:top w:val="nil"/>
              <w:left w:val="nil"/>
              <w:bottom w:val="nil"/>
              <w:right w:val="nil"/>
            </w:tcBorders>
            <w:shd w:val="clear" w:color="auto" w:fill="auto"/>
            <w:noWrap/>
            <w:vAlign w:val="bottom"/>
          </w:tcPr>
          <w:p w:rsidRPr="000F68B8" w:rsidR="000F68B8" w:rsidP="000F68B8" w:rsidRDefault="000F68B8" w14:paraId="5430D593" w14:textId="33717166">
            <w:pPr>
              <w:tabs>
                <w:tab w:val="decimal" w:pos="1185"/>
              </w:tabs>
              <w:jc w:val="left"/>
            </w:pPr>
            <w:r w:rsidRPr="000F68B8">
              <w:rPr>
                <w:color w:val="000000"/>
              </w:rPr>
              <w:t xml:space="preserve">1,344,005,000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07E5319" w14:textId="0B68C29C">
            <w:pPr>
              <w:tabs>
                <w:tab w:val="decimal" w:pos="330"/>
              </w:tabs>
              <w:jc w:val="left"/>
            </w:pPr>
            <w:r w:rsidRPr="000F68B8">
              <w:rPr>
                <w:color w:val="000000"/>
              </w:rPr>
              <w:t>85.734%</w:t>
            </w:r>
          </w:p>
        </w:tc>
      </w:tr>
      <w:tr w:rsidRPr="002F168A" w:rsidR="000F68B8" w:rsidTr="00921901" w14:paraId="56AAB414"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9F5A8A1" w14:textId="10F5A1D9">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0531A88" w14:textId="3436F936">
            <w:pPr>
              <w:jc w:val="left"/>
            </w:pPr>
            <w:r w:rsidRPr="000F68B8">
              <w:rPr>
                <w:color w:val="000000"/>
              </w:rPr>
              <w:t>2017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4F2D986A" w14:textId="5DC6A6A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33CFF83" w14:textId="10CE7625">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762318BB" w14:textId="1112827C">
            <w:pPr>
              <w:tabs>
                <w:tab w:val="decimal" w:pos="975"/>
              </w:tabs>
              <w:jc w:val="left"/>
            </w:pPr>
            <w:r w:rsidRPr="000F68B8">
              <w:rPr>
                <w:color w:val="000000"/>
              </w:rPr>
              <w:t xml:space="preserve">770,000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B78BD76" w14:textId="29F7FD1F">
            <w:pPr>
              <w:tabs>
                <w:tab w:val="decimal" w:pos="1185"/>
              </w:tabs>
              <w:jc w:val="left"/>
            </w:pPr>
            <w:r w:rsidRPr="000F68B8">
              <w:rPr>
                <w:color w:val="000000"/>
              </w:rPr>
              <w:t xml:space="preserve">1,344,775,000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20937B4" w14:textId="5D5DD0F1">
            <w:pPr>
              <w:tabs>
                <w:tab w:val="decimal" w:pos="330"/>
              </w:tabs>
              <w:jc w:val="left"/>
            </w:pPr>
            <w:r w:rsidRPr="000F68B8">
              <w:rPr>
                <w:color w:val="000000"/>
              </w:rPr>
              <w:t>85.783%</w:t>
            </w:r>
          </w:p>
        </w:tc>
      </w:tr>
      <w:tr w:rsidRPr="002F168A" w:rsidR="000F68B8" w:rsidTr="00921901" w14:paraId="6BFFBEF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63249F2" w14:textId="799C9D36">
            <w:pPr>
              <w:jc w:val="right"/>
            </w:pPr>
            <w:r w:rsidRPr="000F68B8">
              <w:rPr>
                <w:color w:val="000000"/>
              </w:rPr>
              <w:t xml:space="preserve">2.400 </w:t>
            </w:r>
          </w:p>
        </w:tc>
        <w:tc>
          <w:tcPr>
            <w:tcW w:w="1820" w:type="dxa"/>
            <w:tcBorders>
              <w:top w:val="nil"/>
              <w:left w:val="nil"/>
              <w:bottom w:val="nil"/>
              <w:right w:val="nil"/>
            </w:tcBorders>
            <w:shd w:val="clear" w:color="auto" w:fill="auto"/>
            <w:noWrap/>
            <w:vAlign w:val="bottom"/>
          </w:tcPr>
          <w:p w:rsidRPr="000F68B8" w:rsidR="000F68B8" w:rsidP="000F68B8" w:rsidRDefault="000F68B8" w14:paraId="524B8F59" w14:textId="66176F5C">
            <w:pPr>
              <w:jc w:val="left"/>
            </w:pPr>
            <w:r w:rsidRPr="000F68B8">
              <w:rPr>
                <w:color w:val="000000"/>
              </w:rPr>
              <w:t>2017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37C71948" w14:textId="23EC28C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C21B1BA" w14:textId="4F235635">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63AC0CDA" w14:textId="51C24D49">
            <w:pPr>
              <w:tabs>
                <w:tab w:val="decimal" w:pos="975"/>
              </w:tabs>
              <w:jc w:val="left"/>
            </w:pPr>
            <w:r w:rsidRPr="000F68B8">
              <w:rPr>
                <w:color w:val="000000"/>
              </w:rPr>
              <w:t xml:space="preserve">800,000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A75F0C5" w14:textId="1413BBB9">
            <w:pPr>
              <w:tabs>
                <w:tab w:val="decimal" w:pos="1185"/>
              </w:tabs>
              <w:jc w:val="left"/>
            </w:pPr>
            <w:r w:rsidRPr="000F68B8">
              <w:rPr>
                <w:color w:val="000000"/>
              </w:rPr>
              <w:t xml:space="preserve">1,345,575,000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9A28CC8" w14:textId="01325FBB">
            <w:pPr>
              <w:tabs>
                <w:tab w:val="decimal" w:pos="330"/>
              </w:tabs>
              <w:jc w:val="left"/>
            </w:pPr>
            <w:r w:rsidRPr="000F68B8">
              <w:rPr>
                <w:color w:val="000000"/>
              </w:rPr>
              <w:t>85.834%</w:t>
            </w:r>
          </w:p>
        </w:tc>
      </w:tr>
      <w:tr w:rsidRPr="002F168A" w:rsidR="000F68B8" w:rsidTr="00921901" w14:paraId="0BFB42A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C359FA5" w14:textId="08481CA1">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03A7641" w14:textId="3165B673">
            <w:pPr>
              <w:jc w:val="left"/>
            </w:pPr>
            <w:r w:rsidRPr="000F68B8">
              <w:rPr>
                <w:color w:val="000000"/>
              </w:rPr>
              <w:t>2019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2DD75203" w14:textId="3DC7498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87211FC" w14:textId="6ABA925D">
            <w:pPr>
              <w:jc w:val="center"/>
            </w:pPr>
            <w:r w:rsidRPr="000F68B8">
              <w:rPr>
                <w:color w:val="000000"/>
              </w:rPr>
              <w:t>7/1/2034</w:t>
            </w:r>
          </w:p>
        </w:tc>
        <w:tc>
          <w:tcPr>
            <w:tcW w:w="1220" w:type="dxa"/>
            <w:tcBorders>
              <w:top w:val="nil"/>
              <w:left w:val="nil"/>
              <w:bottom w:val="nil"/>
              <w:right w:val="nil"/>
            </w:tcBorders>
            <w:shd w:val="clear" w:color="auto" w:fill="auto"/>
            <w:noWrap/>
            <w:vAlign w:val="bottom"/>
          </w:tcPr>
          <w:p w:rsidRPr="000F68B8" w:rsidR="000F68B8" w:rsidP="000F68B8" w:rsidRDefault="000F68B8" w14:paraId="0B28C2AC" w14:textId="54BE1F7A">
            <w:pPr>
              <w:tabs>
                <w:tab w:val="decimal" w:pos="975"/>
              </w:tabs>
              <w:jc w:val="left"/>
            </w:pPr>
            <w:r w:rsidRPr="000F68B8">
              <w:rPr>
                <w:color w:val="000000"/>
              </w:rPr>
              <w:t xml:space="preserve">2,720,000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5C0F6F5" w14:textId="1A2A97FE">
            <w:pPr>
              <w:tabs>
                <w:tab w:val="decimal" w:pos="1185"/>
              </w:tabs>
              <w:jc w:val="left"/>
            </w:pPr>
            <w:r w:rsidRPr="000F68B8">
              <w:rPr>
                <w:color w:val="000000"/>
              </w:rPr>
              <w:t xml:space="preserve">1,348,295,000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6CEF0DE" w14:textId="03A075C2">
            <w:pPr>
              <w:tabs>
                <w:tab w:val="decimal" w:pos="330"/>
              </w:tabs>
              <w:jc w:val="left"/>
            </w:pPr>
            <w:r w:rsidRPr="000F68B8">
              <w:rPr>
                <w:color w:val="000000"/>
              </w:rPr>
              <w:t>86.007%</w:t>
            </w:r>
          </w:p>
        </w:tc>
      </w:tr>
      <w:tr w:rsidRPr="002F168A" w:rsidR="000F68B8" w:rsidTr="00921901" w14:paraId="023488F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6099628" w14:textId="517EF147">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8D263C8" w14:textId="133C8AAC">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6A4AD52F" w14:textId="07073DD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53E14AA2" w14:textId="689FF467">
            <w:pPr>
              <w:jc w:val="center"/>
            </w:pPr>
            <w:r w:rsidRPr="000F68B8">
              <w:rPr>
                <w:color w:val="000000"/>
              </w:rPr>
              <w:t>7/1/2041</w:t>
            </w:r>
          </w:p>
        </w:tc>
        <w:tc>
          <w:tcPr>
            <w:tcW w:w="1220" w:type="dxa"/>
            <w:tcBorders>
              <w:top w:val="nil"/>
              <w:left w:val="nil"/>
              <w:bottom w:val="nil"/>
              <w:right w:val="nil"/>
            </w:tcBorders>
            <w:shd w:val="clear" w:color="auto" w:fill="auto"/>
            <w:noWrap/>
            <w:vAlign w:val="bottom"/>
          </w:tcPr>
          <w:p w:rsidRPr="000F68B8" w:rsidR="000F68B8" w:rsidP="000F68B8" w:rsidRDefault="000F68B8" w14:paraId="04F90B89" w14:textId="2F1873A7">
            <w:pPr>
              <w:tabs>
                <w:tab w:val="decimal" w:pos="975"/>
              </w:tabs>
              <w:jc w:val="left"/>
            </w:pPr>
            <w:r w:rsidRPr="000F68B8">
              <w:rPr>
                <w:color w:val="000000"/>
              </w:rPr>
              <w:t xml:space="preserve">12,745,000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13C42B6" w14:textId="672B66B6">
            <w:pPr>
              <w:tabs>
                <w:tab w:val="decimal" w:pos="1185"/>
              </w:tabs>
              <w:jc w:val="left"/>
            </w:pPr>
            <w:r w:rsidRPr="000F68B8">
              <w:rPr>
                <w:color w:val="000000"/>
              </w:rPr>
              <w:t xml:space="preserve">1,361,040,000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FD825F1" w14:textId="440BD403">
            <w:pPr>
              <w:tabs>
                <w:tab w:val="decimal" w:pos="330"/>
              </w:tabs>
              <w:jc w:val="left"/>
            </w:pPr>
            <w:r w:rsidRPr="000F68B8">
              <w:rPr>
                <w:color w:val="000000"/>
              </w:rPr>
              <w:t>86.820%</w:t>
            </w:r>
          </w:p>
        </w:tc>
      </w:tr>
      <w:tr w:rsidRPr="002F168A" w:rsidR="000F68B8" w:rsidTr="00921901" w14:paraId="0EE105E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978859A" w14:textId="73E4CE3C">
            <w:pPr>
              <w:jc w:val="right"/>
            </w:pPr>
            <w:r w:rsidRPr="000F68B8">
              <w:rPr>
                <w:color w:val="000000"/>
              </w:rPr>
              <w:t xml:space="preserve">2.350 </w:t>
            </w:r>
          </w:p>
        </w:tc>
        <w:tc>
          <w:tcPr>
            <w:tcW w:w="1820" w:type="dxa"/>
            <w:tcBorders>
              <w:top w:val="nil"/>
              <w:left w:val="nil"/>
              <w:bottom w:val="nil"/>
              <w:right w:val="nil"/>
            </w:tcBorders>
            <w:shd w:val="clear" w:color="auto" w:fill="auto"/>
            <w:noWrap/>
            <w:vAlign w:val="bottom"/>
          </w:tcPr>
          <w:p w:rsidRPr="000F68B8" w:rsidR="000F68B8" w:rsidP="000F68B8" w:rsidRDefault="000F68B8" w14:paraId="6FAA2635" w14:textId="72C8044D">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6D88A11C" w14:textId="645342C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D9991B4" w14:textId="7434FD5F">
            <w:pPr>
              <w:jc w:val="center"/>
            </w:pPr>
            <w:r w:rsidRPr="000F68B8">
              <w:rPr>
                <w:color w:val="000000"/>
              </w:rPr>
              <w:t>7/1/2037</w:t>
            </w:r>
          </w:p>
        </w:tc>
        <w:tc>
          <w:tcPr>
            <w:tcW w:w="1220" w:type="dxa"/>
            <w:tcBorders>
              <w:top w:val="nil"/>
              <w:left w:val="nil"/>
              <w:bottom w:val="nil"/>
              <w:right w:val="nil"/>
            </w:tcBorders>
            <w:shd w:val="clear" w:color="auto" w:fill="auto"/>
            <w:noWrap/>
            <w:vAlign w:val="bottom"/>
          </w:tcPr>
          <w:p w:rsidRPr="000F68B8" w:rsidR="000F68B8" w:rsidP="000F68B8" w:rsidRDefault="000F68B8" w14:paraId="77777AD5" w14:textId="17C7A7BE">
            <w:pPr>
              <w:tabs>
                <w:tab w:val="decimal" w:pos="975"/>
              </w:tabs>
              <w:jc w:val="left"/>
            </w:pPr>
            <w:r w:rsidRPr="000F68B8">
              <w:rPr>
                <w:color w:val="000000"/>
              </w:rPr>
              <w:t xml:space="preserve">10,305,000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DB0326B" w14:textId="3FE0E43A">
            <w:pPr>
              <w:tabs>
                <w:tab w:val="decimal" w:pos="1185"/>
              </w:tabs>
              <w:jc w:val="left"/>
            </w:pPr>
            <w:r w:rsidRPr="000F68B8">
              <w:rPr>
                <w:color w:val="000000"/>
              </w:rPr>
              <w:t xml:space="preserve">1,371,345,000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B8B0239" w14:textId="3A770A86">
            <w:pPr>
              <w:tabs>
                <w:tab w:val="decimal" w:pos="330"/>
              </w:tabs>
              <w:jc w:val="left"/>
            </w:pPr>
            <w:r w:rsidRPr="000F68B8">
              <w:rPr>
                <w:color w:val="000000"/>
              </w:rPr>
              <w:t>87.478%</w:t>
            </w:r>
          </w:p>
        </w:tc>
      </w:tr>
      <w:tr w:rsidRPr="002F168A" w:rsidR="000F68B8" w:rsidTr="00921901" w14:paraId="644E072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02282CE" w14:textId="513AC407">
            <w:pPr>
              <w:jc w:val="right"/>
            </w:pPr>
            <w:r w:rsidRPr="000F68B8">
              <w:rPr>
                <w:color w:val="000000"/>
              </w:rPr>
              <w:t xml:space="preserve">2.300 </w:t>
            </w:r>
          </w:p>
        </w:tc>
        <w:tc>
          <w:tcPr>
            <w:tcW w:w="1820" w:type="dxa"/>
            <w:tcBorders>
              <w:top w:val="nil"/>
              <w:left w:val="nil"/>
              <w:bottom w:val="nil"/>
              <w:right w:val="nil"/>
            </w:tcBorders>
            <w:shd w:val="clear" w:color="auto" w:fill="auto"/>
            <w:noWrap/>
            <w:vAlign w:val="bottom"/>
          </w:tcPr>
          <w:p w:rsidRPr="000F68B8" w:rsidR="000F68B8" w:rsidP="000F68B8" w:rsidRDefault="000F68B8" w14:paraId="6700D1B4" w14:textId="5B3CCFC1">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2579E16D" w14:textId="5667CB7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FC9CFD0" w14:textId="1EB1CB4C">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0C3647C4" w14:textId="6D9182E7">
            <w:pPr>
              <w:tabs>
                <w:tab w:val="decimal" w:pos="975"/>
              </w:tabs>
              <w:jc w:val="left"/>
            </w:pPr>
            <w:r w:rsidRPr="000F68B8">
              <w:rPr>
                <w:color w:val="000000"/>
              </w:rPr>
              <w:t xml:space="preserve">945,000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96BDE95" w14:textId="7F612B20">
            <w:pPr>
              <w:tabs>
                <w:tab w:val="decimal" w:pos="1185"/>
              </w:tabs>
              <w:jc w:val="left"/>
            </w:pPr>
            <w:r w:rsidRPr="000F68B8">
              <w:rPr>
                <w:color w:val="000000"/>
              </w:rPr>
              <w:t xml:space="preserve">1,372,290,000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A46AC54" w14:textId="1A9A209A">
            <w:pPr>
              <w:tabs>
                <w:tab w:val="decimal" w:pos="330"/>
              </w:tabs>
              <w:jc w:val="left"/>
            </w:pPr>
            <w:r w:rsidRPr="000F68B8">
              <w:rPr>
                <w:color w:val="000000"/>
              </w:rPr>
              <w:t>87.538%</w:t>
            </w:r>
          </w:p>
        </w:tc>
      </w:tr>
      <w:tr w:rsidRPr="002F168A" w:rsidR="000F68B8" w:rsidTr="00921901" w14:paraId="18B759F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C44F06C" w14:textId="567F1702">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BC830D5" w14:textId="2749E200">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0A062DCE" w14:textId="551296A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A17E3D2" w14:textId="57D17A3E">
            <w:pPr>
              <w:jc w:val="center"/>
            </w:pPr>
            <w:r w:rsidRPr="000F68B8">
              <w:rPr>
                <w:color w:val="000000"/>
              </w:rPr>
              <w:t>1/1/2034</w:t>
            </w:r>
          </w:p>
        </w:tc>
        <w:tc>
          <w:tcPr>
            <w:tcW w:w="1220" w:type="dxa"/>
            <w:tcBorders>
              <w:top w:val="nil"/>
              <w:left w:val="nil"/>
              <w:bottom w:val="nil"/>
              <w:right w:val="nil"/>
            </w:tcBorders>
            <w:shd w:val="clear" w:color="auto" w:fill="auto"/>
            <w:noWrap/>
            <w:vAlign w:val="bottom"/>
          </w:tcPr>
          <w:p w:rsidRPr="000F68B8" w:rsidR="000F68B8" w:rsidP="000F68B8" w:rsidRDefault="000F68B8" w14:paraId="718BBAAA" w14:textId="69819341">
            <w:pPr>
              <w:tabs>
                <w:tab w:val="decimal" w:pos="975"/>
              </w:tabs>
              <w:jc w:val="left"/>
            </w:pPr>
            <w:r w:rsidRPr="000F68B8">
              <w:rPr>
                <w:color w:val="000000"/>
              </w:rPr>
              <w:t xml:space="preserve">1,160,000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885019F" w14:textId="7ECBE296">
            <w:pPr>
              <w:tabs>
                <w:tab w:val="decimal" w:pos="1185"/>
              </w:tabs>
              <w:jc w:val="left"/>
            </w:pPr>
            <w:r w:rsidRPr="000F68B8">
              <w:rPr>
                <w:color w:val="000000"/>
              </w:rPr>
              <w:t xml:space="preserve">1,373,450,000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19BFFF6" w14:textId="54773E53">
            <w:pPr>
              <w:tabs>
                <w:tab w:val="decimal" w:pos="330"/>
              </w:tabs>
              <w:jc w:val="left"/>
            </w:pPr>
            <w:r w:rsidRPr="000F68B8">
              <w:rPr>
                <w:color w:val="000000"/>
              </w:rPr>
              <w:t>87.612%</w:t>
            </w:r>
          </w:p>
        </w:tc>
      </w:tr>
      <w:tr w:rsidRPr="002F168A" w:rsidR="000F68B8" w:rsidTr="00921901" w14:paraId="785712D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21DA1A4" w14:textId="64A29917">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5CEC699" w14:textId="58B99E7C">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48A5DA5C" w14:textId="2159D1C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DB6E227" w14:textId="5AEC0C42">
            <w:pPr>
              <w:jc w:val="center"/>
            </w:pPr>
            <w:r w:rsidRPr="000F68B8">
              <w:rPr>
                <w:color w:val="000000"/>
              </w:rPr>
              <w:t>7/1/2034</w:t>
            </w:r>
          </w:p>
        </w:tc>
        <w:tc>
          <w:tcPr>
            <w:tcW w:w="1220" w:type="dxa"/>
            <w:tcBorders>
              <w:top w:val="nil"/>
              <w:left w:val="nil"/>
              <w:bottom w:val="nil"/>
              <w:right w:val="nil"/>
            </w:tcBorders>
            <w:shd w:val="clear" w:color="auto" w:fill="auto"/>
            <w:noWrap/>
            <w:vAlign w:val="bottom"/>
          </w:tcPr>
          <w:p w:rsidRPr="000F68B8" w:rsidR="000F68B8" w:rsidP="000F68B8" w:rsidRDefault="000F68B8" w14:paraId="0C0EA6C5" w14:textId="6DC49A72">
            <w:pPr>
              <w:tabs>
                <w:tab w:val="decimal" w:pos="975"/>
              </w:tabs>
              <w:jc w:val="left"/>
            </w:pPr>
            <w:r w:rsidRPr="000F68B8">
              <w:rPr>
                <w:color w:val="000000"/>
              </w:rPr>
              <w:t xml:space="preserve">1,180,000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9209AAD" w14:textId="24032F65">
            <w:pPr>
              <w:tabs>
                <w:tab w:val="decimal" w:pos="1185"/>
              </w:tabs>
              <w:jc w:val="left"/>
            </w:pPr>
            <w:r w:rsidRPr="000F68B8">
              <w:rPr>
                <w:color w:val="000000"/>
              </w:rPr>
              <w:t xml:space="preserve">1,374,630,000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2DAA0C8" w14:textId="54B18600">
            <w:pPr>
              <w:tabs>
                <w:tab w:val="decimal" w:pos="330"/>
              </w:tabs>
              <w:jc w:val="left"/>
            </w:pPr>
            <w:r w:rsidRPr="000F68B8">
              <w:rPr>
                <w:color w:val="000000"/>
              </w:rPr>
              <w:t>87.687%</w:t>
            </w:r>
          </w:p>
        </w:tc>
      </w:tr>
      <w:tr w:rsidRPr="002F168A" w:rsidR="000F68B8" w:rsidTr="00921901" w14:paraId="37CACE5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C942829" w14:textId="15A13665">
            <w:pPr>
              <w:jc w:val="right"/>
            </w:pPr>
            <w:r w:rsidRPr="000F68B8">
              <w:rPr>
                <w:color w:val="000000"/>
              </w:rPr>
              <w:t xml:space="preserve">2.250 </w:t>
            </w:r>
          </w:p>
        </w:tc>
        <w:tc>
          <w:tcPr>
            <w:tcW w:w="1820" w:type="dxa"/>
            <w:tcBorders>
              <w:top w:val="nil"/>
              <w:left w:val="nil"/>
              <w:bottom w:val="nil"/>
              <w:right w:val="nil"/>
            </w:tcBorders>
            <w:shd w:val="clear" w:color="auto" w:fill="auto"/>
            <w:noWrap/>
            <w:vAlign w:val="bottom"/>
          </w:tcPr>
          <w:p w:rsidRPr="000F68B8" w:rsidR="000F68B8" w:rsidP="000F68B8" w:rsidRDefault="000F68B8" w14:paraId="4AD56983" w14:textId="3778C14F">
            <w:pPr>
              <w:jc w:val="left"/>
            </w:pPr>
            <w:r w:rsidRPr="000F68B8">
              <w:rPr>
                <w:color w:val="000000"/>
              </w:rPr>
              <w:t>2017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783D9E67" w14:textId="442A8B9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EF2D11F" w14:textId="72432F57">
            <w:pPr>
              <w:jc w:val="center"/>
            </w:pPr>
            <w:r w:rsidRPr="000F68B8">
              <w:rPr>
                <w:color w:val="000000"/>
              </w:rPr>
              <w:t>7/1/2025</w:t>
            </w:r>
          </w:p>
        </w:tc>
        <w:tc>
          <w:tcPr>
            <w:tcW w:w="1220" w:type="dxa"/>
            <w:tcBorders>
              <w:top w:val="nil"/>
              <w:left w:val="nil"/>
              <w:bottom w:val="nil"/>
              <w:right w:val="nil"/>
            </w:tcBorders>
            <w:shd w:val="clear" w:color="auto" w:fill="auto"/>
            <w:noWrap/>
            <w:vAlign w:val="bottom"/>
          </w:tcPr>
          <w:p w:rsidRPr="000F68B8" w:rsidR="000F68B8" w:rsidP="000F68B8" w:rsidRDefault="000F68B8" w14:paraId="744D8E44" w14:textId="47C5012E">
            <w:pPr>
              <w:tabs>
                <w:tab w:val="decimal" w:pos="975"/>
              </w:tabs>
              <w:jc w:val="left"/>
            </w:pPr>
            <w:r w:rsidRPr="000F68B8">
              <w:rPr>
                <w:color w:val="000000"/>
              </w:rPr>
              <w:t xml:space="preserve">780,000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E57B838" w14:textId="6A629C97">
            <w:pPr>
              <w:tabs>
                <w:tab w:val="decimal" w:pos="1185"/>
              </w:tabs>
              <w:jc w:val="left"/>
            </w:pPr>
            <w:r w:rsidRPr="000F68B8">
              <w:rPr>
                <w:color w:val="000000"/>
              </w:rPr>
              <w:t xml:space="preserve">1,375,410,000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6431D60" w14:textId="60585509">
            <w:pPr>
              <w:tabs>
                <w:tab w:val="decimal" w:pos="330"/>
              </w:tabs>
              <w:jc w:val="left"/>
            </w:pPr>
            <w:r w:rsidRPr="000F68B8">
              <w:rPr>
                <w:color w:val="000000"/>
              </w:rPr>
              <w:t>87.737%</w:t>
            </w:r>
          </w:p>
        </w:tc>
      </w:tr>
      <w:tr w:rsidRPr="002F168A" w:rsidR="000F68B8" w:rsidTr="00921901" w14:paraId="70EAF6C4"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83FD8EE" w14:textId="64B06B19">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47218ED" w14:textId="4CDCE2F7">
            <w:pPr>
              <w:jc w:val="left"/>
            </w:pPr>
            <w:r w:rsidRPr="000F68B8">
              <w:rPr>
                <w:color w:val="000000"/>
              </w:rPr>
              <w:t>2019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4832F63E" w14:textId="7933DC0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61D8090" w14:textId="30CEF55E">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14D9FE90" w14:textId="771DA589">
            <w:pPr>
              <w:tabs>
                <w:tab w:val="decimal" w:pos="975"/>
              </w:tabs>
              <w:jc w:val="left"/>
            </w:pPr>
            <w:r w:rsidRPr="000F68B8">
              <w:rPr>
                <w:color w:val="000000"/>
              </w:rPr>
              <w:t xml:space="preserve">810,000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0A07A385" w14:textId="732309FB">
            <w:pPr>
              <w:tabs>
                <w:tab w:val="decimal" w:pos="1185"/>
              </w:tabs>
              <w:jc w:val="left"/>
            </w:pPr>
            <w:r w:rsidRPr="000F68B8">
              <w:rPr>
                <w:color w:val="000000"/>
              </w:rPr>
              <w:t xml:space="preserve">1,376,220,000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218EA8C" w14:textId="53123A65">
            <w:pPr>
              <w:tabs>
                <w:tab w:val="decimal" w:pos="330"/>
              </w:tabs>
              <w:jc w:val="left"/>
            </w:pPr>
            <w:r w:rsidRPr="000F68B8">
              <w:rPr>
                <w:color w:val="000000"/>
              </w:rPr>
              <w:t>87.789%</w:t>
            </w:r>
          </w:p>
        </w:tc>
      </w:tr>
      <w:tr w:rsidRPr="002F168A" w:rsidR="000F68B8" w:rsidTr="00921901" w14:paraId="43C50C7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AA2B944" w14:textId="5F0996F1">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FAA4D7A" w14:textId="6D60ED31">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536B3130" w14:textId="359E442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524ADF8B" w14:textId="5817B6A5">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1D6EC0EC" w14:textId="76C9519D">
            <w:pPr>
              <w:tabs>
                <w:tab w:val="decimal" w:pos="975"/>
              </w:tabs>
              <w:jc w:val="left"/>
            </w:pPr>
            <w:r w:rsidRPr="000F68B8">
              <w:rPr>
                <w:color w:val="000000"/>
              </w:rPr>
              <w:t xml:space="preserve">925,000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CEBE704" w14:textId="3659C475">
            <w:pPr>
              <w:tabs>
                <w:tab w:val="decimal" w:pos="1185"/>
              </w:tabs>
              <w:jc w:val="left"/>
            </w:pPr>
            <w:r w:rsidRPr="000F68B8">
              <w:rPr>
                <w:color w:val="000000"/>
              </w:rPr>
              <w:t xml:space="preserve">1,377,145,000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10A50A8" w14:textId="0EC7153D">
            <w:pPr>
              <w:tabs>
                <w:tab w:val="decimal" w:pos="330"/>
              </w:tabs>
              <w:jc w:val="left"/>
            </w:pPr>
            <w:r w:rsidRPr="000F68B8">
              <w:rPr>
                <w:color w:val="000000"/>
              </w:rPr>
              <w:t>87.848%</w:t>
            </w:r>
          </w:p>
        </w:tc>
      </w:tr>
      <w:tr w:rsidRPr="002F168A" w:rsidR="000F68B8" w:rsidTr="00921901" w14:paraId="64282C8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391D915" w14:textId="0DF074DE">
            <w:pPr>
              <w:pStyle w:val="aendof"/>
              <w:spacing w:before="0"/>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D41E361" w14:textId="370A6257">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23BCD7AF" w14:textId="4BE1EA9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EAB0714" w14:textId="05FD4506">
            <w:pPr>
              <w:jc w:val="center"/>
            </w:pPr>
            <w:r w:rsidRPr="000F68B8">
              <w:rPr>
                <w:color w:val="000000"/>
              </w:rPr>
              <w:t>1/1/2033</w:t>
            </w:r>
          </w:p>
        </w:tc>
        <w:tc>
          <w:tcPr>
            <w:tcW w:w="1220" w:type="dxa"/>
            <w:tcBorders>
              <w:top w:val="nil"/>
              <w:left w:val="nil"/>
              <w:bottom w:val="nil"/>
              <w:right w:val="nil"/>
            </w:tcBorders>
            <w:shd w:val="clear" w:color="auto" w:fill="auto"/>
            <w:noWrap/>
            <w:vAlign w:val="bottom"/>
          </w:tcPr>
          <w:p w:rsidRPr="000F68B8" w:rsidR="000F68B8" w:rsidP="000F68B8" w:rsidRDefault="000F68B8" w14:paraId="223B4E14" w14:textId="262C1C27">
            <w:pPr>
              <w:tabs>
                <w:tab w:val="decimal" w:pos="975"/>
              </w:tabs>
              <w:jc w:val="left"/>
            </w:pPr>
            <w:r w:rsidRPr="000F68B8">
              <w:rPr>
                <w:color w:val="000000"/>
              </w:rPr>
              <w:t xml:space="preserve">1,120,000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82F1780" w14:textId="1F5360CC">
            <w:pPr>
              <w:tabs>
                <w:tab w:val="decimal" w:pos="1185"/>
              </w:tabs>
              <w:jc w:val="left"/>
            </w:pPr>
            <w:r w:rsidRPr="000F68B8">
              <w:rPr>
                <w:color w:val="000000"/>
              </w:rPr>
              <w:t xml:space="preserve">1,378,265,000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1A57938" w14:textId="704D5132">
            <w:pPr>
              <w:tabs>
                <w:tab w:val="decimal" w:pos="330"/>
              </w:tabs>
              <w:jc w:val="left"/>
            </w:pPr>
            <w:r w:rsidRPr="000F68B8">
              <w:rPr>
                <w:color w:val="000000"/>
              </w:rPr>
              <w:t>87.919%</w:t>
            </w:r>
          </w:p>
        </w:tc>
      </w:tr>
      <w:tr w:rsidRPr="002F168A" w:rsidR="000F68B8" w:rsidTr="00921901" w14:paraId="2A5E450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54F09B1" w14:textId="5CC02FE7">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433AAFC" w14:textId="478AD4AF">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6D335DA9" w14:textId="392278E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69D0D9C" w14:textId="1FC0D363">
            <w:pPr>
              <w:jc w:val="center"/>
            </w:pPr>
            <w:r w:rsidRPr="000F68B8">
              <w:rPr>
                <w:color w:val="000000"/>
              </w:rPr>
              <w:t>7/1/2033</w:t>
            </w:r>
          </w:p>
        </w:tc>
        <w:tc>
          <w:tcPr>
            <w:tcW w:w="1220" w:type="dxa"/>
            <w:tcBorders>
              <w:top w:val="nil"/>
              <w:left w:val="nil"/>
              <w:bottom w:val="nil"/>
              <w:right w:val="nil"/>
            </w:tcBorders>
            <w:shd w:val="clear" w:color="auto" w:fill="auto"/>
            <w:noWrap/>
            <w:vAlign w:val="bottom"/>
          </w:tcPr>
          <w:p w:rsidRPr="000F68B8" w:rsidR="000F68B8" w:rsidP="000F68B8" w:rsidRDefault="000F68B8" w14:paraId="32200532" w14:textId="2D52D2F3">
            <w:pPr>
              <w:tabs>
                <w:tab w:val="decimal" w:pos="975"/>
              </w:tabs>
              <w:jc w:val="left"/>
            </w:pPr>
            <w:r w:rsidRPr="000F68B8">
              <w:rPr>
                <w:color w:val="000000"/>
              </w:rPr>
              <w:t xml:space="preserve">1,140,000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1741BBE" w14:textId="3242E78D">
            <w:pPr>
              <w:tabs>
                <w:tab w:val="decimal" w:pos="1185"/>
              </w:tabs>
              <w:jc w:val="left"/>
            </w:pPr>
            <w:r w:rsidRPr="000F68B8">
              <w:rPr>
                <w:color w:val="000000"/>
              </w:rPr>
              <w:t xml:space="preserve">1,379,405,000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E5913ED" w14:textId="2883B7C8">
            <w:pPr>
              <w:tabs>
                <w:tab w:val="decimal" w:pos="330"/>
              </w:tabs>
              <w:jc w:val="left"/>
            </w:pPr>
            <w:r w:rsidRPr="000F68B8">
              <w:rPr>
                <w:color w:val="000000"/>
              </w:rPr>
              <w:t>87.992%</w:t>
            </w:r>
          </w:p>
        </w:tc>
      </w:tr>
      <w:tr w:rsidRPr="002F168A" w:rsidR="000F68B8" w:rsidTr="00921901" w14:paraId="27051F8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789EC50" w14:textId="51EB7522">
            <w:pPr>
              <w:jc w:val="right"/>
            </w:pPr>
            <w:r w:rsidRPr="000F68B8">
              <w:rPr>
                <w:color w:val="000000"/>
              </w:rPr>
              <w:t xml:space="preserve">2.200 </w:t>
            </w:r>
          </w:p>
        </w:tc>
        <w:tc>
          <w:tcPr>
            <w:tcW w:w="1820" w:type="dxa"/>
            <w:tcBorders>
              <w:top w:val="nil"/>
              <w:left w:val="nil"/>
              <w:bottom w:val="nil"/>
              <w:right w:val="nil"/>
            </w:tcBorders>
            <w:shd w:val="clear" w:color="auto" w:fill="auto"/>
            <w:noWrap/>
            <w:vAlign w:val="bottom"/>
          </w:tcPr>
          <w:p w:rsidRPr="000F68B8" w:rsidR="000F68B8" w:rsidP="000F68B8" w:rsidRDefault="000F68B8" w14:paraId="713B8EA1" w14:textId="1DE11572">
            <w:pPr>
              <w:jc w:val="left"/>
            </w:pPr>
            <w:r w:rsidRPr="000F68B8">
              <w:rPr>
                <w:color w:val="000000"/>
              </w:rPr>
              <w:t>2017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4DBA0F7" w14:textId="73747CE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8BADB8D" w14:textId="413115C4">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4385966D" w14:textId="322C8E7B">
            <w:pPr>
              <w:tabs>
                <w:tab w:val="decimal" w:pos="975"/>
              </w:tabs>
              <w:jc w:val="left"/>
            </w:pPr>
            <w:r w:rsidRPr="000F68B8">
              <w:rPr>
                <w:color w:val="000000"/>
              </w:rPr>
              <w:t xml:space="preserve">760,000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6E8A424" w14:textId="563BE9A2">
            <w:pPr>
              <w:tabs>
                <w:tab w:val="decimal" w:pos="1185"/>
              </w:tabs>
              <w:jc w:val="left"/>
            </w:pPr>
            <w:r w:rsidRPr="000F68B8">
              <w:rPr>
                <w:color w:val="000000"/>
              </w:rPr>
              <w:t xml:space="preserve">1,380,165,000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55EE0365" w14:textId="6A1541AE">
            <w:pPr>
              <w:tabs>
                <w:tab w:val="decimal" w:pos="330"/>
              </w:tabs>
              <w:jc w:val="left"/>
            </w:pPr>
            <w:r w:rsidRPr="000F68B8">
              <w:rPr>
                <w:color w:val="000000"/>
              </w:rPr>
              <w:t>88.040%</w:t>
            </w:r>
          </w:p>
        </w:tc>
      </w:tr>
      <w:tr w:rsidRPr="002F168A" w:rsidR="000F68B8" w:rsidTr="00921901" w14:paraId="0FD654D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0E4DDC0" w14:textId="50F97DC1">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71BFAF3" w14:textId="316ED906">
            <w:pPr>
              <w:jc w:val="left"/>
            </w:pPr>
            <w:r w:rsidRPr="000F68B8">
              <w:rPr>
                <w:color w:val="000000"/>
              </w:rPr>
              <w:t>2019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2776FAD8" w14:textId="31D132B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A81FDA6" w14:textId="55EB3DE6">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07EC803B" w14:textId="45ABB859">
            <w:pPr>
              <w:tabs>
                <w:tab w:val="decimal" w:pos="975"/>
              </w:tabs>
              <w:jc w:val="left"/>
            </w:pPr>
            <w:r w:rsidRPr="000F68B8">
              <w:rPr>
                <w:color w:val="000000"/>
              </w:rPr>
              <w:t xml:space="preserve">800,000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7001062" w14:textId="17122C4D">
            <w:pPr>
              <w:tabs>
                <w:tab w:val="decimal" w:pos="1185"/>
              </w:tabs>
              <w:jc w:val="left"/>
            </w:pPr>
            <w:r w:rsidRPr="000F68B8">
              <w:rPr>
                <w:color w:val="000000"/>
              </w:rPr>
              <w:t xml:space="preserve">1,380,965,000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88134DF" w14:textId="3C04EFC3">
            <w:pPr>
              <w:tabs>
                <w:tab w:val="decimal" w:pos="330"/>
              </w:tabs>
              <w:jc w:val="left"/>
            </w:pPr>
            <w:r w:rsidRPr="000F68B8">
              <w:rPr>
                <w:color w:val="000000"/>
              </w:rPr>
              <w:t>88.091%</w:t>
            </w:r>
          </w:p>
        </w:tc>
      </w:tr>
      <w:tr w:rsidRPr="002F168A" w:rsidR="000F68B8" w:rsidTr="00921901" w14:paraId="570B569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0387070" w14:textId="0E5A3E3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03E59DE" w14:textId="03237C86">
            <w:pPr>
              <w:jc w:val="left"/>
            </w:pPr>
            <w:r w:rsidRPr="000F68B8">
              <w:rPr>
                <w:color w:val="000000"/>
              </w:rPr>
              <w:t>2020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230A8A0B" w14:textId="288075A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65E8D27" w14:textId="27479845">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545A041B" w14:textId="68673AB0">
            <w:pPr>
              <w:tabs>
                <w:tab w:val="decimal" w:pos="975"/>
              </w:tabs>
              <w:jc w:val="left"/>
            </w:pPr>
            <w:r w:rsidRPr="000F68B8">
              <w:rPr>
                <w:color w:val="000000"/>
              </w:rPr>
              <w:t xml:space="preserve">910,000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C5C7214" w14:textId="42DDFF03">
            <w:pPr>
              <w:tabs>
                <w:tab w:val="decimal" w:pos="1185"/>
              </w:tabs>
              <w:jc w:val="left"/>
            </w:pPr>
            <w:r w:rsidRPr="000F68B8">
              <w:rPr>
                <w:color w:val="000000"/>
              </w:rPr>
              <w:t xml:space="preserve">1,381,875,000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1911CD2" w14:textId="4E84E956">
            <w:pPr>
              <w:tabs>
                <w:tab w:val="decimal" w:pos="330"/>
              </w:tabs>
              <w:jc w:val="left"/>
            </w:pPr>
            <w:r w:rsidRPr="000F68B8">
              <w:rPr>
                <w:color w:val="000000"/>
              </w:rPr>
              <w:t>88.149%</w:t>
            </w:r>
          </w:p>
        </w:tc>
      </w:tr>
      <w:tr w:rsidRPr="002F168A" w:rsidR="000F68B8" w:rsidTr="00921901" w14:paraId="2A755A80"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861ECCE" w14:textId="37127DE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FC67953" w14:textId="00813ACE">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1C291A81" w14:textId="143A7EC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FEA86ED" w14:textId="7A05ADAC">
            <w:pPr>
              <w:jc w:val="center"/>
            </w:pPr>
            <w:r w:rsidRPr="000F68B8">
              <w:rPr>
                <w:color w:val="000000"/>
              </w:rPr>
              <w:t>7/1/2036</w:t>
            </w:r>
          </w:p>
        </w:tc>
        <w:tc>
          <w:tcPr>
            <w:tcW w:w="1220" w:type="dxa"/>
            <w:tcBorders>
              <w:top w:val="nil"/>
              <w:left w:val="nil"/>
              <w:bottom w:val="nil"/>
              <w:right w:val="nil"/>
            </w:tcBorders>
            <w:shd w:val="clear" w:color="auto" w:fill="auto"/>
            <w:noWrap/>
            <w:vAlign w:val="bottom"/>
          </w:tcPr>
          <w:p w:rsidRPr="000F68B8" w:rsidR="000F68B8" w:rsidP="000F68B8" w:rsidRDefault="000F68B8" w14:paraId="1347178E" w14:textId="0F9546DC">
            <w:pPr>
              <w:tabs>
                <w:tab w:val="decimal" w:pos="975"/>
              </w:tabs>
              <w:jc w:val="left"/>
            </w:pPr>
            <w:r w:rsidRPr="000F68B8">
              <w:rPr>
                <w:color w:val="000000"/>
              </w:rPr>
              <w:t xml:space="preserve">11,460,000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295F53F7" w14:textId="6D9DE839">
            <w:pPr>
              <w:tabs>
                <w:tab w:val="decimal" w:pos="1185"/>
              </w:tabs>
              <w:jc w:val="left"/>
            </w:pPr>
            <w:r w:rsidRPr="000F68B8">
              <w:rPr>
                <w:color w:val="000000"/>
              </w:rPr>
              <w:t xml:space="preserve">1,393,335,000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924F91B" w14:textId="661C0BAA">
            <w:pPr>
              <w:tabs>
                <w:tab w:val="decimal" w:pos="330"/>
              </w:tabs>
              <w:jc w:val="left"/>
            </w:pPr>
            <w:r w:rsidRPr="000F68B8">
              <w:rPr>
                <w:color w:val="000000"/>
              </w:rPr>
              <w:t>88.880%</w:t>
            </w:r>
          </w:p>
        </w:tc>
      </w:tr>
      <w:tr w:rsidRPr="002F168A" w:rsidR="000F68B8" w:rsidTr="00921901" w14:paraId="1FA5018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73FA376" w14:textId="5B75F025">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4F6EA8C7" w14:textId="0542C25C">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634DBBFF" w14:textId="03CB2F6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8322072" w14:textId="49A9F8D9">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76138416" w14:textId="605D966D">
            <w:pPr>
              <w:tabs>
                <w:tab w:val="decimal" w:pos="975"/>
              </w:tabs>
              <w:jc w:val="left"/>
            </w:pPr>
            <w:r w:rsidRPr="000F68B8">
              <w:rPr>
                <w:color w:val="000000"/>
              </w:rPr>
              <w:t xml:space="preserve">1,100,000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5BF358D" w14:textId="77BBF2E5">
            <w:pPr>
              <w:tabs>
                <w:tab w:val="decimal" w:pos="1185"/>
              </w:tabs>
              <w:jc w:val="left"/>
            </w:pPr>
            <w:r w:rsidRPr="000F68B8">
              <w:rPr>
                <w:color w:val="000000"/>
              </w:rPr>
              <w:t xml:space="preserve">1,394,435,000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3766246" w14:textId="41B5B904">
            <w:pPr>
              <w:tabs>
                <w:tab w:val="decimal" w:pos="330"/>
              </w:tabs>
              <w:jc w:val="left"/>
            </w:pPr>
            <w:r w:rsidRPr="000F68B8">
              <w:rPr>
                <w:color w:val="000000"/>
              </w:rPr>
              <w:t>88.951%</w:t>
            </w:r>
          </w:p>
        </w:tc>
      </w:tr>
      <w:tr w:rsidRPr="002F168A" w:rsidR="000F68B8" w:rsidTr="00921901" w14:paraId="2C3C1514"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75C8DC4" w14:textId="21846F2E">
            <w:pPr>
              <w:jc w:val="right"/>
            </w:pPr>
            <w:r w:rsidRPr="000F68B8">
              <w:rPr>
                <w:color w:val="000000"/>
              </w:rPr>
              <w:t xml:space="preserve">2.150 </w:t>
            </w:r>
          </w:p>
        </w:tc>
        <w:tc>
          <w:tcPr>
            <w:tcW w:w="1820" w:type="dxa"/>
            <w:tcBorders>
              <w:top w:val="nil"/>
              <w:left w:val="nil"/>
              <w:bottom w:val="nil"/>
              <w:right w:val="nil"/>
            </w:tcBorders>
            <w:shd w:val="clear" w:color="auto" w:fill="auto"/>
            <w:noWrap/>
            <w:vAlign w:val="bottom"/>
          </w:tcPr>
          <w:p w:rsidRPr="000F68B8" w:rsidR="000F68B8" w:rsidP="000F68B8" w:rsidRDefault="000F68B8" w14:paraId="54B74A67" w14:textId="0992F5F9">
            <w:pPr>
              <w:jc w:val="left"/>
            </w:pPr>
            <w:r w:rsidRPr="000F68B8">
              <w:rPr>
                <w:color w:val="000000"/>
              </w:rPr>
              <w:t>2019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16AE4616" w14:textId="2FBF779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6C3665A" w14:textId="13E1B679">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013A528E" w14:textId="53B2CD38">
            <w:pPr>
              <w:tabs>
                <w:tab w:val="decimal" w:pos="975"/>
              </w:tabs>
              <w:jc w:val="left"/>
            </w:pPr>
            <w:r w:rsidRPr="000F68B8">
              <w:rPr>
                <w:color w:val="000000"/>
              </w:rPr>
              <w:t xml:space="preserve">780,000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57DCC7B" w14:textId="47FA20C2">
            <w:pPr>
              <w:tabs>
                <w:tab w:val="decimal" w:pos="1185"/>
              </w:tabs>
              <w:jc w:val="left"/>
            </w:pPr>
            <w:r w:rsidRPr="000F68B8">
              <w:rPr>
                <w:color w:val="000000"/>
              </w:rPr>
              <w:t xml:space="preserve">1,395,215,000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61A5BAF" w14:textId="35DA3C39">
            <w:pPr>
              <w:tabs>
                <w:tab w:val="decimal" w:pos="330"/>
              </w:tabs>
              <w:jc w:val="left"/>
            </w:pPr>
            <w:r w:rsidRPr="000F68B8">
              <w:rPr>
                <w:color w:val="000000"/>
              </w:rPr>
              <w:t>89.000%</w:t>
            </w:r>
          </w:p>
        </w:tc>
      </w:tr>
      <w:tr w:rsidRPr="002F168A" w:rsidR="000F68B8" w:rsidTr="00921901" w14:paraId="469976F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B40601F" w14:textId="70A9EDC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FB4440D" w14:textId="386A06FA">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01A388CF" w14:textId="49D7F456">
            <w:pPr>
              <w:pStyle w:val="E-mailSignature"/>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9C417C1" w14:textId="165EAEA4">
            <w:pPr>
              <w:jc w:val="center"/>
            </w:pPr>
            <w:r w:rsidRPr="000F68B8">
              <w:rPr>
                <w:color w:val="000000"/>
              </w:rPr>
              <w:t>1/1/2045</w:t>
            </w:r>
          </w:p>
        </w:tc>
        <w:tc>
          <w:tcPr>
            <w:tcW w:w="1220" w:type="dxa"/>
            <w:tcBorders>
              <w:top w:val="nil"/>
              <w:left w:val="nil"/>
              <w:bottom w:val="nil"/>
              <w:right w:val="nil"/>
            </w:tcBorders>
            <w:shd w:val="clear" w:color="auto" w:fill="auto"/>
            <w:noWrap/>
            <w:vAlign w:val="bottom"/>
          </w:tcPr>
          <w:p w:rsidRPr="000F68B8" w:rsidR="000F68B8" w:rsidP="000F68B8" w:rsidRDefault="000F68B8" w14:paraId="72D04DE8" w14:textId="3E537D20">
            <w:pPr>
              <w:tabs>
                <w:tab w:val="decimal" w:pos="975"/>
              </w:tabs>
              <w:jc w:val="left"/>
            </w:pPr>
            <w:r w:rsidRPr="000F68B8">
              <w:rPr>
                <w:color w:val="000000"/>
              </w:rPr>
              <w:t xml:space="preserve">6,745,000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C49C055" w14:textId="64BC1E53">
            <w:pPr>
              <w:tabs>
                <w:tab w:val="decimal" w:pos="1185"/>
              </w:tabs>
              <w:jc w:val="left"/>
            </w:pPr>
            <w:r w:rsidRPr="000F68B8">
              <w:rPr>
                <w:color w:val="000000"/>
              </w:rPr>
              <w:t xml:space="preserve">1,401,960,000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4644AE0" w14:textId="45E9249F">
            <w:pPr>
              <w:tabs>
                <w:tab w:val="decimal" w:pos="330"/>
              </w:tabs>
              <w:jc w:val="left"/>
            </w:pPr>
            <w:r w:rsidRPr="000F68B8">
              <w:rPr>
                <w:color w:val="000000"/>
              </w:rPr>
              <w:t>89.431%</w:t>
            </w:r>
          </w:p>
        </w:tc>
      </w:tr>
      <w:tr w:rsidRPr="002F168A" w:rsidR="000F68B8" w:rsidTr="00921901" w14:paraId="14FB5F14"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D95FE2E" w14:textId="4214FD95">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E44EFB8" w14:textId="0089A49B">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65AD4AD8" w14:textId="3AA8DA1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41D3AFA" w14:textId="49C22A51">
            <w:pPr>
              <w:jc w:val="center"/>
            </w:pPr>
            <w:r w:rsidRPr="000F68B8">
              <w:rPr>
                <w:color w:val="000000"/>
              </w:rPr>
              <w:t>1/1/2033</w:t>
            </w:r>
          </w:p>
        </w:tc>
        <w:tc>
          <w:tcPr>
            <w:tcW w:w="1220" w:type="dxa"/>
            <w:tcBorders>
              <w:top w:val="nil"/>
              <w:left w:val="nil"/>
              <w:bottom w:val="nil"/>
              <w:right w:val="nil"/>
            </w:tcBorders>
            <w:shd w:val="clear" w:color="auto" w:fill="auto"/>
            <w:noWrap/>
            <w:vAlign w:val="bottom"/>
          </w:tcPr>
          <w:p w:rsidRPr="000F68B8" w:rsidR="000F68B8" w:rsidP="000F68B8" w:rsidRDefault="000F68B8" w14:paraId="306C61FC" w14:textId="110C09B2">
            <w:pPr>
              <w:tabs>
                <w:tab w:val="decimal" w:pos="975"/>
              </w:tabs>
              <w:jc w:val="left"/>
            </w:pPr>
            <w:r w:rsidRPr="000F68B8">
              <w:rPr>
                <w:color w:val="000000"/>
              </w:rPr>
              <w:t xml:space="preserve">1,020,000 </w:t>
            </w:r>
          </w:p>
        </w:tc>
        <w:tc>
          <w:tcPr>
            <w:tcW w:w="1580" w:type="dxa"/>
            <w:tcBorders>
              <w:top w:val="nil"/>
              <w:left w:val="nil"/>
              <w:bottom w:val="nil"/>
              <w:right w:val="nil"/>
            </w:tcBorders>
            <w:shd w:val="clear" w:color="auto" w:fill="auto"/>
            <w:noWrap/>
            <w:vAlign w:val="bottom"/>
          </w:tcPr>
          <w:p w:rsidRPr="000F68B8" w:rsidR="000F68B8" w:rsidP="000F68B8" w:rsidRDefault="000F68B8" w14:paraId="48F7E03B" w14:textId="5069DD33">
            <w:pPr>
              <w:tabs>
                <w:tab w:val="decimal" w:pos="1185"/>
              </w:tabs>
              <w:jc w:val="left"/>
            </w:pPr>
            <w:r w:rsidRPr="000F68B8">
              <w:rPr>
                <w:color w:val="000000"/>
              </w:rPr>
              <w:t xml:space="preserve">1,402,980,000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8620F8C" w14:textId="4A6F6F7A">
            <w:pPr>
              <w:tabs>
                <w:tab w:val="decimal" w:pos="330"/>
              </w:tabs>
              <w:jc w:val="left"/>
            </w:pPr>
            <w:r w:rsidRPr="000F68B8">
              <w:rPr>
                <w:color w:val="000000"/>
              </w:rPr>
              <w:t>89.496%</w:t>
            </w:r>
          </w:p>
        </w:tc>
      </w:tr>
      <w:tr w:rsidRPr="002F168A" w:rsidR="000F68B8" w:rsidTr="00921901" w14:paraId="68B9C21E"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1C5450A" w14:textId="3A511FCF">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7F688AB" w14:textId="3058670B">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07E5E1AA" w14:textId="65C84FC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90EEC8F" w14:textId="42057BAD">
            <w:pPr>
              <w:jc w:val="center"/>
            </w:pPr>
            <w:r w:rsidRPr="000F68B8">
              <w:rPr>
                <w:color w:val="000000"/>
              </w:rPr>
              <w:t>7/1/2033</w:t>
            </w:r>
          </w:p>
        </w:tc>
        <w:tc>
          <w:tcPr>
            <w:tcW w:w="1220" w:type="dxa"/>
            <w:tcBorders>
              <w:top w:val="nil"/>
              <w:left w:val="nil"/>
              <w:bottom w:val="nil"/>
              <w:right w:val="nil"/>
            </w:tcBorders>
            <w:shd w:val="clear" w:color="auto" w:fill="auto"/>
            <w:noWrap/>
            <w:vAlign w:val="bottom"/>
          </w:tcPr>
          <w:p w:rsidRPr="000F68B8" w:rsidR="000F68B8" w:rsidP="000F68B8" w:rsidRDefault="000F68B8" w14:paraId="6C95ED75" w14:textId="2E3FA804">
            <w:pPr>
              <w:tabs>
                <w:tab w:val="decimal" w:pos="975"/>
              </w:tabs>
              <w:jc w:val="left"/>
            </w:pPr>
            <w:r w:rsidRPr="000F68B8">
              <w:rPr>
                <w:color w:val="000000"/>
              </w:rPr>
              <w:t xml:space="preserve">1,035,000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EC39498" w14:textId="11CB438E">
            <w:pPr>
              <w:tabs>
                <w:tab w:val="decimal" w:pos="1185"/>
              </w:tabs>
              <w:jc w:val="left"/>
            </w:pPr>
            <w:r w:rsidRPr="000F68B8">
              <w:rPr>
                <w:color w:val="000000"/>
              </w:rPr>
              <w:t xml:space="preserve">1,404,015,000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028650F" w14:textId="1C63B19F">
            <w:pPr>
              <w:tabs>
                <w:tab w:val="decimal" w:pos="330"/>
              </w:tabs>
              <w:jc w:val="left"/>
            </w:pPr>
            <w:r w:rsidRPr="000F68B8">
              <w:rPr>
                <w:color w:val="000000"/>
              </w:rPr>
              <w:t>89.562%</w:t>
            </w:r>
          </w:p>
        </w:tc>
      </w:tr>
      <w:tr w:rsidRPr="002F168A" w:rsidR="000F68B8" w:rsidTr="00921901" w14:paraId="647C2F2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AEC9CE4" w14:textId="553E2A81">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24BB444" w14:textId="24F63100">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7D4F5BA8" w14:textId="6DFACED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87C3CC2" w14:textId="60591722">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0133BAB8" w14:textId="09251110">
            <w:pPr>
              <w:tabs>
                <w:tab w:val="decimal" w:pos="975"/>
              </w:tabs>
              <w:jc w:val="left"/>
            </w:pPr>
            <w:r w:rsidRPr="000F68B8">
              <w:rPr>
                <w:color w:val="000000"/>
              </w:rPr>
              <w:t xml:space="preserve">1,075,000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88EC8F6" w14:textId="69EE1FA9">
            <w:pPr>
              <w:tabs>
                <w:tab w:val="decimal" w:pos="1185"/>
              </w:tabs>
              <w:jc w:val="left"/>
            </w:pPr>
            <w:r w:rsidRPr="000F68B8">
              <w:rPr>
                <w:color w:val="000000"/>
              </w:rPr>
              <w:t xml:space="preserve">1,405,090,000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8C04DF9" w14:textId="569CF6BA">
            <w:pPr>
              <w:tabs>
                <w:tab w:val="decimal" w:pos="330"/>
              </w:tabs>
              <w:jc w:val="left"/>
            </w:pPr>
            <w:r w:rsidRPr="000F68B8">
              <w:rPr>
                <w:color w:val="000000"/>
              </w:rPr>
              <w:t>89.630%</w:t>
            </w:r>
          </w:p>
        </w:tc>
      </w:tr>
      <w:tr w:rsidRPr="002F168A" w:rsidR="000F68B8" w:rsidTr="00921901" w14:paraId="6A0457D0"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CCF77C7" w14:textId="6749665E">
            <w:pPr>
              <w:jc w:val="right"/>
            </w:pPr>
            <w:r w:rsidRPr="000F68B8">
              <w:rPr>
                <w:color w:val="000000"/>
              </w:rPr>
              <w:t xml:space="preserve">2.125 </w:t>
            </w:r>
          </w:p>
        </w:tc>
        <w:tc>
          <w:tcPr>
            <w:tcW w:w="1820" w:type="dxa"/>
            <w:tcBorders>
              <w:top w:val="nil"/>
              <w:left w:val="nil"/>
              <w:bottom w:val="nil"/>
              <w:right w:val="nil"/>
            </w:tcBorders>
            <w:shd w:val="clear" w:color="auto" w:fill="auto"/>
            <w:noWrap/>
            <w:vAlign w:val="bottom"/>
          </w:tcPr>
          <w:p w:rsidRPr="000F68B8" w:rsidR="000F68B8" w:rsidP="000F68B8" w:rsidRDefault="000F68B8" w14:paraId="0E32D647" w14:textId="28DE6D73">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4F53121F" w14:textId="7D3B7C9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0EB0F2C" w14:textId="33C010F1">
            <w:pPr>
              <w:jc w:val="center"/>
            </w:pPr>
            <w:r w:rsidRPr="000F68B8">
              <w:rPr>
                <w:color w:val="000000"/>
              </w:rPr>
              <w:t>7/1/2041</w:t>
            </w:r>
          </w:p>
        </w:tc>
        <w:tc>
          <w:tcPr>
            <w:tcW w:w="1220" w:type="dxa"/>
            <w:tcBorders>
              <w:top w:val="nil"/>
              <w:left w:val="nil"/>
              <w:bottom w:val="nil"/>
              <w:right w:val="nil"/>
            </w:tcBorders>
            <w:shd w:val="clear" w:color="auto" w:fill="auto"/>
            <w:noWrap/>
            <w:vAlign w:val="bottom"/>
          </w:tcPr>
          <w:p w:rsidRPr="000F68B8" w:rsidR="000F68B8" w:rsidP="000F68B8" w:rsidRDefault="000F68B8" w14:paraId="14B1D1A5" w14:textId="4218BECE">
            <w:pPr>
              <w:tabs>
                <w:tab w:val="decimal" w:pos="975"/>
              </w:tabs>
              <w:jc w:val="left"/>
            </w:pPr>
            <w:r w:rsidRPr="000F68B8">
              <w:rPr>
                <w:color w:val="000000"/>
              </w:rPr>
              <w:t xml:space="preserve">22,090,000 </w:t>
            </w:r>
          </w:p>
        </w:tc>
        <w:tc>
          <w:tcPr>
            <w:tcW w:w="1580" w:type="dxa"/>
            <w:tcBorders>
              <w:top w:val="nil"/>
              <w:left w:val="nil"/>
              <w:bottom w:val="nil"/>
              <w:right w:val="nil"/>
            </w:tcBorders>
            <w:shd w:val="clear" w:color="auto" w:fill="auto"/>
            <w:noWrap/>
            <w:vAlign w:val="bottom"/>
          </w:tcPr>
          <w:p w:rsidRPr="000F68B8" w:rsidR="000F68B8" w:rsidP="000F68B8" w:rsidRDefault="000F68B8" w14:paraId="04C4656F" w14:textId="64A9B1E5">
            <w:pPr>
              <w:tabs>
                <w:tab w:val="decimal" w:pos="1185"/>
              </w:tabs>
              <w:jc w:val="left"/>
            </w:pPr>
            <w:r w:rsidRPr="000F68B8">
              <w:rPr>
                <w:color w:val="000000"/>
              </w:rPr>
              <w:t xml:space="preserve">1,427,180,000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D741987" w14:textId="73948DA8">
            <w:pPr>
              <w:tabs>
                <w:tab w:val="decimal" w:pos="330"/>
              </w:tabs>
              <w:jc w:val="left"/>
            </w:pPr>
            <w:r w:rsidRPr="000F68B8">
              <w:rPr>
                <w:color w:val="000000"/>
              </w:rPr>
              <w:t>91.039%</w:t>
            </w:r>
          </w:p>
        </w:tc>
      </w:tr>
      <w:tr w:rsidRPr="002F168A" w:rsidR="000F68B8" w:rsidTr="00921901" w14:paraId="0297C61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66B676C" w14:textId="5AFF2F8F">
            <w:pPr>
              <w:jc w:val="right"/>
            </w:pPr>
            <w:r w:rsidRPr="000F68B8">
              <w:rPr>
                <w:color w:val="000000"/>
              </w:rPr>
              <w:t xml:space="preserve">2.100 </w:t>
            </w:r>
          </w:p>
        </w:tc>
        <w:tc>
          <w:tcPr>
            <w:tcW w:w="1820" w:type="dxa"/>
            <w:tcBorders>
              <w:top w:val="nil"/>
              <w:left w:val="nil"/>
              <w:bottom w:val="nil"/>
              <w:right w:val="nil"/>
            </w:tcBorders>
            <w:shd w:val="clear" w:color="auto" w:fill="auto"/>
            <w:noWrap/>
            <w:vAlign w:val="bottom"/>
          </w:tcPr>
          <w:p w:rsidRPr="000F68B8" w:rsidR="000F68B8" w:rsidP="000F68B8" w:rsidRDefault="000F68B8" w14:paraId="516B5BDF" w14:textId="09D171A8">
            <w:pPr>
              <w:jc w:val="left"/>
            </w:pPr>
            <w:r w:rsidRPr="000F68B8">
              <w:rPr>
                <w:color w:val="000000"/>
              </w:rPr>
              <w:t>2019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1EB05859" w14:textId="607D595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E3A1C1B" w14:textId="1D490338">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4655267A" w14:textId="5E783A2D">
            <w:pPr>
              <w:tabs>
                <w:tab w:val="decimal" w:pos="975"/>
              </w:tabs>
              <w:jc w:val="left"/>
            </w:pPr>
            <w:r w:rsidRPr="000F68B8">
              <w:rPr>
                <w:color w:val="000000"/>
              </w:rPr>
              <w:t xml:space="preserve">765,000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BB1FB19" w14:textId="115B29B2">
            <w:pPr>
              <w:tabs>
                <w:tab w:val="decimal" w:pos="1185"/>
              </w:tabs>
              <w:jc w:val="left"/>
            </w:pPr>
            <w:r w:rsidRPr="000F68B8">
              <w:rPr>
                <w:color w:val="000000"/>
              </w:rPr>
              <w:t xml:space="preserve">1,427,945,000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5FAD3B0" w14:textId="3E16834F">
            <w:pPr>
              <w:tabs>
                <w:tab w:val="decimal" w:pos="330"/>
              </w:tabs>
              <w:jc w:val="left"/>
            </w:pPr>
            <w:r w:rsidRPr="000F68B8">
              <w:rPr>
                <w:color w:val="000000"/>
              </w:rPr>
              <w:t>91.088%</w:t>
            </w:r>
          </w:p>
        </w:tc>
      </w:tr>
      <w:tr w:rsidRPr="002F168A" w:rsidR="000F68B8" w:rsidTr="00921901" w14:paraId="4486918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C2C5017" w14:textId="0AD058B2">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B0980AE" w14:textId="3A74B7BF">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369A9D01" w14:textId="0E4C12D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4860AB3" w14:textId="38848089">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05555EFB" w14:textId="56B47986">
            <w:pPr>
              <w:tabs>
                <w:tab w:val="decimal" w:pos="975"/>
              </w:tabs>
              <w:jc w:val="left"/>
            </w:pPr>
            <w:r w:rsidRPr="000F68B8">
              <w:rPr>
                <w:color w:val="000000"/>
              </w:rPr>
              <w:t xml:space="preserve">1,005,000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7297084" w14:textId="72702B9B">
            <w:pPr>
              <w:tabs>
                <w:tab w:val="decimal" w:pos="1185"/>
              </w:tabs>
              <w:jc w:val="left"/>
            </w:pPr>
            <w:r w:rsidRPr="000F68B8">
              <w:rPr>
                <w:color w:val="000000"/>
              </w:rPr>
              <w:t xml:space="preserve">1,428,950,000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BCE4DAC" w14:textId="35F40975">
            <w:pPr>
              <w:tabs>
                <w:tab w:val="decimal" w:pos="330"/>
              </w:tabs>
              <w:jc w:val="left"/>
            </w:pPr>
            <w:r w:rsidRPr="000F68B8">
              <w:rPr>
                <w:color w:val="000000"/>
              </w:rPr>
              <w:t>91.152%</w:t>
            </w:r>
          </w:p>
        </w:tc>
      </w:tr>
      <w:tr w:rsidRPr="002F168A" w:rsidR="000F68B8" w:rsidTr="00921901" w14:paraId="7353BFA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CC97168" w14:textId="45756289">
            <w:pPr>
              <w:jc w:val="right"/>
            </w:pPr>
            <w:r w:rsidRPr="000F68B8">
              <w:rPr>
                <w:color w:val="000000"/>
              </w:rPr>
              <w:t xml:space="preserve">2.050 </w:t>
            </w:r>
          </w:p>
        </w:tc>
        <w:tc>
          <w:tcPr>
            <w:tcW w:w="1820" w:type="dxa"/>
            <w:tcBorders>
              <w:top w:val="nil"/>
              <w:left w:val="nil"/>
              <w:bottom w:val="nil"/>
              <w:right w:val="nil"/>
            </w:tcBorders>
            <w:shd w:val="clear" w:color="auto" w:fill="auto"/>
            <w:noWrap/>
            <w:vAlign w:val="bottom"/>
          </w:tcPr>
          <w:p w:rsidRPr="000F68B8" w:rsidR="000F68B8" w:rsidP="000F68B8" w:rsidRDefault="000F68B8" w14:paraId="47106B16" w14:textId="39C73328">
            <w:pPr>
              <w:jc w:val="left"/>
            </w:pPr>
            <w:r w:rsidRPr="000F68B8">
              <w:rPr>
                <w:color w:val="000000"/>
              </w:rPr>
              <w:t>2019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5BE90FB2" w14:textId="648BB3E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70BFE4D" w14:textId="1C8956FA">
            <w:pPr>
              <w:jc w:val="center"/>
            </w:pPr>
            <w:r w:rsidRPr="000F68B8">
              <w:rPr>
                <w:color w:val="000000"/>
              </w:rPr>
              <w:t>7/1/2030</w:t>
            </w:r>
          </w:p>
        </w:tc>
        <w:tc>
          <w:tcPr>
            <w:tcW w:w="1220" w:type="dxa"/>
            <w:tcBorders>
              <w:top w:val="nil"/>
              <w:left w:val="nil"/>
              <w:bottom w:val="nil"/>
              <w:right w:val="nil"/>
            </w:tcBorders>
            <w:shd w:val="clear" w:color="auto" w:fill="auto"/>
            <w:noWrap/>
            <w:vAlign w:val="bottom"/>
          </w:tcPr>
          <w:p w:rsidRPr="000F68B8" w:rsidR="000F68B8" w:rsidP="000F68B8" w:rsidRDefault="000F68B8" w14:paraId="42279342" w14:textId="140A271F">
            <w:pPr>
              <w:tabs>
                <w:tab w:val="decimal" w:pos="975"/>
              </w:tabs>
              <w:jc w:val="left"/>
            </w:pPr>
            <w:r w:rsidRPr="000F68B8">
              <w:rPr>
                <w:color w:val="000000"/>
              </w:rPr>
              <w:t xml:space="preserve">755,000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0349292A" w14:textId="55C5ACCA">
            <w:pPr>
              <w:tabs>
                <w:tab w:val="decimal" w:pos="1185"/>
              </w:tabs>
              <w:jc w:val="left"/>
            </w:pPr>
            <w:r w:rsidRPr="000F68B8">
              <w:rPr>
                <w:color w:val="000000"/>
              </w:rPr>
              <w:t xml:space="preserve">1,429,705,000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8BCF019" w14:textId="32C23CB4">
            <w:pPr>
              <w:tabs>
                <w:tab w:val="decimal" w:pos="330"/>
              </w:tabs>
              <w:jc w:val="left"/>
            </w:pPr>
            <w:r w:rsidRPr="000F68B8">
              <w:rPr>
                <w:color w:val="000000"/>
              </w:rPr>
              <w:t>91.201%</w:t>
            </w:r>
          </w:p>
        </w:tc>
      </w:tr>
      <w:tr w:rsidRPr="002F168A" w:rsidR="000F68B8" w:rsidTr="00921901" w14:paraId="71F7626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66DA5F8" w14:textId="43520BF1">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785214A" w14:textId="39CC3D45">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795AFA02" w14:textId="36790DE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2360EAC" w14:textId="66C007AF">
            <w:pPr>
              <w:jc w:val="center"/>
            </w:pPr>
            <w:r w:rsidRPr="000F68B8">
              <w:rPr>
                <w:color w:val="000000"/>
              </w:rPr>
              <w:t>7/1/2039</w:t>
            </w:r>
          </w:p>
        </w:tc>
        <w:tc>
          <w:tcPr>
            <w:tcW w:w="1220" w:type="dxa"/>
            <w:tcBorders>
              <w:top w:val="nil"/>
              <w:left w:val="nil"/>
              <w:bottom w:val="nil"/>
              <w:right w:val="nil"/>
            </w:tcBorders>
            <w:shd w:val="clear" w:color="auto" w:fill="auto"/>
            <w:noWrap/>
            <w:vAlign w:val="bottom"/>
          </w:tcPr>
          <w:p w:rsidRPr="000F68B8" w:rsidR="000F68B8" w:rsidP="000F68B8" w:rsidRDefault="000F68B8" w14:paraId="5EDD9E58" w14:textId="7F5B2AEA">
            <w:pPr>
              <w:tabs>
                <w:tab w:val="decimal" w:pos="975"/>
              </w:tabs>
              <w:jc w:val="left"/>
            </w:pPr>
            <w:r w:rsidRPr="000F68B8">
              <w:rPr>
                <w:color w:val="000000"/>
              </w:rPr>
              <w:t xml:space="preserve">715,000 </w:t>
            </w:r>
          </w:p>
        </w:tc>
        <w:tc>
          <w:tcPr>
            <w:tcW w:w="1580" w:type="dxa"/>
            <w:tcBorders>
              <w:top w:val="nil"/>
              <w:left w:val="nil"/>
              <w:bottom w:val="nil"/>
              <w:right w:val="nil"/>
            </w:tcBorders>
            <w:shd w:val="clear" w:color="auto" w:fill="auto"/>
            <w:noWrap/>
            <w:vAlign w:val="bottom"/>
          </w:tcPr>
          <w:p w:rsidRPr="000F68B8" w:rsidR="000F68B8" w:rsidP="000F68B8" w:rsidRDefault="000F68B8" w14:paraId="77108935" w14:textId="40CC6E9C">
            <w:pPr>
              <w:tabs>
                <w:tab w:val="decimal" w:pos="1185"/>
              </w:tabs>
              <w:jc w:val="left"/>
            </w:pPr>
            <w:r w:rsidRPr="000F68B8">
              <w:rPr>
                <w:color w:val="000000"/>
              </w:rPr>
              <w:t xml:space="preserve">1,430,420,000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506C9E07" w14:textId="67B4E035">
            <w:pPr>
              <w:tabs>
                <w:tab w:val="decimal" w:pos="330"/>
              </w:tabs>
              <w:jc w:val="left"/>
            </w:pPr>
            <w:r w:rsidRPr="000F68B8">
              <w:rPr>
                <w:color w:val="000000"/>
              </w:rPr>
              <w:t>91.246%</w:t>
            </w:r>
          </w:p>
        </w:tc>
      </w:tr>
      <w:tr w:rsidRPr="002F168A" w:rsidR="000F68B8" w:rsidTr="00921901" w14:paraId="615D3D0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9C346F0" w14:textId="3DA10527">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3852E17" w14:textId="0DF08FAF">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57461E71" w14:textId="7BBCBA5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80AB915" w14:textId="7058F6F2">
            <w:pPr>
              <w:jc w:val="center"/>
            </w:pPr>
            <w:r w:rsidRPr="000F68B8">
              <w:rPr>
                <w:color w:val="000000"/>
              </w:rPr>
              <w:t>7/1/2041</w:t>
            </w:r>
          </w:p>
        </w:tc>
        <w:tc>
          <w:tcPr>
            <w:tcW w:w="1220" w:type="dxa"/>
            <w:tcBorders>
              <w:top w:val="nil"/>
              <w:left w:val="nil"/>
              <w:bottom w:val="nil"/>
              <w:right w:val="nil"/>
            </w:tcBorders>
            <w:shd w:val="clear" w:color="auto" w:fill="auto"/>
            <w:noWrap/>
            <w:vAlign w:val="bottom"/>
          </w:tcPr>
          <w:p w:rsidRPr="000F68B8" w:rsidR="000F68B8" w:rsidP="000F68B8" w:rsidRDefault="000F68B8" w14:paraId="0E6B20EA" w14:textId="35451E4B">
            <w:pPr>
              <w:tabs>
                <w:tab w:val="decimal" w:pos="975"/>
              </w:tabs>
              <w:jc w:val="left"/>
            </w:pPr>
            <w:r w:rsidRPr="000F68B8">
              <w:rPr>
                <w:color w:val="000000"/>
              </w:rPr>
              <w:t xml:space="preserve">9,825,000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EDA7305" w14:textId="3F6EEBA7">
            <w:pPr>
              <w:tabs>
                <w:tab w:val="decimal" w:pos="1185"/>
              </w:tabs>
              <w:jc w:val="left"/>
            </w:pPr>
            <w:r w:rsidRPr="000F68B8">
              <w:rPr>
                <w:color w:val="000000"/>
              </w:rPr>
              <w:t xml:space="preserve">1,440,245,000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5D7B61A1" w14:textId="1EBF4269">
            <w:pPr>
              <w:tabs>
                <w:tab w:val="decimal" w:pos="330"/>
              </w:tabs>
              <w:jc w:val="left"/>
            </w:pPr>
            <w:r w:rsidRPr="000F68B8">
              <w:rPr>
                <w:color w:val="000000"/>
              </w:rPr>
              <w:t>91.873%</w:t>
            </w:r>
          </w:p>
        </w:tc>
      </w:tr>
      <w:tr w:rsidRPr="002F168A" w:rsidR="000F68B8" w:rsidTr="00921901" w14:paraId="0E3C16E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A5B949E" w14:textId="654F7285">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6614938" w14:textId="7EB40349">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2D429853" w14:textId="00BC7DA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EDA7DB8" w14:textId="3586D8B0">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4F15E651" w14:textId="1C0EC30B">
            <w:pPr>
              <w:tabs>
                <w:tab w:val="decimal" w:pos="975"/>
              </w:tabs>
              <w:jc w:val="left"/>
            </w:pPr>
            <w:r w:rsidRPr="000F68B8">
              <w:rPr>
                <w:color w:val="000000"/>
              </w:rPr>
              <w:t xml:space="preserve">985,000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6318F9D" w14:textId="7A72AB20">
            <w:pPr>
              <w:tabs>
                <w:tab w:val="decimal" w:pos="1185"/>
              </w:tabs>
              <w:jc w:val="left"/>
            </w:pPr>
            <w:r w:rsidRPr="000F68B8">
              <w:rPr>
                <w:color w:val="000000"/>
              </w:rPr>
              <w:t xml:space="preserve">1,441,230,000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065F39E1" w14:textId="43EBBE05">
            <w:pPr>
              <w:tabs>
                <w:tab w:val="decimal" w:pos="330"/>
              </w:tabs>
              <w:jc w:val="left"/>
            </w:pPr>
            <w:r w:rsidRPr="000F68B8">
              <w:rPr>
                <w:color w:val="000000"/>
              </w:rPr>
              <w:t>91.936%</w:t>
            </w:r>
          </w:p>
        </w:tc>
      </w:tr>
      <w:tr w:rsidRPr="002F168A" w:rsidR="000F68B8" w:rsidTr="00921901" w14:paraId="7AF2DF8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513C6E5" w14:textId="33E951DA">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62C1E388" w14:textId="1C16F7D7">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4342B5EB" w14:textId="23EBD653">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149C638" w14:textId="03D6B7E5">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364647FB" w14:textId="774E8A46">
            <w:pPr>
              <w:tabs>
                <w:tab w:val="decimal" w:pos="975"/>
              </w:tabs>
              <w:jc w:val="left"/>
            </w:pPr>
            <w:r w:rsidRPr="000F68B8">
              <w:rPr>
                <w:color w:val="000000"/>
              </w:rPr>
              <w:t xml:space="preserve">1,055,000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14448EB" w14:textId="0E93F27F">
            <w:pPr>
              <w:tabs>
                <w:tab w:val="decimal" w:pos="1185"/>
              </w:tabs>
              <w:jc w:val="left"/>
            </w:pPr>
            <w:r w:rsidRPr="000F68B8">
              <w:rPr>
                <w:color w:val="000000"/>
              </w:rPr>
              <w:t xml:space="preserve">1,442,285,000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3AE25F3" w14:textId="134D972D">
            <w:pPr>
              <w:tabs>
                <w:tab w:val="decimal" w:pos="330"/>
              </w:tabs>
              <w:jc w:val="left"/>
            </w:pPr>
            <w:r w:rsidRPr="000F68B8">
              <w:rPr>
                <w:color w:val="000000"/>
              </w:rPr>
              <w:t>92.003%</w:t>
            </w:r>
          </w:p>
        </w:tc>
      </w:tr>
      <w:tr w:rsidRPr="002F168A" w:rsidR="000F68B8" w:rsidTr="00921901" w14:paraId="4EA91C7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F8526F3" w14:textId="2C256E08">
            <w:pPr>
              <w:jc w:val="right"/>
            </w:pPr>
            <w:r w:rsidRPr="000F68B8">
              <w:rPr>
                <w:color w:val="000000"/>
              </w:rPr>
              <w:t xml:space="preserve">2.000 </w:t>
            </w:r>
          </w:p>
        </w:tc>
        <w:tc>
          <w:tcPr>
            <w:tcW w:w="1820" w:type="dxa"/>
            <w:tcBorders>
              <w:top w:val="nil"/>
              <w:left w:val="nil"/>
              <w:bottom w:val="nil"/>
              <w:right w:val="nil"/>
            </w:tcBorders>
            <w:shd w:val="clear" w:color="auto" w:fill="auto"/>
            <w:noWrap/>
            <w:vAlign w:val="bottom"/>
          </w:tcPr>
          <w:p w:rsidRPr="000F68B8" w:rsidR="000F68B8" w:rsidP="000F68B8" w:rsidRDefault="000F68B8" w14:paraId="0233F38D" w14:textId="72883EFA">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1E130F56" w14:textId="29F7EB4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5C40290A" w14:textId="095DDF75">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24734A76" w14:textId="63AAFBF1">
            <w:pPr>
              <w:tabs>
                <w:tab w:val="decimal" w:pos="975"/>
              </w:tabs>
              <w:jc w:val="left"/>
            </w:pPr>
            <w:r w:rsidRPr="000F68B8">
              <w:rPr>
                <w:color w:val="000000"/>
              </w:rPr>
              <w:t xml:space="preserve">965,000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75FC64EF" w14:textId="02E3F315">
            <w:pPr>
              <w:tabs>
                <w:tab w:val="decimal" w:pos="1185"/>
              </w:tabs>
              <w:jc w:val="left"/>
            </w:pPr>
            <w:r w:rsidRPr="000F68B8">
              <w:rPr>
                <w:color w:val="000000"/>
              </w:rPr>
              <w:t xml:space="preserve">1,443,250,000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EB91D62" w14:textId="6C609838">
            <w:pPr>
              <w:tabs>
                <w:tab w:val="decimal" w:pos="330"/>
              </w:tabs>
              <w:jc w:val="left"/>
            </w:pPr>
            <w:r w:rsidRPr="000F68B8">
              <w:rPr>
                <w:color w:val="000000"/>
              </w:rPr>
              <w:t>92.065%</w:t>
            </w:r>
          </w:p>
        </w:tc>
      </w:tr>
      <w:tr w:rsidRPr="002F168A" w:rsidR="000F68B8" w:rsidTr="00921901" w14:paraId="2DBB6C1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B54C8F4" w14:textId="32FAFC27">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EAE3420" w14:textId="3D08554E">
            <w:pPr>
              <w:jc w:val="left"/>
            </w:pPr>
            <w:r w:rsidRPr="000F68B8">
              <w:rPr>
                <w:color w:val="000000"/>
              </w:rPr>
              <w:t>2022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6C127049" w14:textId="44C8D1D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A6A975C" w14:textId="7CCB0365">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063D5B33" w14:textId="23F9B98C">
            <w:pPr>
              <w:tabs>
                <w:tab w:val="decimal" w:pos="975"/>
              </w:tabs>
              <w:jc w:val="left"/>
            </w:pPr>
            <w:r w:rsidRPr="000F68B8">
              <w:rPr>
                <w:color w:val="000000"/>
              </w:rPr>
              <w:t xml:space="preserve">1,040,000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AE05E88" w14:textId="1EFB706D">
            <w:pPr>
              <w:tabs>
                <w:tab w:val="decimal" w:pos="1185"/>
              </w:tabs>
              <w:jc w:val="left"/>
            </w:pPr>
            <w:r w:rsidRPr="000F68B8">
              <w:rPr>
                <w:color w:val="000000"/>
              </w:rPr>
              <w:t xml:space="preserve">1,444,290,000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0C9791A7" w14:textId="6E10C124">
            <w:pPr>
              <w:tabs>
                <w:tab w:val="decimal" w:pos="330"/>
              </w:tabs>
              <w:jc w:val="left"/>
            </w:pPr>
            <w:r w:rsidRPr="000F68B8">
              <w:rPr>
                <w:color w:val="000000"/>
              </w:rPr>
              <w:t>92.131%</w:t>
            </w:r>
          </w:p>
        </w:tc>
      </w:tr>
      <w:tr w:rsidRPr="002F168A" w:rsidR="000F68B8" w:rsidTr="00921901" w14:paraId="4B5729C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3B00F9A" w14:textId="0D3D5177">
            <w:pPr>
              <w:jc w:val="right"/>
            </w:pPr>
            <w:r w:rsidRPr="000F68B8">
              <w:rPr>
                <w:color w:val="000000"/>
              </w:rPr>
              <w:t xml:space="preserve">1.950 </w:t>
            </w:r>
          </w:p>
        </w:tc>
        <w:tc>
          <w:tcPr>
            <w:tcW w:w="1820" w:type="dxa"/>
            <w:tcBorders>
              <w:top w:val="nil"/>
              <w:left w:val="nil"/>
              <w:bottom w:val="nil"/>
              <w:right w:val="nil"/>
            </w:tcBorders>
            <w:shd w:val="clear" w:color="auto" w:fill="auto"/>
            <w:noWrap/>
            <w:vAlign w:val="bottom"/>
          </w:tcPr>
          <w:p w:rsidRPr="000F68B8" w:rsidR="000F68B8" w:rsidP="000F68B8" w:rsidRDefault="000F68B8" w14:paraId="44537730" w14:textId="1607608A">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51104A2C" w14:textId="4C1DEA4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8FA5CBD" w14:textId="381EB9D3">
            <w:pPr>
              <w:jc w:val="center"/>
            </w:pPr>
            <w:r w:rsidRPr="000F68B8">
              <w:rPr>
                <w:color w:val="000000"/>
              </w:rPr>
              <w:t>7/1/2035</w:t>
            </w:r>
          </w:p>
        </w:tc>
        <w:tc>
          <w:tcPr>
            <w:tcW w:w="1220" w:type="dxa"/>
            <w:tcBorders>
              <w:top w:val="nil"/>
              <w:left w:val="nil"/>
              <w:bottom w:val="nil"/>
              <w:right w:val="nil"/>
            </w:tcBorders>
            <w:shd w:val="clear" w:color="auto" w:fill="auto"/>
            <w:noWrap/>
            <w:vAlign w:val="bottom"/>
          </w:tcPr>
          <w:p w:rsidRPr="000F68B8" w:rsidR="000F68B8" w:rsidP="000F68B8" w:rsidRDefault="000F68B8" w14:paraId="37C4A7EF" w14:textId="4C59F98D">
            <w:pPr>
              <w:tabs>
                <w:tab w:val="decimal" w:pos="975"/>
              </w:tabs>
              <w:jc w:val="left"/>
            </w:pPr>
            <w:r w:rsidRPr="000F68B8">
              <w:rPr>
                <w:color w:val="000000"/>
              </w:rPr>
              <w:t xml:space="preserve">14,850,000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0E6B5D9C" w14:textId="2A78CC96">
            <w:pPr>
              <w:tabs>
                <w:tab w:val="decimal" w:pos="1185"/>
              </w:tabs>
              <w:jc w:val="left"/>
            </w:pPr>
            <w:r w:rsidRPr="000F68B8">
              <w:rPr>
                <w:color w:val="000000"/>
              </w:rPr>
              <w:t xml:space="preserve">1,459,140,000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7F2DEB9" w14:textId="702766D7">
            <w:pPr>
              <w:tabs>
                <w:tab w:val="decimal" w:pos="330"/>
              </w:tabs>
              <w:jc w:val="left"/>
            </w:pPr>
            <w:r w:rsidRPr="000F68B8">
              <w:rPr>
                <w:color w:val="000000"/>
              </w:rPr>
              <w:t>93.078%</w:t>
            </w:r>
          </w:p>
        </w:tc>
      </w:tr>
      <w:tr w:rsidRPr="002F168A" w:rsidR="000F68B8" w:rsidTr="00921901" w14:paraId="5955A53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F73B13A" w14:textId="046AEF7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0462D3A4" w14:textId="48159230">
            <w:pPr>
              <w:jc w:val="left"/>
            </w:pPr>
            <w:r w:rsidRPr="000F68B8">
              <w:rPr>
                <w:color w:val="000000"/>
              </w:rPr>
              <w:t>2021 SERIES C-1</w:t>
            </w:r>
          </w:p>
        </w:tc>
        <w:tc>
          <w:tcPr>
            <w:tcW w:w="1360" w:type="dxa"/>
            <w:tcBorders>
              <w:top w:val="nil"/>
              <w:left w:val="nil"/>
              <w:bottom w:val="nil"/>
              <w:right w:val="nil"/>
            </w:tcBorders>
            <w:shd w:val="clear" w:color="auto" w:fill="auto"/>
            <w:noWrap/>
            <w:vAlign w:val="bottom"/>
          </w:tcPr>
          <w:p w:rsidRPr="000F68B8" w:rsidR="000F68B8" w:rsidP="000F68B8" w:rsidRDefault="000F68B8" w14:paraId="5E5DFEB0" w14:textId="3436A24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5700840C" w14:textId="55DA99D6">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49D69F98" w14:textId="6ED01616">
            <w:pPr>
              <w:tabs>
                <w:tab w:val="decimal" w:pos="975"/>
              </w:tabs>
              <w:jc w:val="left"/>
            </w:pPr>
            <w:r w:rsidRPr="000F68B8">
              <w:rPr>
                <w:color w:val="000000"/>
              </w:rPr>
              <w:t xml:space="preserve">950,000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49B55EE3" w14:textId="6440D06E">
            <w:pPr>
              <w:tabs>
                <w:tab w:val="decimal" w:pos="1185"/>
              </w:tabs>
              <w:jc w:val="left"/>
            </w:pPr>
            <w:r w:rsidRPr="000F68B8">
              <w:rPr>
                <w:color w:val="000000"/>
              </w:rPr>
              <w:t xml:space="preserve">1,460,090,000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E060E0B" w14:textId="6E5B4A4E">
            <w:pPr>
              <w:tabs>
                <w:tab w:val="decimal" w:pos="330"/>
              </w:tabs>
              <w:jc w:val="left"/>
            </w:pPr>
            <w:r w:rsidRPr="000F68B8">
              <w:rPr>
                <w:color w:val="000000"/>
              </w:rPr>
              <w:t>93.139%</w:t>
            </w:r>
          </w:p>
        </w:tc>
      </w:tr>
      <w:tr w:rsidRPr="002F168A" w:rsidR="000F68B8" w:rsidTr="00921901" w14:paraId="79507A49"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DC531DF" w14:textId="5F6CC40F">
            <w:pPr>
              <w:jc w:val="right"/>
            </w:pPr>
            <w:r w:rsidRPr="000F68B8">
              <w:rPr>
                <w:color w:val="000000"/>
              </w:rPr>
              <w:t xml:space="preserve">1.900 </w:t>
            </w:r>
          </w:p>
        </w:tc>
        <w:tc>
          <w:tcPr>
            <w:tcW w:w="1820" w:type="dxa"/>
            <w:tcBorders>
              <w:top w:val="nil"/>
              <w:left w:val="nil"/>
              <w:bottom w:val="nil"/>
              <w:right w:val="nil"/>
            </w:tcBorders>
            <w:shd w:val="clear" w:color="auto" w:fill="auto"/>
            <w:noWrap/>
            <w:vAlign w:val="bottom"/>
          </w:tcPr>
          <w:p w:rsidRPr="000F68B8" w:rsidR="000F68B8" w:rsidP="000F68B8" w:rsidRDefault="000F68B8" w14:paraId="011713F4" w14:textId="60C07F2F">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6D65263E" w14:textId="4BD60E8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5C7917FA" w14:textId="1BEA17E5">
            <w:pPr>
              <w:jc w:val="center"/>
            </w:pPr>
            <w:r w:rsidRPr="000F68B8">
              <w:rPr>
                <w:color w:val="000000"/>
              </w:rPr>
              <w:t>7/1/2036</w:t>
            </w:r>
          </w:p>
        </w:tc>
        <w:tc>
          <w:tcPr>
            <w:tcW w:w="1220" w:type="dxa"/>
            <w:tcBorders>
              <w:top w:val="nil"/>
              <w:left w:val="nil"/>
              <w:bottom w:val="nil"/>
              <w:right w:val="nil"/>
            </w:tcBorders>
            <w:shd w:val="clear" w:color="auto" w:fill="auto"/>
            <w:noWrap/>
            <w:vAlign w:val="bottom"/>
          </w:tcPr>
          <w:p w:rsidRPr="000F68B8" w:rsidR="000F68B8" w:rsidP="000F68B8" w:rsidRDefault="000F68B8" w14:paraId="2C99B627" w14:textId="12E4389E">
            <w:pPr>
              <w:tabs>
                <w:tab w:val="decimal" w:pos="975"/>
              </w:tabs>
              <w:jc w:val="left"/>
            </w:pPr>
            <w:r w:rsidRPr="000F68B8">
              <w:rPr>
                <w:color w:val="000000"/>
              </w:rPr>
              <w:t xml:space="preserve">5,160,000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FEDB1F7" w14:textId="79F086BD">
            <w:pPr>
              <w:tabs>
                <w:tab w:val="decimal" w:pos="1185"/>
              </w:tabs>
              <w:jc w:val="left"/>
            </w:pPr>
            <w:r w:rsidRPr="000F68B8">
              <w:rPr>
                <w:color w:val="000000"/>
              </w:rPr>
              <w:t xml:space="preserve">1,465,250,000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CD10241" w14:textId="5D4F380D">
            <w:pPr>
              <w:tabs>
                <w:tab w:val="decimal" w:pos="330"/>
              </w:tabs>
              <w:jc w:val="left"/>
            </w:pPr>
            <w:r w:rsidRPr="000F68B8">
              <w:rPr>
                <w:color w:val="000000"/>
              </w:rPr>
              <w:t>93.468%</w:t>
            </w:r>
          </w:p>
        </w:tc>
      </w:tr>
      <w:tr w:rsidRPr="002F168A" w:rsidR="000F68B8" w:rsidTr="00921901" w14:paraId="158BD1A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76DEF6C" w14:textId="6AAA6F4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F86CA64" w14:textId="3EEE423A">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510F3518" w14:textId="07F65A2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F74C098" w14:textId="5BC25E7E">
            <w:pPr>
              <w:jc w:val="center"/>
            </w:pPr>
            <w:r w:rsidRPr="000F68B8">
              <w:rPr>
                <w:color w:val="000000"/>
              </w:rPr>
              <w:t>7/1/2036</w:t>
            </w:r>
          </w:p>
        </w:tc>
        <w:tc>
          <w:tcPr>
            <w:tcW w:w="1220" w:type="dxa"/>
            <w:tcBorders>
              <w:top w:val="nil"/>
              <w:left w:val="nil"/>
              <w:bottom w:val="nil"/>
              <w:right w:val="nil"/>
            </w:tcBorders>
            <w:shd w:val="clear" w:color="auto" w:fill="auto"/>
            <w:noWrap/>
            <w:vAlign w:val="bottom"/>
          </w:tcPr>
          <w:p w:rsidRPr="000F68B8" w:rsidR="000F68B8" w:rsidP="000F68B8" w:rsidRDefault="000F68B8" w14:paraId="4D0D701E" w14:textId="66D907F5">
            <w:pPr>
              <w:tabs>
                <w:tab w:val="decimal" w:pos="975"/>
              </w:tabs>
              <w:jc w:val="left"/>
            </w:pPr>
            <w:r w:rsidRPr="000F68B8">
              <w:rPr>
                <w:color w:val="000000"/>
              </w:rPr>
              <w:t xml:space="preserve">10,690,000 </w:t>
            </w:r>
          </w:p>
        </w:tc>
        <w:tc>
          <w:tcPr>
            <w:tcW w:w="1580" w:type="dxa"/>
            <w:tcBorders>
              <w:top w:val="nil"/>
              <w:left w:val="nil"/>
              <w:bottom w:val="nil"/>
              <w:right w:val="nil"/>
            </w:tcBorders>
            <w:shd w:val="clear" w:color="auto" w:fill="auto"/>
            <w:noWrap/>
            <w:vAlign w:val="bottom"/>
          </w:tcPr>
          <w:p w:rsidRPr="000F68B8" w:rsidR="000F68B8" w:rsidP="000F68B8" w:rsidRDefault="000F68B8" w14:paraId="17931421" w14:textId="0E7B787A">
            <w:pPr>
              <w:tabs>
                <w:tab w:val="decimal" w:pos="1185"/>
              </w:tabs>
              <w:jc w:val="left"/>
            </w:pPr>
            <w:r w:rsidRPr="000F68B8">
              <w:rPr>
                <w:color w:val="000000"/>
              </w:rPr>
              <w:t xml:space="preserve">1,475,940,000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0077F8AE" w14:textId="29AE95FA">
            <w:pPr>
              <w:tabs>
                <w:tab w:val="decimal" w:pos="330"/>
              </w:tabs>
              <w:jc w:val="left"/>
            </w:pPr>
            <w:r w:rsidRPr="000F68B8">
              <w:rPr>
                <w:color w:val="000000"/>
              </w:rPr>
              <w:t>94.150%</w:t>
            </w:r>
          </w:p>
        </w:tc>
      </w:tr>
      <w:tr w:rsidRPr="002F168A" w:rsidR="000F68B8" w:rsidTr="00921901" w14:paraId="3FB0D10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ABB9F19" w14:textId="7DB0A855">
            <w:pPr>
              <w:jc w:val="right"/>
            </w:pPr>
            <w:r w:rsidRPr="000F68B8">
              <w:rPr>
                <w:color w:val="000000"/>
              </w:rPr>
              <w:t xml:space="preserve">1.875 </w:t>
            </w:r>
          </w:p>
        </w:tc>
        <w:tc>
          <w:tcPr>
            <w:tcW w:w="1820" w:type="dxa"/>
            <w:tcBorders>
              <w:top w:val="nil"/>
              <w:left w:val="nil"/>
              <w:bottom w:val="nil"/>
              <w:right w:val="nil"/>
            </w:tcBorders>
            <w:shd w:val="clear" w:color="auto" w:fill="auto"/>
            <w:noWrap/>
            <w:vAlign w:val="bottom"/>
          </w:tcPr>
          <w:p w:rsidRPr="000F68B8" w:rsidR="000F68B8" w:rsidP="000F68B8" w:rsidRDefault="000F68B8" w14:paraId="5AD33C26" w14:textId="31AF774D">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74B7753D" w14:textId="696DE0E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D199388" w14:textId="58B4129A">
            <w:pPr>
              <w:jc w:val="center"/>
            </w:pPr>
            <w:r w:rsidRPr="000F68B8">
              <w:rPr>
                <w:color w:val="000000"/>
              </w:rPr>
              <w:t>7/1/2033</w:t>
            </w:r>
          </w:p>
        </w:tc>
        <w:tc>
          <w:tcPr>
            <w:tcW w:w="1220" w:type="dxa"/>
            <w:tcBorders>
              <w:top w:val="nil"/>
              <w:left w:val="nil"/>
              <w:bottom w:val="nil"/>
              <w:right w:val="nil"/>
            </w:tcBorders>
            <w:shd w:val="clear" w:color="auto" w:fill="auto"/>
            <w:noWrap/>
            <w:vAlign w:val="bottom"/>
          </w:tcPr>
          <w:p w:rsidRPr="000F68B8" w:rsidR="000F68B8" w:rsidP="000F68B8" w:rsidRDefault="000F68B8" w14:paraId="193D9150" w14:textId="1C773373">
            <w:pPr>
              <w:tabs>
                <w:tab w:val="decimal" w:pos="975"/>
              </w:tabs>
              <w:jc w:val="left"/>
            </w:pPr>
            <w:r w:rsidRPr="000F68B8">
              <w:rPr>
                <w:color w:val="000000"/>
              </w:rPr>
              <w:t xml:space="preserve">1,680,000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9FC79C9" w14:textId="4EBF8100">
            <w:pPr>
              <w:tabs>
                <w:tab w:val="decimal" w:pos="1185"/>
              </w:tabs>
              <w:jc w:val="left"/>
            </w:pPr>
            <w:r w:rsidRPr="000F68B8">
              <w:rPr>
                <w:color w:val="000000"/>
              </w:rPr>
              <w:t xml:space="preserve">1,477,620,000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5D8F80D" w14:textId="3B6A28B3">
            <w:pPr>
              <w:tabs>
                <w:tab w:val="decimal" w:pos="330"/>
              </w:tabs>
              <w:jc w:val="left"/>
            </w:pPr>
            <w:r w:rsidRPr="000F68B8">
              <w:rPr>
                <w:color w:val="000000"/>
              </w:rPr>
              <w:t>94.257%</w:t>
            </w:r>
          </w:p>
        </w:tc>
      </w:tr>
      <w:tr w:rsidRPr="002F168A" w:rsidR="000F68B8" w:rsidTr="00921901" w14:paraId="2CD4932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911D396" w14:textId="39F41FC9">
            <w:pPr>
              <w:jc w:val="right"/>
            </w:pPr>
            <w:r w:rsidRPr="000F68B8">
              <w:rPr>
                <w:color w:val="000000"/>
              </w:rPr>
              <w:t xml:space="preserve">1.850 </w:t>
            </w:r>
          </w:p>
        </w:tc>
        <w:tc>
          <w:tcPr>
            <w:tcW w:w="1820" w:type="dxa"/>
            <w:tcBorders>
              <w:top w:val="nil"/>
              <w:left w:val="nil"/>
              <w:bottom w:val="nil"/>
              <w:right w:val="nil"/>
            </w:tcBorders>
            <w:shd w:val="clear" w:color="auto" w:fill="auto"/>
            <w:noWrap/>
            <w:vAlign w:val="bottom"/>
          </w:tcPr>
          <w:p w:rsidRPr="000F68B8" w:rsidR="000F68B8" w:rsidP="000F68B8" w:rsidRDefault="000F68B8" w14:paraId="6BEF1ACC" w14:textId="6722F133">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4EE4073C" w14:textId="64E609B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CF65DD8" w14:textId="536DD088">
            <w:pPr>
              <w:jc w:val="center"/>
            </w:pPr>
            <w:r w:rsidRPr="000F68B8">
              <w:rPr>
                <w:color w:val="000000"/>
              </w:rPr>
              <w:t>1/1/2033</w:t>
            </w:r>
          </w:p>
        </w:tc>
        <w:tc>
          <w:tcPr>
            <w:tcW w:w="1220" w:type="dxa"/>
            <w:tcBorders>
              <w:top w:val="nil"/>
              <w:left w:val="nil"/>
              <w:bottom w:val="nil"/>
              <w:right w:val="nil"/>
            </w:tcBorders>
            <w:shd w:val="clear" w:color="auto" w:fill="auto"/>
            <w:noWrap/>
            <w:vAlign w:val="bottom"/>
          </w:tcPr>
          <w:p w:rsidRPr="000F68B8" w:rsidR="000F68B8" w:rsidP="000F68B8" w:rsidRDefault="000F68B8" w14:paraId="327AE12A" w14:textId="4B681622">
            <w:pPr>
              <w:tabs>
                <w:tab w:val="decimal" w:pos="975"/>
              </w:tabs>
              <w:jc w:val="left"/>
            </w:pPr>
            <w:r w:rsidRPr="000F68B8">
              <w:rPr>
                <w:color w:val="000000"/>
              </w:rPr>
              <w:t xml:space="preserve">1,645,000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F1CDCDA" w14:textId="10FAFF4C">
            <w:pPr>
              <w:tabs>
                <w:tab w:val="decimal" w:pos="1185"/>
              </w:tabs>
              <w:jc w:val="left"/>
            </w:pPr>
            <w:r w:rsidRPr="000F68B8">
              <w:rPr>
                <w:color w:val="000000"/>
              </w:rPr>
              <w:t xml:space="preserve">1,479,265,000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015173D0" w14:textId="38C7A86B">
            <w:pPr>
              <w:tabs>
                <w:tab w:val="decimal" w:pos="330"/>
              </w:tabs>
              <w:jc w:val="left"/>
            </w:pPr>
            <w:r w:rsidRPr="000F68B8">
              <w:rPr>
                <w:color w:val="000000"/>
              </w:rPr>
              <w:t>94.362%</w:t>
            </w:r>
          </w:p>
        </w:tc>
      </w:tr>
      <w:tr w:rsidRPr="002F168A" w:rsidR="000F68B8" w:rsidTr="00921901" w14:paraId="601A6E1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A268E31" w14:textId="380F2E40">
            <w:pPr>
              <w:jc w:val="right"/>
            </w:pPr>
            <w:r w:rsidRPr="000F68B8">
              <w:rPr>
                <w:color w:val="000000"/>
              </w:rPr>
              <w:t xml:space="preserve">1.800 </w:t>
            </w:r>
          </w:p>
        </w:tc>
        <w:tc>
          <w:tcPr>
            <w:tcW w:w="1820" w:type="dxa"/>
            <w:tcBorders>
              <w:top w:val="nil"/>
              <w:left w:val="nil"/>
              <w:bottom w:val="nil"/>
              <w:right w:val="nil"/>
            </w:tcBorders>
            <w:shd w:val="clear" w:color="auto" w:fill="auto"/>
            <w:noWrap/>
            <w:vAlign w:val="bottom"/>
          </w:tcPr>
          <w:p w:rsidRPr="000F68B8" w:rsidR="000F68B8" w:rsidP="000F68B8" w:rsidRDefault="000F68B8" w14:paraId="5429BB6D" w14:textId="1500FFC4">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60082554" w14:textId="59551361">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38CF476" w14:textId="2B2B651C">
            <w:pPr>
              <w:jc w:val="center"/>
            </w:pPr>
            <w:r w:rsidRPr="000F68B8">
              <w:rPr>
                <w:color w:val="000000"/>
              </w:rPr>
              <w:t>1/1/2033</w:t>
            </w:r>
          </w:p>
        </w:tc>
        <w:tc>
          <w:tcPr>
            <w:tcW w:w="1220" w:type="dxa"/>
            <w:tcBorders>
              <w:top w:val="nil"/>
              <w:left w:val="nil"/>
              <w:bottom w:val="nil"/>
              <w:right w:val="nil"/>
            </w:tcBorders>
            <w:shd w:val="clear" w:color="auto" w:fill="auto"/>
            <w:noWrap/>
            <w:vAlign w:val="bottom"/>
          </w:tcPr>
          <w:p w:rsidRPr="000F68B8" w:rsidR="000F68B8" w:rsidP="000F68B8" w:rsidRDefault="000F68B8" w14:paraId="418B30C1" w14:textId="698CFB4D">
            <w:pPr>
              <w:tabs>
                <w:tab w:val="decimal" w:pos="975"/>
              </w:tabs>
              <w:jc w:val="left"/>
            </w:pPr>
            <w:r w:rsidRPr="000F68B8">
              <w:rPr>
                <w:color w:val="000000"/>
              </w:rPr>
              <w:t xml:space="preserve">795,000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3DA2672" w14:textId="4F7FDBC8">
            <w:pPr>
              <w:tabs>
                <w:tab w:val="decimal" w:pos="1185"/>
              </w:tabs>
              <w:jc w:val="left"/>
            </w:pPr>
            <w:r w:rsidRPr="000F68B8">
              <w:rPr>
                <w:color w:val="000000"/>
              </w:rPr>
              <w:t xml:space="preserve">1,480,060,000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3019E16" w14:textId="10426DB5">
            <w:pPr>
              <w:tabs>
                <w:tab w:val="decimal" w:pos="330"/>
              </w:tabs>
              <w:jc w:val="left"/>
            </w:pPr>
            <w:r w:rsidRPr="000F68B8">
              <w:rPr>
                <w:color w:val="000000"/>
              </w:rPr>
              <w:t>94.413%</w:t>
            </w:r>
          </w:p>
        </w:tc>
      </w:tr>
      <w:tr w:rsidRPr="002F168A" w:rsidR="000F68B8" w:rsidTr="00921901" w14:paraId="1FD596D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D9DD226" w14:textId="396E0FDD">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A93B760" w14:textId="364B81AC">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2FEEA0DD" w14:textId="255C695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09E0098" w14:textId="3DF55871">
            <w:pPr>
              <w:jc w:val="center"/>
            </w:pPr>
            <w:r w:rsidRPr="000F68B8">
              <w:rPr>
                <w:color w:val="000000"/>
              </w:rPr>
              <w:t>7/1/2033</w:t>
            </w:r>
          </w:p>
        </w:tc>
        <w:tc>
          <w:tcPr>
            <w:tcW w:w="1220" w:type="dxa"/>
            <w:tcBorders>
              <w:top w:val="nil"/>
              <w:left w:val="nil"/>
              <w:bottom w:val="nil"/>
              <w:right w:val="nil"/>
            </w:tcBorders>
            <w:shd w:val="clear" w:color="auto" w:fill="auto"/>
            <w:noWrap/>
            <w:vAlign w:val="bottom"/>
          </w:tcPr>
          <w:p w:rsidRPr="000F68B8" w:rsidR="000F68B8" w:rsidP="000F68B8" w:rsidRDefault="000F68B8" w14:paraId="7889BDE7" w14:textId="0950DDCC">
            <w:pPr>
              <w:tabs>
                <w:tab w:val="decimal" w:pos="975"/>
              </w:tabs>
              <w:jc w:val="left"/>
            </w:pPr>
            <w:r w:rsidRPr="000F68B8">
              <w:rPr>
                <w:color w:val="000000"/>
              </w:rPr>
              <w:t xml:space="preserve">810,000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7473C54" w14:textId="4B897021">
            <w:pPr>
              <w:tabs>
                <w:tab w:val="decimal" w:pos="1185"/>
              </w:tabs>
              <w:jc w:val="left"/>
            </w:pPr>
            <w:r w:rsidRPr="000F68B8">
              <w:rPr>
                <w:color w:val="000000"/>
              </w:rPr>
              <w:t xml:space="preserve">1,480,870,000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2E254A1" w14:textId="068DC1EF">
            <w:pPr>
              <w:tabs>
                <w:tab w:val="decimal" w:pos="330"/>
              </w:tabs>
              <w:jc w:val="left"/>
            </w:pPr>
            <w:r w:rsidRPr="000F68B8">
              <w:rPr>
                <w:color w:val="000000"/>
              </w:rPr>
              <w:t>94.464%</w:t>
            </w:r>
          </w:p>
        </w:tc>
      </w:tr>
      <w:tr w:rsidRPr="002F168A" w:rsidR="000F68B8" w:rsidTr="00921901" w14:paraId="5113480C"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6823E7D" w14:textId="4E63571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DA42631" w14:textId="51E270C6">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0D59E50B" w14:textId="59C27CF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CB49629" w14:textId="4D0EE1BF">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46F18174" w14:textId="6EC81E5F">
            <w:pPr>
              <w:tabs>
                <w:tab w:val="decimal" w:pos="975"/>
              </w:tabs>
              <w:jc w:val="left"/>
            </w:pPr>
            <w:r w:rsidRPr="000F68B8">
              <w:rPr>
                <w:color w:val="000000"/>
              </w:rPr>
              <w:t xml:space="preserve">1,620,000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A0021D2" w14:textId="16694433">
            <w:pPr>
              <w:tabs>
                <w:tab w:val="decimal" w:pos="1185"/>
              </w:tabs>
              <w:jc w:val="left"/>
            </w:pPr>
            <w:r w:rsidRPr="000F68B8">
              <w:rPr>
                <w:color w:val="000000"/>
              </w:rPr>
              <w:t xml:space="preserve">1,482,490,000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21E5799" w14:textId="79C6A7E7">
            <w:pPr>
              <w:tabs>
                <w:tab w:val="decimal" w:pos="330"/>
              </w:tabs>
              <w:jc w:val="left"/>
            </w:pPr>
            <w:r w:rsidRPr="000F68B8">
              <w:rPr>
                <w:color w:val="000000"/>
              </w:rPr>
              <w:t>94.568%</w:t>
            </w:r>
          </w:p>
        </w:tc>
      </w:tr>
      <w:tr w:rsidRPr="002F168A" w:rsidR="000F68B8" w:rsidTr="00921901" w14:paraId="727F3B1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73BF31A" w14:textId="5169D831">
            <w:pPr>
              <w:jc w:val="right"/>
            </w:pPr>
            <w:r w:rsidRPr="000F68B8">
              <w:rPr>
                <w:color w:val="000000"/>
              </w:rPr>
              <w:t xml:space="preserve">1.750 </w:t>
            </w:r>
          </w:p>
        </w:tc>
        <w:tc>
          <w:tcPr>
            <w:tcW w:w="1820" w:type="dxa"/>
            <w:tcBorders>
              <w:top w:val="nil"/>
              <w:left w:val="nil"/>
              <w:bottom w:val="nil"/>
              <w:right w:val="nil"/>
            </w:tcBorders>
            <w:shd w:val="clear" w:color="auto" w:fill="auto"/>
            <w:noWrap/>
            <w:vAlign w:val="bottom"/>
          </w:tcPr>
          <w:p w:rsidRPr="000F68B8" w:rsidR="000F68B8" w:rsidP="000F68B8" w:rsidRDefault="000F68B8" w14:paraId="31EA0131" w14:textId="506D1CE5">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793C78FB" w14:textId="235F909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FFA40A1" w14:textId="7C7AE5A7">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5E8E1550" w14:textId="0657C621">
            <w:pPr>
              <w:tabs>
                <w:tab w:val="decimal" w:pos="975"/>
              </w:tabs>
              <w:jc w:val="left"/>
            </w:pPr>
            <w:r w:rsidRPr="000F68B8">
              <w:rPr>
                <w:color w:val="000000"/>
              </w:rPr>
              <w:t xml:space="preserve">2,310,000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0BD47A14" w14:textId="1046779B">
            <w:pPr>
              <w:tabs>
                <w:tab w:val="decimal" w:pos="1185"/>
              </w:tabs>
              <w:jc w:val="left"/>
            </w:pPr>
            <w:r w:rsidRPr="000F68B8">
              <w:rPr>
                <w:color w:val="000000"/>
              </w:rPr>
              <w:t xml:space="preserve">1,484,800,000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15C06D6" w14:textId="6A279240">
            <w:pPr>
              <w:tabs>
                <w:tab w:val="decimal" w:pos="330"/>
              </w:tabs>
              <w:jc w:val="left"/>
            </w:pPr>
            <w:r w:rsidRPr="000F68B8">
              <w:rPr>
                <w:color w:val="000000"/>
              </w:rPr>
              <w:t>94.715%</w:t>
            </w:r>
          </w:p>
        </w:tc>
      </w:tr>
      <w:tr w:rsidRPr="002F168A" w:rsidR="000F68B8" w:rsidTr="00921901" w14:paraId="37425A7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AD22C26" w14:textId="6497AD16">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BF48925" w14:textId="121AA8E5">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5F3E1406" w14:textId="08D3695C">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B93243C" w14:textId="6FD8B31A">
            <w:pPr>
              <w:jc w:val="center"/>
            </w:pPr>
            <w:r w:rsidRPr="000F68B8">
              <w:rPr>
                <w:color w:val="000000"/>
              </w:rPr>
              <w:t>7/1/2032</w:t>
            </w:r>
          </w:p>
        </w:tc>
        <w:tc>
          <w:tcPr>
            <w:tcW w:w="1220" w:type="dxa"/>
            <w:tcBorders>
              <w:top w:val="nil"/>
              <w:left w:val="nil"/>
              <w:bottom w:val="nil"/>
              <w:right w:val="nil"/>
            </w:tcBorders>
            <w:shd w:val="clear" w:color="auto" w:fill="auto"/>
            <w:noWrap/>
            <w:vAlign w:val="bottom"/>
          </w:tcPr>
          <w:p w:rsidRPr="000F68B8" w:rsidR="000F68B8" w:rsidP="000F68B8" w:rsidRDefault="000F68B8" w14:paraId="06E20DE2" w14:textId="62D97596">
            <w:pPr>
              <w:tabs>
                <w:tab w:val="decimal" w:pos="975"/>
              </w:tabs>
              <w:jc w:val="left"/>
            </w:pPr>
            <w:r w:rsidRPr="000F68B8">
              <w:rPr>
                <w:color w:val="000000"/>
              </w:rPr>
              <w:t xml:space="preserve">785,000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93B42C9" w14:textId="2AE65423">
            <w:pPr>
              <w:tabs>
                <w:tab w:val="decimal" w:pos="1185"/>
              </w:tabs>
              <w:jc w:val="left"/>
            </w:pPr>
            <w:r w:rsidRPr="000F68B8">
              <w:rPr>
                <w:color w:val="000000"/>
              </w:rPr>
              <w:t xml:space="preserve">1,485,585,000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17DEEE3" w14:textId="48906838">
            <w:pPr>
              <w:tabs>
                <w:tab w:val="decimal" w:pos="330"/>
              </w:tabs>
              <w:jc w:val="left"/>
            </w:pPr>
            <w:r w:rsidRPr="000F68B8">
              <w:rPr>
                <w:color w:val="000000"/>
              </w:rPr>
              <w:t>94.765%</w:t>
            </w:r>
          </w:p>
        </w:tc>
      </w:tr>
      <w:tr w:rsidRPr="002F168A" w:rsidR="000F68B8" w:rsidTr="00921901" w14:paraId="70F5E65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B3DEEB1" w14:textId="29D8044D">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1FAE44C" w14:textId="3130A029">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41153C4F" w14:textId="3CA47B9F">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6B7708C" w14:textId="48903C4C">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2665A080" w14:textId="029D3940">
            <w:pPr>
              <w:tabs>
                <w:tab w:val="decimal" w:pos="975"/>
              </w:tabs>
              <w:jc w:val="left"/>
            </w:pPr>
            <w:r w:rsidRPr="000F68B8">
              <w:rPr>
                <w:color w:val="000000"/>
              </w:rPr>
              <w:t xml:space="preserve">1,585,000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3CB08B9" w14:textId="69C148DD">
            <w:pPr>
              <w:tabs>
                <w:tab w:val="decimal" w:pos="1185"/>
              </w:tabs>
              <w:jc w:val="left"/>
            </w:pPr>
            <w:r w:rsidRPr="000F68B8">
              <w:rPr>
                <w:color w:val="000000"/>
              </w:rPr>
              <w:t xml:space="preserve">1,487,170,000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F1A59DA" w14:textId="49A44E2A">
            <w:pPr>
              <w:tabs>
                <w:tab w:val="decimal" w:pos="330"/>
              </w:tabs>
              <w:jc w:val="left"/>
            </w:pPr>
            <w:r w:rsidRPr="000F68B8">
              <w:rPr>
                <w:color w:val="000000"/>
              </w:rPr>
              <w:t>94.866%</w:t>
            </w:r>
          </w:p>
        </w:tc>
      </w:tr>
      <w:tr w:rsidRPr="002F168A" w:rsidR="000F68B8" w:rsidTr="00921901" w14:paraId="499898B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031E5C9" w14:textId="638E1521">
            <w:pPr>
              <w:jc w:val="right"/>
            </w:pPr>
            <w:r w:rsidRPr="000F68B8">
              <w:rPr>
                <w:color w:val="000000"/>
              </w:rPr>
              <w:t xml:space="preserve">1.700 </w:t>
            </w:r>
          </w:p>
        </w:tc>
        <w:tc>
          <w:tcPr>
            <w:tcW w:w="1820" w:type="dxa"/>
            <w:tcBorders>
              <w:top w:val="nil"/>
              <w:left w:val="nil"/>
              <w:bottom w:val="nil"/>
              <w:right w:val="nil"/>
            </w:tcBorders>
            <w:shd w:val="clear" w:color="auto" w:fill="auto"/>
            <w:noWrap/>
            <w:vAlign w:val="bottom"/>
          </w:tcPr>
          <w:p w:rsidRPr="000F68B8" w:rsidR="000F68B8" w:rsidP="000F68B8" w:rsidRDefault="000F68B8" w14:paraId="75493ACA" w14:textId="23B59626">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561515E" w14:textId="3B20C5B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517B51E6" w14:textId="43CD863C">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0301BABA" w14:textId="41449460">
            <w:pPr>
              <w:tabs>
                <w:tab w:val="decimal" w:pos="975"/>
              </w:tabs>
              <w:jc w:val="left"/>
            </w:pPr>
            <w:r w:rsidRPr="000F68B8">
              <w:rPr>
                <w:color w:val="000000"/>
              </w:rPr>
              <w:t xml:space="preserve">2,270,000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46520B3" w14:textId="48A17A37">
            <w:pPr>
              <w:tabs>
                <w:tab w:val="decimal" w:pos="1185"/>
              </w:tabs>
              <w:jc w:val="left"/>
            </w:pPr>
            <w:r w:rsidRPr="000F68B8">
              <w:rPr>
                <w:color w:val="000000"/>
              </w:rPr>
              <w:t xml:space="preserve">1,489,440,000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66A45688" w14:textId="1B874F55">
            <w:pPr>
              <w:tabs>
                <w:tab w:val="decimal" w:pos="330"/>
              </w:tabs>
              <w:jc w:val="left"/>
            </w:pPr>
            <w:r w:rsidRPr="000F68B8">
              <w:rPr>
                <w:color w:val="000000"/>
              </w:rPr>
              <w:t>95.011%</w:t>
            </w:r>
          </w:p>
        </w:tc>
      </w:tr>
      <w:tr w:rsidRPr="002F168A" w:rsidR="000F68B8" w:rsidTr="00921901" w14:paraId="1743AB8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360D83A" w14:textId="5CCD7C90">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553F3B3" w14:textId="32EC269A">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20B8F092" w14:textId="12A52D4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1F1E302" w14:textId="24BA53D3">
            <w:pPr>
              <w:jc w:val="center"/>
            </w:pPr>
            <w:r w:rsidRPr="000F68B8">
              <w:rPr>
                <w:color w:val="000000"/>
              </w:rPr>
              <w:t>1/1/2032</w:t>
            </w:r>
          </w:p>
        </w:tc>
        <w:tc>
          <w:tcPr>
            <w:tcW w:w="1220" w:type="dxa"/>
            <w:tcBorders>
              <w:top w:val="nil"/>
              <w:left w:val="nil"/>
              <w:bottom w:val="nil"/>
              <w:right w:val="nil"/>
            </w:tcBorders>
            <w:shd w:val="clear" w:color="auto" w:fill="auto"/>
            <w:noWrap/>
            <w:vAlign w:val="bottom"/>
          </w:tcPr>
          <w:p w:rsidRPr="000F68B8" w:rsidR="000F68B8" w:rsidP="000F68B8" w:rsidRDefault="000F68B8" w14:paraId="679EB8FD" w14:textId="58D51B0B">
            <w:pPr>
              <w:tabs>
                <w:tab w:val="decimal" w:pos="975"/>
              </w:tabs>
              <w:jc w:val="left"/>
            </w:pPr>
            <w:r w:rsidRPr="000F68B8">
              <w:rPr>
                <w:color w:val="000000"/>
              </w:rPr>
              <w:t xml:space="preserve">775,000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F2BA617" w14:textId="521B9BED">
            <w:pPr>
              <w:tabs>
                <w:tab w:val="decimal" w:pos="1185"/>
              </w:tabs>
              <w:jc w:val="left"/>
            </w:pPr>
            <w:r w:rsidRPr="000F68B8">
              <w:rPr>
                <w:color w:val="000000"/>
              </w:rPr>
              <w:t xml:space="preserve">1,490,215,000 </w:t>
            </w:r>
          </w:p>
        </w:tc>
        <w:tc>
          <w:tcPr>
            <w:tcW w:w="1160" w:type="dxa"/>
            <w:tcBorders>
              <w:top w:val="nil"/>
              <w:left w:val="nil"/>
              <w:bottom w:val="nil"/>
              <w:right w:val="nil"/>
            </w:tcBorders>
            <w:shd w:val="clear" w:color="auto" w:fill="auto"/>
            <w:noWrap/>
            <w:vAlign w:val="bottom"/>
          </w:tcPr>
          <w:p w:rsidRPr="000F68B8" w:rsidR="000F68B8" w:rsidP="000F68B8" w:rsidRDefault="000F68B8" w14:paraId="588F9493" w14:textId="2F84F4D7">
            <w:pPr>
              <w:tabs>
                <w:tab w:val="decimal" w:pos="330"/>
              </w:tabs>
              <w:jc w:val="left"/>
            </w:pPr>
            <w:r w:rsidRPr="000F68B8">
              <w:rPr>
                <w:color w:val="000000"/>
              </w:rPr>
              <w:t>95.060%</w:t>
            </w:r>
          </w:p>
        </w:tc>
      </w:tr>
      <w:tr w:rsidRPr="002F168A" w:rsidR="000F68B8" w:rsidTr="00921901" w14:paraId="23D37F9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C287BF1" w14:textId="2866605E">
            <w:pPr>
              <w:jc w:val="right"/>
            </w:pPr>
            <w:r w:rsidRPr="000F68B8">
              <w:rPr>
                <w:color w:val="000000"/>
              </w:rPr>
              <w:t xml:space="preserve">1.650 </w:t>
            </w:r>
          </w:p>
        </w:tc>
        <w:tc>
          <w:tcPr>
            <w:tcW w:w="1820" w:type="dxa"/>
            <w:tcBorders>
              <w:top w:val="nil"/>
              <w:left w:val="nil"/>
              <w:bottom w:val="nil"/>
              <w:right w:val="nil"/>
            </w:tcBorders>
            <w:shd w:val="clear" w:color="auto" w:fill="auto"/>
            <w:noWrap/>
            <w:vAlign w:val="bottom"/>
          </w:tcPr>
          <w:p w:rsidRPr="000F68B8" w:rsidR="000F68B8" w:rsidP="000F68B8" w:rsidRDefault="000F68B8" w14:paraId="5827833F" w14:textId="758E1159">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7EE2F8A6" w14:textId="0239D2F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46A06AB" w14:textId="64CF2BC8">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528EAC74" w14:textId="2A867B04">
            <w:pPr>
              <w:tabs>
                <w:tab w:val="decimal" w:pos="975"/>
              </w:tabs>
              <w:jc w:val="left"/>
            </w:pPr>
            <w:r w:rsidRPr="000F68B8">
              <w:rPr>
                <w:color w:val="000000"/>
              </w:rPr>
              <w:t xml:space="preserve">2,230,000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467AD248" w14:textId="5C61AC39">
            <w:pPr>
              <w:tabs>
                <w:tab w:val="decimal" w:pos="1185"/>
              </w:tabs>
              <w:jc w:val="left"/>
            </w:pPr>
            <w:r w:rsidRPr="000F68B8">
              <w:rPr>
                <w:color w:val="000000"/>
              </w:rPr>
              <w:t xml:space="preserve">1,492,445,000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0E1DC76" w14:textId="2E787845">
            <w:pPr>
              <w:tabs>
                <w:tab w:val="decimal" w:pos="330"/>
              </w:tabs>
              <w:jc w:val="left"/>
            </w:pPr>
            <w:r w:rsidRPr="000F68B8">
              <w:rPr>
                <w:color w:val="000000"/>
              </w:rPr>
              <w:t>95.203%</w:t>
            </w:r>
          </w:p>
        </w:tc>
      </w:tr>
      <w:tr w:rsidRPr="002F168A" w:rsidR="000F68B8" w:rsidTr="00921901" w14:paraId="13499D9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C30C5BD" w14:textId="7A8BC652">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61E9E7B" w14:textId="3BEDA0BD">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2FB29EB7" w14:textId="046070F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27F97A3" w14:textId="075B179C">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23E93B28" w14:textId="1939F7B6">
            <w:pPr>
              <w:tabs>
                <w:tab w:val="decimal" w:pos="975"/>
              </w:tabs>
              <w:jc w:val="left"/>
            </w:pPr>
            <w:r w:rsidRPr="000F68B8">
              <w:rPr>
                <w:color w:val="000000"/>
              </w:rPr>
              <w:t xml:space="preserve">755,000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58F3995" w14:textId="4E796EFB">
            <w:pPr>
              <w:tabs>
                <w:tab w:val="decimal" w:pos="1185"/>
              </w:tabs>
              <w:jc w:val="left"/>
            </w:pPr>
            <w:r w:rsidRPr="000F68B8">
              <w:rPr>
                <w:color w:val="000000"/>
              </w:rPr>
              <w:t xml:space="preserve">1,493,200,000 </w:t>
            </w:r>
          </w:p>
        </w:tc>
        <w:tc>
          <w:tcPr>
            <w:tcW w:w="1160" w:type="dxa"/>
            <w:tcBorders>
              <w:top w:val="nil"/>
              <w:left w:val="nil"/>
              <w:bottom w:val="nil"/>
              <w:right w:val="nil"/>
            </w:tcBorders>
            <w:shd w:val="clear" w:color="auto" w:fill="auto"/>
            <w:noWrap/>
            <w:vAlign w:val="bottom"/>
          </w:tcPr>
          <w:p w:rsidRPr="000F68B8" w:rsidR="000F68B8" w:rsidP="000F68B8" w:rsidRDefault="000F68B8" w14:paraId="22A0F0FB" w14:textId="5560C6B1">
            <w:pPr>
              <w:tabs>
                <w:tab w:val="decimal" w:pos="330"/>
              </w:tabs>
              <w:jc w:val="left"/>
            </w:pPr>
            <w:r w:rsidRPr="000F68B8">
              <w:rPr>
                <w:color w:val="000000"/>
              </w:rPr>
              <w:t>95.251%</w:t>
            </w:r>
          </w:p>
        </w:tc>
      </w:tr>
      <w:tr w:rsidRPr="002F168A" w:rsidR="000F68B8" w:rsidTr="00921901" w14:paraId="016C197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FA90E7B" w14:textId="5F441F43">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039D59BB" w14:textId="72AE77E7">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468814A1" w14:textId="17E2CFC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D8C3914" w14:textId="0063E4F7">
            <w:pPr>
              <w:jc w:val="center"/>
            </w:pPr>
            <w:r w:rsidRPr="000F68B8">
              <w:rPr>
                <w:color w:val="000000"/>
              </w:rPr>
              <w:t>7/1/2031</w:t>
            </w:r>
          </w:p>
        </w:tc>
        <w:tc>
          <w:tcPr>
            <w:tcW w:w="1220" w:type="dxa"/>
            <w:tcBorders>
              <w:top w:val="nil"/>
              <w:left w:val="nil"/>
              <w:bottom w:val="nil"/>
              <w:right w:val="nil"/>
            </w:tcBorders>
            <w:shd w:val="clear" w:color="auto" w:fill="auto"/>
            <w:noWrap/>
            <w:vAlign w:val="bottom"/>
          </w:tcPr>
          <w:p w:rsidRPr="000F68B8" w:rsidR="000F68B8" w:rsidP="000F68B8" w:rsidRDefault="000F68B8" w14:paraId="3776B73E" w14:textId="4EC2BA8D">
            <w:pPr>
              <w:tabs>
                <w:tab w:val="decimal" w:pos="975"/>
              </w:tabs>
              <w:jc w:val="left"/>
            </w:pPr>
            <w:r w:rsidRPr="000F68B8">
              <w:rPr>
                <w:color w:val="000000"/>
              </w:rPr>
              <w:t xml:space="preserve">1,565,000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60608C7B" w14:textId="62218D82">
            <w:pPr>
              <w:tabs>
                <w:tab w:val="decimal" w:pos="1185"/>
              </w:tabs>
              <w:jc w:val="left"/>
            </w:pPr>
            <w:r w:rsidRPr="000F68B8">
              <w:rPr>
                <w:color w:val="000000"/>
              </w:rPr>
              <w:t xml:space="preserve">1,494,765,000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2FA250B" w14:textId="04C9B844">
            <w:pPr>
              <w:tabs>
                <w:tab w:val="decimal" w:pos="330"/>
              </w:tabs>
              <w:jc w:val="left"/>
            </w:pPr>
            <w:r w:rsidRPr="000F68B8">
              <w:rPr>
                <w:color w:val="000000"/>
              </w:rPr>
              <w:t>95.351%</w:t>
            </w:r>
          </w:p>
        </w:tc>
      </w:tr>
      <w:tr w:rsidRPr="002F168A" w:rsidR="000F68B8" w:rsidTr="00921901" w14:paraId="7E986A4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1ABF1A3" w14:textId="157B6942">
            <w:pPr>
              <w:jc w:val="right"/>
            </w:pPr>
            <w:r w:rsidRPr="000F68B8">
              <w:rPr>
                <w:color w:val="000000"/>
              </w:rPr>
              <w:t xml:space="preserve">1.600 </w:t>
            </w:r>
          </w:p>
        </w:tc>
        <w:tc>
          <w:tcPr>
            <w:tcW w:w="1820" w:type="dxa"/>
            <w:tcBorders>
              <w:top w:val="nil"/>
              <w:left w:val="nil"/>
              <w:bottom w:val="nil"/>
              <w:right w:val="nil"/>
            </w:tcBorders>
            <w:shd w:val="clear" w:color="auto" w:fill="auto"/>
            <w:noWrap/>
            <w:vAlign w:val="bottom"/>
          </w:tcPr>
          <w:p w:rsidRPr="000F68B8" w:rsidR="000F68B8" w:rsidP="000F68B8" w:rsidRDefault="000F68B8" w14:paraId="3C61B81B" w14:textId="2B7510F1">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0BE0BF01" w14:textId="72C5D240">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80C2FA7" w14:textId="072D00A3">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168CEC8B" w14:textId="49D6B193">
            <w:pPr>
              <w:tabs>
                <w:tab w:val="decimal" w:pos="975"/>
              </w:tabs>
              <w:jc w:val="left"/>
            </w:pPr>
            <w:r w:rsidRPr="000F68B8">
              <w:rPr>
                <w:color w:val="000000"/>
              </w:rPr>
              <w:t xml:space="preserve">2,185,000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75B3FED" w14:textId="30654FAB">
            <w:pPr>
              <w:tabs>
                <w:tab w:val="decimal" w:pos="1185"/>
              </w:tabs>
              <w:jc w:val="left"/>
            </w:pPr>
            <w:r w:rsidRPr="000F68B8">
              <w:rPr>
                <w:color w:val="000000"/>
              </w:rPr>
              <w:t xml:space="preserve">1,496,950,000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2B0401D" w14:textId="4CE0E021">
            <w:pPr>
              <w:tabs>
                <w:tab w:val="decimal" w:pos="330"/>
              </w:tabs>
              <w:jc w:val="left"/>
            </w:pPr>
            <w:r w:rsidRPr="000F68B8">
              <w:rPr>
                <w:color w:val="000000"/>
              </w:rPr>
              <w:t>95.490%</w:t>
            </w:r>
          </w:p>
        </w:tc>
      </w:tr>
      <w:tr w:rsidRPr="002F168A" w:rsidR="000F68B8" w:rsidTr="00921901" w14:paraId="1A4EF4D3"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4316E67" w14:textId="3A81CA8A">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77651C1D" w14:textId="3C183B33">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7CF4754D" w14:textId="21A08D57">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944F30C" w14:textId="5761ACDD">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752CF8BC" w14:textId="660338F3">
            <w:pPr>
              <w:tabs>
                <w:tab w:val="decimal" w:pos="975"/>
              </w:tabs>
              <w:jc w:val="left"/>
            </w:pPr>
            <w:r w:rsidRPr="000F68B8">
              <w:rPr>
                <w:color w:val="000000"/>
              </w:rPr>
              <w:t xml:space="preserve">750,000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94F3B48" w14:textId="0DA3146D">
            <w:pPr>
              <w:tabs>
                <w:tab w:val="decimal" w:pos="1185"/>
              </w:tabs>
              <w:jc w:val="left"/>
            </w:pPr>
            <w:r w:rsidRPr="000F68B8">
              <w:rPr>
                <w:color w:val="000000"/>
              </w:rPr>
              <w:t xml:space="preserve">1,497,700,000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FA22414" w14:textId="14F4C9DE">
            <w:pPr>
              <w:tabs>
                <w:tab w:val="decimal" w:pos="330"/>
              </w:tabs>
              <w:jc w:val="left"/>
            </w:pPr>
            <w:r w:rsidRPr="000F68B8">
              <w:rPr>
                <w:color w:val="000000"/>
              </w:rPr>
              <w:t>95.538%</w:t>
            </w:r>
          </w:p>
        </w:tc>
      </w:tr>
      <w:tr w:rsidRPr="002F168A" w:rsidR="000F68B8" w:rsidTr="00921901" w14:paraId="0BEA086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E05C258" w14:textId="2043E780">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DFD9B8F" w14:textId="12C4ED1C">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4545A4E0" w14:textId="6C3CC02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BD2FCBE" w14:textId="5B5D28FB">
            <w:pPr>
              <w:jc w:val="center"/>
            </w:pPr>
            <w:r w:rsidRPr="000F68B8">
              <w:rPr>
                <w:color w:val="000000"/>
              </w:rPr>
              <w:t>1/1/2031</w:t>
            </w:r>
          </w:p>
        </w:tc>
        <w:tc>
          <w:tcPr>
            <w:tcW w:w="1220" w:type="dxa"/>
            <w:tcBorders>
              <w:top w:val="nil"/>
              <w:left w:val="nil"/>
              <w:bottom w:val="nil"/>
              <w:right w:val="nil"/>
            </w:tcBorders>
            <w:shd w:val="clear" w:color="auto" w:fill="auto"/>
            <w:noWrap/>
            <w:vAlign w:val="bottom"/>
          </w:tcPr>
          <w:p w:rsidRPr="000F68B8" w:rsidR="000F68B8" w:rsidP="000F68B8" w:rsidRDefault="000F68B8" w14:paraId="0836D6EC" w14:textId="4C0574F6">
            <w:pPr>
              <w:tabs>
                <w:tab w:val="decimal" w:pos="975"/>
              </w:tabs>
              <w:jc w:val="left"/>
            </w:pPr>
            <w:r w:rsidRPr="000F68B8">
              <w:rPr>
                <w:color w:val="000000"/>
              </w:rPr>
              <w:t xml:space="preserve">1,535,000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ADFE3AB" w14:textId="1F5CFBE3">
            <w:pPr>
              <w:tabs>
                <w:tab w:val="decimal" w:pos="1185"/>
              </w:tabs>
              <w:jc w:val="left"/>
            </w:pPr>
            <w:r w:rsidRPr="000F68B8">
              <w:rPr>
                <w:color w:val="000000"/>
              </w:rPr>
              <w:t xml:space="preserve">1,499,235,000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A2DD8FC" w14:textId="6FB5D71B">
            <w:pPr>
              <w:tabs>
                <w:tab w:val="decimal" w:pos="330"/>
              </w:tabs>
              <w:jc w:val="left"/>
            </w:pPr>
            <w:r w:rsidRPr="000F68B8">
              <w:rPr>
                <w:color w:val="000000"/>
              </w:rPr>
              <w:t>95.636%</w:t>
            </w:r>
          </w:p>
        </w:tc>
      </w:tr>
      <w:tr w:rsidRPr="002F168A" w:rsidR="000F68B8" w:rsidTr="00921901" w14:paraId="474185E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44AB09E" w14:textId="05976FFD">
            <w:pPr>
              <w:jc w:val="right"/>
            </w:pPr>
            <w:r w:rsidRPr="000F68B8">
              <w:rPr>
                <w:color w:val="000000"/>
              </w:rPr>
              <w:t xml:space="preserve">1.550 </w:t>
            </w:r>
          </w:p>
        </w:tc>
        <w:tc>
          <w:tcPr>
            <w:tcW w:w="1820" w:type="dxa"/>
            <w:tcBorders>
              <w:top w:val="nil"/>
              <w:left w:val="nil"/>
              <w:bottom w:val="nil"/>
              <w:right w:val="nil"/>
            </w:tcBorders>
            <w:shd w:val="clear" w:color="auto" w:fill="auto"/>
            <w:noWrap/>
            <w:vAlign w:val="bottom"/>
          </w:tcPr>
          <w:p w:rsidRPr="000F68B8" w:rsidR="000F68B8" w:rsidP="000F68B8" w:rsidRDefault="000F68B8" w14:paraId="60666BFF" w14:textId="65FA8B2C">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544A043B" w14:textId="46083559">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691292B" w14:textId="59486658">
            <w:pPr>
              <w:jc w:val="center"/>
            </w:pPr>
            <w:r w:rsidRPr="000F68B8">
              <w:rPr>
                <w:color w:val="000000"/>
              </w:rPr>
              <w:t>7/1/2030</w:t>
            </w:r>
          </w:p>
        </w:tc>
        <w:tc>
          <w:tcPr>
            <w:tcW w:w="1220" w:type="dxa"/>
            <w:tcBorders>
              <w:top w:val="nil"/>
              <w:left w:val="nil"/>
              <w:bottom w:val="nil"/>
              <w:right w:val="nil"/>
            </w:tcBorders>
            <w:shd w:val="clear" w:color="auto" w:fill="auto"/>
            <w:noWrap/>
            <w:vAlign w:val="bottom"/>
          </w:tcPr>
          <w:p w:rsidRPr="000F68B8" w:rsidR="000F68B8" w:rsidP="000F68B8" w:rsidRDefault="000F68B8" w14:paraId="79E53960" w14:textId="7621CC05">
            <w:pPr>
              <w:tabs>
                <w:tab w:val="decimal" w:pos="975"/>
              </w:tabs>
              <w:jc w:val="left"/>
            </w:pPr>
            <w:r w:rsidRPr="000F68B8">
              <w:rPr>
                <w:color w:val="000000"/>
              </w:rPr>
              <w:t xml:space="preserve">2,140,000 </w:t>
            </w:r>
          </w:p>
        </w:tc>
        <w:tc>
          <w:tcPr>
            <w:tcW w:w="1580" w:type="dxa"/>
            <w:tcBorders>
              <w:top w:val="nil"/>
              <w:left w:val="nil"/>
              <w:bottom w:val="nil"/>
              <w:right w:val="nil"/>
            </w:tcBorders>
            <w:shd w:val="clear" w:color="auto" w:fill="auto"/>
            <w:noWrap/>
            <w:vAlign w:val="bottom"/>
          </w:tcPr>
          <w:p w:rsidRPr="000F68B8" w:rsidR="000F68B8" w:rsidP="000F68B8" w:rsidRDefault="000F68B8" w14:paraId="69D70126" w14:textId="5FF9B16C">
            <w:pPr>
              <w:tabs>
                <w:tab w:val="decimal" w:pos="1185"/>
              </w:tabs>
              <w:jc w:val="left"/>
            </w:pPr>
            <w:r w:rsidRPr="000F68B8">
              <w:rPr>
                <w:color w:val="000000"/>
              </w:rPr>
              <w:t xml:space="preserve">1,501,375,000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853F095" w14:textId="564272F0">
            <w:pPr>
              <w:tabs>
                <w:tab w:val="decimal" w:pos="330"/>
              </w:tabs>
              <w:jc w:val="left"/>
            </w:pPr>
            <w:r w:rsidRPr="000F68B8">
              <w:rPr>
                <w:color w:val="000000"/>
              </w:rPr>
              <w:t>95.772%</w:t>
            </w:r>
          </w:p>
        </w:tc>
      </w:tr>
      <w:tr w:rsidRPr="002F168A" w:rsidR="000F68B8" w:rsidTr="00921901" w14:paraId="4E94B6E4"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78D876D" w14:textId="1DAFFEC6">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B91107A" w14:textId="1560E8EB">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7731F4C7" w14:textId="6CBF7CDD">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52887C0A" w14:textId="7A45190A">
            <w:pPr>
              <w:jc w:val="center"/>
            </w:pPr>
            <w:r w:rsidRPr="000F68B8">
              <w:rPr>
                <w:color w:val="000000"/>
              </w:rPr>
              <w:t>7/1/2030</w:t>
            </w:r>
          </w:p>
        </w:tc>
        <w:tc>
          <w:tcPr>
            <w:tcW w:w="1220" w:type="dxa"/>
            <w:tcBorders>
              <w:top w:val="nil"/>
              <w:left w:val="nil"/>
              <w:bottom w:val="nil"/>
              <w:right w:val="nil"/>
            </w:tcBorders>
            <w:shd w:val="clear" w:color="auto" w:fill="auto"/>
            <w:noWrap/>
            <w:vAlign w:val="bottom"/>
          </w:tcPr>
          <w:p w:rsidRPr="000F68B8" w:rsidR="000F68B8" w:rsidP="000F68B8" w:rsidRDefault="000F68B8" w14:paraId="590B6E50" w14:textId="0A315476">
            <w:pPr>
              <w:tabs>
                <w:tab w:val="decimal" w:pos="975"/>
              </w:tabs>
              <w:jc w:val="left"/>
            </w:pPr>
            <w:r w:rsidRPr="000F68B8">
              <w:rPr>
                <w:color w:val="000000"/>
              </w:rPr>
              <w:t xml:space="preserve">1,505,000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693D55F" w14:textId="0DB103B1">
            <w:pPr>
              <w:tabs>
                <w:tab w:val="decimal" w:pos="1185"/>
              </w:tabs>
              <w:jc w:val="left"/>
            </w:pPr>
            <w:r w:rsidRPr="000F68B8">
              <w:rPr>
                <w:color w:val="000000"/>
              </w:rPr>
              <w:t xml:space="preserve">1,502,880,000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06D5CFB" w14:textId="15723BB0">
            <w:pPr>
              <w:tabs>
                <w:tab w:val="decimal" w:pos="330"/>
              </w:tabs>
              <w:jc w:val="left"/>
            </w:pPr>
            <w:r w:rsidRPr="000F68B8">
              <w:rPr>
                <w:color w:val="000000"/>
              </w:rPr>
              <w:t>95.868%</w:t>
            </w:r>
          </w:p>
        </w:tc>
      </w:tr>
      <w:tr w:rsidRPr="002F168A" w:rsidR="000F68B8" w:rsidTr="00921901" w14:paraId="4BE3322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EE6C8E8" w14:textId="071DCC9E">
            <w:pPr>
              <w:jc w:val="right"/>
            </w:pPr>
            <w:r w:rsidRPr="000F68B8">
              <w:rPr>
                <w:color w:val="000000"/>
              </w:rPr>
              <w:t xml:space="preserve">1.500 </w:t>
            </w:r>
          </w:p>
        </w:tc>
        <w:tc>
          <w:tcPr>
            <w:tcW w:w="1820" w:type="dxa"/>
            <w:tcBorders>
              <w:top w:val="nil"/>
              <w:left w:val="nil"/>
              <w:bottom w:val="nil"/>
              <w:right w:val="nil"/>
            </w:tcBorders>
            <w:shd w:val="clear" w:color="auto" w:fill="auto"/>
            <w:noWrap/>
            <w:vAlign w:val="bottom"/>
          </w:tcPr>
          <w:p w:rsidRPr="000F68B8" w:rsidR="000F68B8" w:rsidP="000F68B8" w:rsidRDefault="000F68B8" w14:paraId="56B65601" w14:textId="07D17C6D">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2C0E4985" w14:textId="134DC7C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B272F09" w14:textId="3D5791A6">
            <w:pPr>
              <w:jc w:val="center"/>
            </w:pPr>
            <w:r w:rsidRPr="000F68B8">
              <w:rPr>
                <w:color w:val="000000"/>
              </w:rPr>
              <w:t>1/1/2030</w:t>
            </w:r>
          </w:p>
        </w:tc>
        <w:tc>
          <w:tcPr>
            <w:tcW w:w="1220" w:type="dxa"/>
            <w:tcBorders>
              <w:top w:val="nil"/>
              <w:left w:val="nil"/>
              <w:bottom w:val="nil"/>
              <w:right w:val="nil"/>
            </w:tcBorders>
            <w:shd w:val="clear" w:color="auto" w:fill="auto"/>
            <w:noWrap/>
            <w:vAlign w:val="bottom"/>
          </w:tcPr>
          <w:p w:rsidRPr="000F68B8" w:rsidR="000F68B8" w:rsidP="000F68B8" w:rsidRDefault="000F68B8" w14:paraId="69443D31" w14:textId="74FEEBE3">
            <w:pPr>
              <w:tabs>
                <w:tab w:val="decimal" w:pos="975"/>
              </w:tabs>
              <w:jc w:val="left"/>
            </w:pPr>
            <w:r w:rsidRPr="000F68B8">
              <w:rPr>
                <w:color w:val="000000"/>
              </w:rPr>
              <w:t xml:space="preserve">2,105,000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79EC613B" w14:textId="59AC51F9">
            <w:pPr>
              <w:tabs>
                <w:tab w:val="decimal" w:pos="1185"/>
              </w:tabs>
              <w:jc w:val="left"/>
            </w:pPr>
            <w:r w:rsidRPr="000F68B8">
              <w:rPr>
                <w:color w:val="000000"/>
              </w:rPr>
              <w:t xml:space="preserve">1,504,985,000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C5B0BDE" w14:textId="757CD865">
            <w:pPr>
              <w:tabs>
                <w:tab w:val="decimal" w:pos="330"/>
              </w:tabs>
              <w:jc w:val="left"/>
            </w:pPr>
            <w:r w:rsidRPr="000F68B8">
              <w:rPr>
                <w:color w:val="000000"/>
              </w:rPr>
              <w:t>96.003%</w:t>
            </w:r>
          </w:p>
        </w:tc>
      </w:tr>
      <w:tr w:rsidRPr="002F168A" w:rsidR="000F68B8" w:rsidTr="00921901" w14:paraId="0F13BB0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628AA89" w14:textId="1D3F6C78">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1233572" w14:textId="14122A6A">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5EC60A90" w14:textId="7FD9E91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E902055" w14:textId="11479B92">
            <w:pPr>
              <w:jc w:val="center"/>
            </w:pPr>
            <w:r w:rsidRPr="000F68B8">
              <w:rPr>
                <w:color w:val="000000"/>
              </w:rPr>
              <w:t>1/1/2030</w:t>
            </w:r>
          </w:p>
        </w:tc>
        <w:tc>
          <w:tcPr>
            <w:tcW w:w="1220" w:type="dxa"/>
            <w:tcBorders>
              <w:top w:val="nil"/>
              <w:left w:val="nil"/>
              <w:bottom w:val="nil"/>
              <w:right w:val="nil"/>
            </w:tcBorders>
            <w:shd w:val="clear" w:color="auto" w:fill="auto"/>
            <w:noWrap/>
            <w:vAlign w:val="bottom"/>
          </w:tcPr>
          <w:p w:rsidRPr="000F68B8" w:rsidR="000F68B8" w:rsidP="000F68B8" w:rsidRDefault="000F68B8" w14:paraId="2A355DE8" w14:textId="0132676B">
            <w:pPr>
              <w:tabs>
                <w:tab w:val="decimal" w:pos="975"/>
              </w:tabs>
              <w:jc w:val="left"/>
            </w:pPr>
            <w:r w:rsidRPr="000F68B8">
              <w:rPr>
                <w:color w:val="000000"/>
              </w:rPr>
              <w:t xml:space="preserve">1,480,000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C605F07" w14:textId="384F9029">
            <w:pPr>
              <w:tabs>
                <w:tab w:val="decimal" w:pos="1185"/>
              </w:tabs>
              <w:jc w:val="left"/>
            </w:pPr>
            <w:r w:rsidRPr="000F68B8">
              <w:rPr>
                <w:color w:val="000000"/>
              </w:rPr>
              <w:t xml:space="preserve">1,506,465,000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782A6FE6" w14:textId="30EBD7CE">
            <w:pPr>
              <w:tabs>
                <w:tab w:val="decimal" w:pos="330"/>
              </w:tabs>
              <w:jc w:val="left"/>
            </w:pPr>
            <w:r w:rsidRPr="000F68B8">
              <w:rPr>
                <w:color w:val="000000"/>
              </w:rPr>
              <w:t>96.097%</w:t>
            </w:r>
          </w:p>
        </w:tc>
      </w:tr>
      <w:tr w:rsidRPr="002F168A" w:rsidR="000F68B8" w:rsidTr="00921901" w14:paraId="17BE5A1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5D04313" w14:textId="60C262B1">
            <w:pPr>
              <w:jc w:val="right"/>
            </w:pPr>
            <w:r w:rsidRPr="000F68B8">
              <w:rPr>
                <w:color w:val="000000"/>
              </w:rPr>
              <w:t xml:space="preserve">1.450 </w:t>
            </w:r>
          </w:p>
        </w:tc>
        <w:tc>
          <w:tcPr>
            <w:tcW w:w="1820" w:type="dxa"/>
            <w:tcBorders>
              <w:top w:val="nil"/>
              <w:left w:val="nil"/>
              <w:bottom w:val="nil"/>
              <w:right w:val="nil"/>
            </w:tcBorders>
            <w:shd w:val="clear" w:color="auto" w:fill="auto"/>
            <w:noWrap/>
            <w:vAlign w:val="bottom"/>
          </w:tcPr>
          <w:p w:rsidRPr="000F68B8" w:rsidR="000F68B8" w:rsidP="000F68B8" w:rsidRDefault="000F68B8" w14:paraId="11AA0AB9" w14:textId="34174ECC">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436A0504" w14:textId="2285753A">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554F51EE" w14:textId="2F948AFE">
            <w:pPr>
              <w:jc w:val="center"/>
            </w:pPr>
            <w:r w:rsidRPr="000F68B8">
              <w:rPr>
                <w:color w:val="000000"/>
              </w:rPr>
              <w:t>7/1/2029</w:t>
            </w:r>
          </w:p>
        </w:tc>
        <w:tc>
          <w:tcPr>
            <w:tcW w:w="1220" w:type="dxa"/>
            <w:tcBorders>
              <w:top w:val="nil"/>
              <w:left w:val="nil"/>
              <w:bottom w:val="nil"/>
              <w:right w:val="nil"/>
            </w:tcBorders>
            <w:shd w:val="clear" w:color="auto" w:fill="auto"/>
            <w:noWrap/>
            <w:vAlign w:val="bottom"/>
          </w:tcPr>
          <w:p w:rsidRPr="000F68B8" w:rsidR="000F68B8" w:rsidP="000F68B8" w:rsidRDefault="000F68B8" w14:paraId="5F06EB61" w14:textId="261C7AFB">
            <w:pPr>
              <w:tabs>
                <w:tab w:val="decimal" w:pos="975"/>
              </w:tabs>
              <w:jc w:val="left"/>
            </w:pPr>
            <w:r w:rsidRPr="000F68B8">
              <w:rPr>
                <w:color w:val="000000"/>
              </w:rPr>
              <w:t xml:space="preserve">2,065,000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780D2DD" w14:textId="70AED18B">
            <w:pPr>
              <w:tabs>
                <w:tab w:val="decimal" w:pos="1185"/>
              </w:tabs>
              <w:jc w:val="left"/>
            </w:pPr>
            <w:r w:rsidRPr="000F68B8">
              <w:rPr>
                <w:color w:val="000000"/>
              </w:rPr>
              <w:t xml:space="preserve">1,508,530,000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4262DF9" w14:textId="62ECB74F">
            <w:pPr>
              <w:tabs>
                <w:tab w:val="decimal" w:pos="330"/>
              </w:tabs>
              <w:jc w:val="left"/>
            </w:pPr>
            <w:r w:rsidRPr="000F68B8">
              <w:rPr>
                <w:color w:val="000000"/>
              </w:rPr>
              <w:t>96.229%</w:t>
            </w:r>
          </w:p>
        </w:tc>
      </w:tr>
      <w:tr w:rsidRPr="002F168A" w:rsidR="000F68B8" w:rsidTr="00921901" w14:paraId="25063B6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FB9AC63" w14:textId="6CCF23C3">
            <w:pPr>
              <w:jc w:val="right"/>
            </w:pPr>
            <w:r w:rsidRPr="000F68B8">
              <w:rPr>
                <w:color w:val="000000"/>
              </w:rPr>
              <w:t xml:space="preserve">1.400 </w:t>
            </w:r>
          </w:p>
        </w:tc>
        <w:tc>
          <w:tcPr>
            <w:tcW w:w="1820" w:type="dxa"/>
            <w:tcBorders>
              <w:top w:val="nil"/>
              <w:left w:val="nil"/>
              <w:bottom w:val="nil"/>
              <w:right w:val="nil"/>
            </w:tcBorders>
            <w:shd w:val="clear" w:color="auto" w:fill="auto"/>
            <w:noWrap/>
            <w:vAlign w:val="bottom"/>
          </w:tcPr>
          <w:p w:rsidRPr="000F68B8" w:rsidR="000F68B8" w:rsidP="000F68B8" w:rsidRDefault="000F68B8" w14:paraId="211731A7" w14:textId="379EC5C1">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11D8856C" w14:textId="0F7DF44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A834B17" w14:textId="053F0F31">
            <w:pPr>
              <w:jc w:val="center"/>
            </w:pPr>
            <w:r w:rsidRPr="000F68B8">
              <w:rPr>
                <w:color w:val="000000"/>
              </w:rPr>
              <w:t>1/1/2029</w:t>
            </w:r>
          </w:p>
        </w:tc>
        <w:tc>
          <w:tcPr>
            <w:tcW w:w="1220" w:type="dxa"/>
            <w:tcBorders>
              <w:top w:val="nil"/>
              <w:left w:val="nil"/>
              <w:bottom w:val="nil"/>
              <w:right w:val="nil"/>
            </w:tcBorders>
            <w:shd w:val="clear" w:color="auto" w:fill="auto"/>
            <w:noWrap/>
            <w:vAlign w:val="bottom"/>
          </w:tcPr>
          <w:p w:rsidRPr="000F68B8" w:rsidR="000F68B8" w:rsidP="000F68B8" w:rsidRDefault="000F68B8" w14:paraId="59E47670" w14:textId="6FBBB859">
            <w:pPr>
              <w:tabs>
                <w:tab w:val="decimal" w:pos="975"/>
              </w:tabs>
              <w:jc w:val="left"/>
            </w:pPr>
            <w:r w:rsidRPr="000F68B8">
              <w:rPr>
                <w:color w:val="000000"/>
              </w:rPr>
              <w:t xml:space="preserve">2,025,000 </w:t>
            </w:r>
          </w:p>
        </w:tc>
        <w:tc>
          <w:tcPr>
            <w:tcW w:w="1580" w:type="dxa"/>
            <w:tcBorders>
              <w:top w:val="nil"/>
              <w:left w:val="nil"/>
              <w:bottom w:val="nil"/>
              <w:right w:val="nil"/>
            </w:tcBorders>
            <w:shd w:val="clear" w:color="auto" w:fill="auto"/>
            <w:noWrap/>
            <w:vAlign w:val="bottom"/>
          </w:tcPr>
          <w:p w:rsidRPr="000F68B8" w:rsidR="000F68B8" w:rsidP="000F68B8" w:rsidRDefault="000F68B8" w14:paraId="2CA092A9" w14:textId="72D7F05D">
            <w:pPr>
              <w:tabs>
                <w:tab w:val="decimal" w:pos="1185"/>
              </w:tabs>
              <w:jc w:val="left"/>
            </w:pPr>
            <w:r w:rsidRPr="000F68B8">
              <w:rPr>
                <w:color w:val="000000"/>
              </w:rPr>
              <w:t xml:space="preserve">1,510,555,000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7272D6B" w14:textId="172CE7EB">
            <w:pPr>
              <w:tabs>
                <w:tab w:val="decimal" w:pos="330"/>
              </w:tabs>
              <w:jc w:val="left"/>
            </w:pPr>
            <w:r w:rsidRPr="000F68B8">
              <w:rPr>
                <w:color w:val="000000"/>
              </w:rPr>
              <w:t>96.358%</w:t>
            </w:r>
          </w:p>
        </w:tc>
      </w:tr>
      <w:tr w:rsidRPr="002F168A" w:rsidR="000F68B8" w:rsidTr="00921901" w14:paraId="0E558652"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713534FE" w14:textId="619BD3DE">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213EEDA9" w14:textId="088DB926">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063029C4" w14:textId="20ABE7E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0BEEE9E" w14:textId="46CB5028">
            <w:pPr>
              <w:jc w:val="center"/>
            </w:pPr>
            <w:r w:rsidRPr="000F68B8">
              <w:rPr>
                <w:color w:val="000000"/>
              </w:rPr>
              <w:t>7/1/2030</w:t>
            </w:r>
          </w:p>
        </w:tc>
        <w:tc>
          <w:tcPr>
            <w:tcW w:w="1220" w:type="dxa"/>
            <w:tcBorders>
              <w:top w:val="nil"/>
              <w:left w:val="nil"/>
              <w:bottom w:val="nil"/>
              <w:right w:val="nil"/>
            </w:tcBorders>
            <w:shd w:val="clear" w:color="auto" w:fill="auto"/>
            <w:noWrap/>
            <w:vAlign w:val="bottom"/>
          </w:tcPr>
          <w:p w:rsidRPr="000F68B8" w:rsidR="000F68B8" w:rsidP="000F68B8" w:rsidRDefault="000F68B8" w14:paraId="37D4CF88" w14:textId="180F02AB">
            <w:pPr>
              <w:tabs>
                <w:tab w:val="decimal" w:pos="975"/>
              </w:tabs>
              <w:jc w:val="left"/>
            </w:pPr>
            <w:r w:rsidRPr="000F68B8">
              <w:rPr>
                <w:color w:val="000000"/>
              </w:rPr>
              <w:t xml:space="preserve">735,000 </w:t>
            </w:r>
          </w:p>
        </w:tc>
        <w:tc>
          <w:tcPr>
            <w:tcW w:w="1580" w:type="dxa"/>
            <w:tcBorders>
              <w:top w:val="nil"/>
              <w:left w:val="nil"/>
              <w:bottom w:val="nil"/>
              <w:right w:val="nil"/>
            </w:tcBorders>
            <w:shd w:val="clear" w:color="auto" w:fill="auto"/>
            <w:noWrap/>
            <w:vAlign w:val="bottom"/>
          </w:tcPr>
          <w:p w:rsidRPr="000F68B8" w:rsidR="000F68B8" w:rsidP="000F68B8" w:rsidRDefault="000F68B8" w14:paraId="7A2A6DB8" w14:textId="1E681AF9">
            <w:pPr>
              <w:tabs>
                <w:tab w:val="decimal" w:pos="1185"/>
              </w:tabs>
              <w:jc w:val="left"/>
            </w:pPr>
            <w:r w:rsidRPr="000F68B8">
              <w:rPr>
                <w:color w:val="000000"/>
              </w:rPr>
              <w:t xml:space="preserve">1,511,290,000 </w:t>
            </w:r>
          </w:p>
        </w:tc>
        <w:tc>
          <w:tcPr>
            <w:tcW w:w="1160" w:type="dxa"/>
            <w:tcBorders>
              <w:top w:val="nil"/>
              <w:left w:val="nil"/>
              <w:bottom w:val="nil"/>
              <w:right w:val="nil"/>
            </w:tcBorders>
            <w:shd w:val="clear" w:color="auto" w:fill="auto"/>
            <w:noWrap/>
            <w:vAlign w:val="bottom"/>
          </w:tcPr>
          <w:p w:rsidRPr="000F68B8" w:rsidR="000F68B8" w:rsidP="000F68B8" w:rsidRDefault="000F68B8" w14:paraId="48C024ED" w14:textId="49F8592F">
            <w:pPr>
              <w:tabs>
                <w:tab w:val="decimal" w:pos="330"/>
              </w:tabs>
              <w:jc w:val="left"/>
            </w:pPr>
            <w:r w:rsidRPr="000F68B8">
              <w:rPr>
                <w:color w:val="000000"/>
              </w:rPr>
              <w:t>96.405%</w:t>
            </w:r>
          </w:p>
        </w:tc>
      </w:tr>
      <w:tr w:rsidRPr="002F168A" w:rsidR="000F68B8" w:rsidTr="00921901" w14:paraId="1E9D3E3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2A6AD26" w14:textId="321BD85F">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1F4D4686" w14:textId="09666770">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72975399" w14:textId="5AFAF6F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26F1B61" w14:textId="1DB80A8C">
            <w:pPr>
              <w:jc w:val="center"/>
            </w:pPr>
            <w:r w:rsidRPr="000F68B8">
              <w:rPr>
                <w:color w:val="000000"/>
              </w:rPr>
              <w:t>7/1/2029</w:t>
            </w:r>
          </w:p>
        </w:tc>
        <w:tc>
          <w:tcPr>
            <w:tcW w:w="1220" w:type="dxa"/>
            <w:tcBorders>
              <w:top w:val="nil"/>
              <w:left w:val="nil"/>
              <w:bottom w:val="nil"/>
              <w:right w:val="nil"/>
            </w:tcBorders>
            <w:shd w:val="clear" w:color="auto" w:fill="auto"/>
            <w:noWrap/>
            <w:vAlign w:val="bottom"/>
          </w:tcPr>
          <w:p w:rsidRPr="000F68B8" w:rsidR="000F68B8" w:rsidP="000F68B8" w:rsidRDefault="000F68B8" w14:paraId="6B7A2962" w14:textId="0B237355">
            <w:pPr>
              <w:tabs>
                <w:tab w:val="decimal" w:pos="975"/>
              </w:tabs>
              <w:jc w:val="left"/>
            </w:pPr>
            <w:r w:rsidRPr="000F68B8">
              <w:rPr>
                <w:color w:val="000000"/>
              </w:rPr>
              <w:t xml:space="preserve">1,455,000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489289F0" w14:textId="74ED6A9C">
            <w:pPr>
              <w:tabs>
                <w:tab w:val="decimal" w:pos="1185"/>
              </w:tabs>
              <w:jc w:val="left"/>
            </w:pPr>
            <w:r w:rsidRPr="000F68B8">
              <w:rPr>
                <w:color w:val="000000"/>
              </w:rPr>
              <w:t xml:space="preserve">1,512,745,000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38C2A769" w14:textId="3C2ADE34">
            <w:pPr>
              <w:tabs>
                <w:tab w:val="decimal" w:pos="330"/>
              </w:tabs>
              <w:jc w:val="left"/>
            </w:pPr>
            <w:r w:rsidRPr="000F68B8">
              <w:rPr>
                <w:color w:val="000000"/>
              </w:rPr>
              <w:t>96.498%</w:t>
            </w:r>
          </w:p>
        </w:tc>
      </w:tr>
      <w:tr w:rsidRPr="002F168A" w:rsidR="000F68B8" w:rsidTr="00921901" w14:paraId="10FD9E6F"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4CFEDCB1" w14:textId="05032178">
            <w:pPr>
              <w:jc w:val="right"/>
            </w:pPr>
            <w:r w:rsidRPr="000F68B8">
              <w:rPr>
                <w:color w:val="000000"/>
              </w:rPr>
              <w:t xml:space="preserve">1.350 </w:t>
            </w:r>
          </w:p>
        </w:tc>
        <w:tc>
          <w:tcPr>
            <w:tcW w:w="1820" w:type="dxa"/>
            <w:tcBorders>
              <w:top w:val="nil"/>
              <w:left w:val="nil"/>
              <w:bottom w:val="nil"/>
              <w:right w:val="nil"/>
            </w:tcBorders>
            <w:shd w:val="clear" w:color="auto" w:fill="auto"/>
            <w:noWrap/>
            <w:vAlign w:val="bottom"/>
          </w:tcPr>
          <w:p w:rsidRPr="000F68B8" w:rsidR="000F68B8" w:rsidP="000F68B8" w:rsidRDefault="000F68B8" w14:paraId="68653FD9" w14:textId="2B1E76DC">
            <w:pPr>
              <w:jc w:val="left"/>
            </w:pPr>
            <w:r w:rsidRPr="000F68B8">
              <w:rPr>
                <w:color w:val="000000"/>
              </w:rPr>
              <w:t>2021 SERIES A</w:t>
            </w:r>
          </w:p>
        </w:tc>
        <w:tc>
          <w:tcPr>
            <w:tcW w:w="1360" w:type="dxa"/>
            <w:tcBorders>
              <w:top w:val="nil"/>
              <w:left w:val="nil"/>
              <w:bottom w:val="nil"/>
              <w:right w:val="nil"/>
            </w:tcBorders>
            <w:shd w:val="clear" w:color="auto" w:fill="auto"/>
            <w:noWrap/>
            <w:vAlign w:val="bottom"/>
          </w:tcPr>
          <w:p w:rsidRPr="000F68B8" w:rsidR="000F68B8" w:rsidP="000F68B8" w:rsidRDefault="000F68B8" w14:paraId="0F4F67F6" w14:textId="2D53B302">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74541311" w14:textId="22E33B35">
            <w:pPr>
              <w:jc w:val="center"/>
            </w:pPr>
            <w:r w:rsidRPr="000F68B8">
              <w:rPr>
                <w:color w:val="000000"/>
              </w:rPr>
              <w:t>1/1/2030</w:t>
            </w:r>
          </w:p>
        </w:tc>
        <w:tc>
          <w:tcPr>
            <w:tcW w:w="1220" w:type="dxa"/>
            <w:tcBorders>
              <w:top w:val="nil"/>
              <w:left w:val="nil"/>
              <w:bottom w:val="nil"/>
              <w:right w:val="nil"/>
            </w:tcBorders>
            <w:shd w:val="clear" w:color="auto" w:fill="auto"/>
            <w:noWrap/>
            <w:vAlign w:val="bottom"/>
          </w:tcPr>
          <w:p w:rsidRPr="000F68B8" w:rsidR="000F68B8" w:rsidP="000F68B8" w:rsidRDefault="000F68B8" w14:paraId="586C770C" w14:textId="0A385293">
            <w:pPr>
              <w:tabs>
                <w:tab w:val="decimal" w:pos="975"/>
              </w:tabs>
              <w:jc w:val="left"/>
            </w:pPr>
            <w:r w:rsidRPr="000F68B8">
              <w:rPr>
                <w:color w:val="000000"/>
              </w:rPr>
              <w:t xml:space="preserve">720,000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41FFB92" w14:textId="68D10A66">
            <w:pPr>
              <w:tabs>
                <w:tab w:val="decimal" w:pos="1185"/>
              </w:tabs>
              <w:jc w:val="left"/>
            </w:pPr>
            <w:r w:rsidRPr="000F68B8">
              <w:rPr>
                <w:color w:val="000000"/>
              </w:rPr>
              <w:t xml:space="preserve">1,513,465,000 </w:t>
            </w:r>
          </w:p>
        </w:tc>
        <w:tc>
          <w:tcPr>
            <w:tcW w:w="1160" w:type="dxa"/>
            <w:tcBorders>
              <w:top w:val="nil"/>
              <w:left w:val="nil"/>
              <w:bottom w:val="nil"/>
              <w:right w:val="nil"/>
            </w:tcBorders>
            <w:shd w:val="clear" w:color="auto" w:fill="auto"/>
            <w:noWrap/>
            <w:vAlign w:val="bottom"/>
          </w:tcPr>
          <w:p w:rsidRPr="000F68B8" w:rsidR="000F68B8" w:rsidP="000F68B8" w:rsidRDefault="000F68B8" w14:paraId="6A0305AD" w14:textId="068EE51F">
            <w:pPr>
              <w:tabs>
                <w:tab w:val="decimal" w:pos="330"/>
              </w:tabs>
              <w:jc w:val="left"/>
            </w:pPr>
            <w:r w:rsidRPr="000F68B8">
              <w:rPr>
                <w:color w:val="000000"/>
              </w:rPr>
              <w:t>96.544%</w:t>
            </w:r>
          </w:p>
        </w:tc>
      </w:tr>
      <w:tr w:rsidRPr="002F168A" w:rsidR="000F68B8" w:rsidTr="00921901" w14:paraId="3DA29E2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3E29F99" w14:textId="61ECB59B">
            <w:pPr>
              <w:jc w:val="right"/>
            </w:pPr>
            <w:r w:rsidRPr="000F68B8">
              <w:rPr>
                <w:color w:val="000000"/>
              </w:rPr>
              <w:t xml:space="preserve">1.300 </w:t>
            </w:r>
          </w:p>
        </w:tc>
        <w:tc>
          <w:tcPr>
            <w:tcW w:w="1820" w:type="dxa"/>
            <w:tcBorders>
              <w:top w:val="nil"/>
              <w:left w:val="nil"/>
              <w:bottom w:val="nil"/>
              <w:right w:val="nil"/>
            </w:tcBorders>
            <w:shd w:val="clear" w:color="auto" w:fill="auto"/>
            <w:noWrap/>
            <w:vAlign w:val="bottom"/>
          </w:tcPr>
          <w:p w:rsidRPr="000F68B8" w:rsidR="000F68B8" w:rsidP="000F68B8" w:rsidRDefault="000F68B8" w14:paraId="481173CB" w14:textId="28C3EA30">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609409F6" w14:textId="519FA305">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2A4F0CB1" w14:textId="324B6CD1">
            <w:pPr>
              <w:jc w:val="center"/>
            </w:pPr>
            <w:r w:rsidRPr="000F68B8">
              <w:rPr>
                <w:color w:val="000000"/>
              </w:rPr>
              <w:t>7/1/2028</w:t>
            </w:r>
          </w:p>
        </w:tc>
        <w:tc>
          <w:tcPr>
            <w:tcW w:w="1220" w:type="dxa"/>
            <w:tcBorders>
              <w:top w:val="nil"/>
              <w:left w:val="nil"/>
              <w:bottom w:val="nil"/>
              <w:right w:val="nil"/>
            </w:tcBorders>
            <w:shd w:val="clear" w:color="auto" w:fill="auto"/>
            <w:noWrap/>
            <w:vAlign w:val="bottom"/>
          </w:tcPr>
          <w:p w:rsidRPr="000F68B8" w:rsidR="000F68B8" w:rsidP="000F68B8" w:rsidRDefault="000F68B8" w14:paraId="35A6B27A" w14:textId="3918A9CD">
            <w:pPr>
              <w:tabs>
                <w:tab w:val="decimal" w:pos="975"/>
              </w:tabs>
              <w:jc w:val="left"/>
            </w:pPr>
            <w:r w:rsidRPr="000F68B8">
              <w:rPr>
                <w:color w:val="000000"/>
              </w:rPr>
              <w:t xml:space="preserve">1,985,000 </w:t>
            </w:r>
          </w:p>
        </w:tc>
        <w:tc>
          <w:tcPr>
            <w:tcW w:w="1580" w:type="dxa"/>
            <w:tcBorders>
              <w:top w:val="nil"/>
              <w:left w:val="nil"/>
              <w:bottom w:val="nil"/>
              <w:right w:val="nil"/>
            </w:tcBorders>
            <w:shd w:val="clear" w:color="auto" w:fill="auto"/>
            <w:noWrap/>
            <w:vAlign w:val="bottom"/>
          </w:tcPr>
          <w:p w:rsidRPr="000F68B8" w:rsidR="000F68B8" w:rsidP="000F68B8" w:rsidRDefault="000F68B8" w14:paraId="5719B36F" w14:textId="1286A08E">
            <w:pPr>
              <w:tabs>
                <w:tab w:val="decimal" w:pos="1185"/>
              </w:tabs>
              <w:jc w:val="left"/>
            </w:pPr>
            <w:r w:rsidRPr="000F68B8">
              <w:rPr>
                <w:color w:val="000000"/>
              </w:rPr>
              <w:t xml:space="preserve">1,515,450,000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0057D3F" w14:textId="0130E736">
            <w:pPr>
              <w:tabs>
                <w:tab w:val="decimal" w:pos="330"/>
              </w:tabs>
              <w:jc w:val="left"/>
            </w:pPr>
            <w:r w:rsidRPr="000F68B8">
              <w:rPr>
                <w:color w:val="000000"/>
              </w:rPr>
              <w:t>96.670%</w:t>
            </w:r>
          </w:p>
        </w:tc>
      </w:tr>
      <w:tr w:rsidRPr="002F168A" w:rsidR="000F68B8" w:rsidTr="00921901" w14:paraId="124CF5FB"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6A36BF7A" w14:textId="50FFDC0A">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15CA2AE" w14:textId="23CD4E8A">
            <w:pPr>
              <w:jc w:val="left"/>
            </w:pPr>
            <w:r w:rsidRPr="000F68B8">
              <w:rPr>
                <w:color w:val="000000"/>
              </w:rPr>
              <w:t>2021 SERIES B</w:t>
            </w:r>
          </w:p>
        </w:tc>
        <w:tc>
          <w:tcPr>
            <w:tcW w:w="1360" w:type="dxa"/>
            <w:tcBorders>
              <w:top w:val="nil"/>
              <w:left w:val="nil"/>
              <w:bottom w:val="nil"/>
              <w:right w:val="nil"/>
            </w:tcBorders>
            <w:shd w:val="clear" w:color="auto" w:fill="auto"/>
            <w:noWrap/>
            <w:vAlign w:val="bottom"/>
          </w:tcPr>
          <w:p w:rsidRPr="000F68B8" w:rsidR="000F68B8" w:rsidP="000F68B8" w:rsidRDefault="000F68B8" w14:paraId="69D9D49C" w14:textId="02CB0B16">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64BE57FC" w14:textId="466C6B52">
            <w:pPr>
              <w:jc w:val="center"/>
            </w:pPr>
            <w:r w:rsidRPr="000F68B8">
              <w:rPr>
                <w:color w:val="000000"/>
              </w:rPr>
              <w:t>1/1/2029</w:t>
            </w:r>
          </w:p>
        </w:tc>
        <w:tc>
          <w:tcPr>
            <w:tcW w:w="1220" w:type="dxa"/>
            <w:tcBorders>
              <w:top w:val="nil"/>
              <w:left w:val="nil"/>
              <w:bottom w:val="nil"/>
              <w:right w:val="nil"/>
            </w:tcBorders>
            <w:shd w:val="clear" w:color="auto" w:fill="auto"/>
            <w:noWrap/>
            <w:vAlign w:val="bottom"/>
          </w:tcPr>
          <w:p w:rsidRPr="000F68B8" w:rsidR="000F68B8" w:rsidP="000F68B8" w:rsidRDefault="000F68B8" w14:paraId="75424D4A" w14:textId="5390E590">
            <w:pPr>
              <w:tabs>
                <w:tab w:val="decimal" w:pos="975"/>
              </w:tabs>
              <w:jc w:val="left"/>
            </w:pPr>
            <w:r w:rsidRPr="000F68B8">
              <w:rPr>
                <w:color w:val="000000"/>
              </w:rPr>
              <w:t xml:space="preserve">1,430,000 </w:t>
            </w:r>
          </w:p>
        </w:tc>
        <w:tc>
          <w:tcPr>
            <w:tcW w:w="1580" w:type="dxa"/>
            <w:tcBorders>
              <w:top w:val="nil"/>
              <w:left w:val="nil"/>
              <w:bottom w:val="nil"/>
              <w:right w:val="nil"/>
            </w:tcBorders>
            <w:shd w:val="clear" w:color="auto" w:fill="auto"/>
            <w:noWrap/>
            <w:vAlign w:val="bottom"/>
          </w:tcPr>
          <w:p w:rsidRPr="000F68B8" w:rsidR="000F68B8" w:rsidP="000F68B8" w:rsidRDefault="000F68B8" w14:paraId="0B9BFB8F" w14:textId="030B34DD">
            <w:pPr>
              <w:tabs>
                <w:tab w:val="decimal" w:pos="1185"/>
              </w:tabs>
              <w:jc w:val="left"/>
            </w:pPr>
            <w:r w:rsidRPr="000F68B8">
              <w:rPr>
                <w:color w:val="000000"/>
              </w:rPr>
              <w:t xml:space="preserve">1,516,880,000 </w:t>
            </w:r>
          </w:p>
        </w:tc>
        <w:tc>
          <w:tcPr>
            <w:tcW w:w="1160" w:type="dxa"/>
            <w:tcBorders>
              <w:top w:val="nil"/>
              <w:left w:val="nil"/>
              <w:bottom w:val="nil"/>
              <w:right w:val="nil"/>
            </w:tcBorders>
            <w:shd w:val="clear" w:color="auto" w:fill="auto"/>
            <w:noWrap/>
            <w:vAlign w:val="bottom"/>
          </w:tcPr>
          <w:p w:rsidRPr="000F68B8" w:rsidR="000F68B8" w:rsidP="000F68B8" w:rsidRDefault="000F68B8" w14:paraId="7A0E512C" w14:textId="698E3574">
            <w:pPr>
              <w:tabs>
                <w:tab w:val="decimal" w:pos="330"/>
              </w:tabs>
              <w:jc w:val="left"/>
            </w:pPr>
            <w:r w:rsidRPr="000F68B8">
              <w:rPr>
                <w:color w:val="000000"/>
              </w:rPr>
              <w:t>96.761%</w:t>
            </w:r>
          </w:p>
        </w:tc>
      </w:tr>
      <w:tr w:rsidRPr="002F168A" w:rsidR="000F68B8" w:rsidTr="00921901" w14:paraId="36A5ADBD"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B5385F7" w14:textId="35B803A7">
            <w:pPr>
              <w:jc w:val="right"/>
            </w:pPr>
            <w:r w:rsidRPr="000F68B8">
              <w:rPr>
                <w:color w:val="000000"/>
              </w:rPr>
              <w:t xml:space="preserve">1.250 </w:t>
            </w:r>
          </w:p>
        </w:tc>
        <w:tc>
          <w:tcPr>
            <w:tcW w:w="1820" w:type="dxa"/>
            <w:tcBorders>
              <w:top w:val="nil"/>
              <w:left w:val="nil"/>
              <w:bottom w:val="nil"/>
              <w:right w:val="nil"/>
            </w:tcBorders>
            <w:shd w:val="clear" w:color="auto" w:fill="auto"/>
            <w:noWrap/>
            <w:vAlign w:val="bottom"/>
          </w:tcPr>
          <w:p w:rsidRPr="000F68B8" w:rsidR="000F68B8" w:rsidP="000F68B8" w:rsidRDefault="000F68B8" w14:paraId="3E4711E9" w14:textId="4F160371">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4786EA2E" w14:textId="1D3C144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DD2B04B" w14:textId="59E8288A">
            <w:pPr>
              <w:jc w:val="center"/>
            </w:pPr>
            <w:r w:rsidRPr="000F68B8">
              <w:rPr>
                <w:color w:val="000000"/>
              </w:rPr>
              <w:t>1/1/2028</w:t>
            </w:r>
          </w:p>
        </w:tc>
        <w:tc>
          <w:tcPr>
            <w:tcW w:w="1220" w:type="dxa"/>
            <w:tcBorders>
              <w:top w:val="nil"/>
              <w:left w:val="nil"/>
              <w:bottom w:val="nil"/>
              <w:right w:val="nil"/>
            </w:tcBorders>
            <w:shd w:val="clear" w:color="auto" w:fill="auto"/>
            <w:noWrap/>
            <w:vAlign w:val="bottom"/>
          </w:tcPr>
          <w:p w:rsidRPr="000F68B8" w:rsidR="000F68B8" w:rsidP="000F68B8" w:rsidRDefault="000F68B8" w14:paraId="36C1EEF6" w14:textId="3AFF62CB">
            <w:pPr>
              <w:tabs>
                <w:tab w:val="decimal" w:pos="975"/>
              </w:tabs>
              <w:jc w:val="left"/>
            </w:pPr>
            <w:r w:rsidRPr="000F68B8">
              <w:rPr>
                <w:color w:val="000000"/>
              </w:rPr>
              <w:t xml:space="preserve">1,950,000 </w:t>
            </w:r>
          </w:p>
        </w:tc>
        <w:tc>
          <w:tcPr>
            <w:tcW w:w="1580" w:type="dxa"/>
            <w:tcBorders>
              <w:top w:val="nil"/>
              <w:left w:val="nil"/>
              <w:bottom w:val="nil"/>
              <w:right w:val="nil"/>
            </w:tcBorders>
            <w:shd w:val="clear" w:color="auto" w:fill="auto"/>
            <w:noWrap/>
            <w:vAlign w:val="bottom"/>
          </w:tcPr>
          <w:p w:rsidRPr="000F68B8" w:rsidR="000F68B8" w:rsidP="000F68B8" w:rsidRDefault="000F68B8" w14:paraId="48F9124F" w14:textId="61873435">
            <w:pPr>
              <w:tabs>
                <w:tab w:val="decimal" w:pos="1185"/>
              </w:tabs>
              <w:jc w:val="left"/>
            </w:pPr>
            <w:r w:rsidRPr="000F68B8">
              <w:rPr>
                <w:color w:val="000000"/>
              </w:rPr>
              <w:t xml:space="preserve">1,518,830,000 </w:t>
            </w:r>
          </w:p>
        </w:tc>
        <w:tc>
          <w:tcPr>
            <w:tcW w:w="1160" w:type="dxa"/>
            <w:tcBorders>
              <w:top w:val="nil"/>
              <w:left w:val="nil"/>
              <w:bottom w:val="nil"/>
              <w:right w:val="nil"/>
            </w:tcBorders>
            <w:shd w:val="clear" w:color="auto" w:fill="auto"/>
            <w:noWrap/>
            <w:vAlign w:val="bottom"/>
          </w:tcPr>
          <w:p w:rsidRPr="000F68B8" w:rsidR="000F68B8" w:rsidP="000F68B8" w:rsidRDefault="000F68B8" w14:paraId="16402A5B" w14:textId="5B81B1CD">
            <w:pPr>
              <w:tabs>
                <w:tab w:val="decimal" w:pos="330"/>
              </w:tabs>
              <w:jc w:val="left"/>
            </w:pPr>
            <w:r w:rsidRPr="000F68B8">
              <w:rPr>
                <w:color w:val="000000"/>
              </w:rPr>
              <w:t>96.886%</w:t>
            </w:r>
          </w:p>
        </w:tc>
      </w:tr>
      <w:tr w:rsidRPr="002F168A" w:rsidR="000F68B8" w:rsidTr="00921901" w14:paraId="50153721"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1175119E" w14:textId="598119AC">
            <w:pPr>
              <w:jc w:val="right"/>
            </w:pPr>
            <w:r w:rsidRPr="000F68B8">
              <w:rPr>
                <w:color w:val="000000"/>
              </w:rPr>
              <w:t xml:space="preserve">1.150 </w:t>
            </w:r>
          </w:p>
        </w:tc>
        <w:tc>
          <w:tcPr>
            <w:tcW w:w="1820" w:type="dxa"/>
            <w:tcBorders>
              <w:top w:val="nil"/>
              <w:left w:val="nil"/>
              <w:bottom w:val="nil"/>
              <w:right w:val="nil"/>
            </w:tcBorders>
            <w:shd w:val="clear" w:color="auto" w:fill="auto"/>
            <w:noWrap/>
            <w:vAlign w:val="bottom"/>
          </w:tcPr>
          <w:p w:rsidRPr="000F68B8" w:rsidR="000F68B8" w:rsidP="000F68B8" w:rsidRDefault="000F68B8" w14:paraId="5331919F" w14:textId="773E3357">
            <w:pPr>
              <w:jc w:val="left"/>
            </w:pPr>
            <w:r w:rsidRPr="000F68B8">
              <w:rPr>
                <w:color w:val="000000"/>
              </w:rPr>
              <w:t>2020 SERIES B-1</w:t>
            </w:r>
          </w:p>
        </w:tc>
        <w:tc>
          <w:tcPr>
            <w:tcW w:w="1360" w:type="dxa"/>
            <w:tcBorders>
              <w:top w:val="nil"/>
              <w:left w:val="nil"/>
              <w:bottom w:val="nil"/>
              <w:right w:val="nil"/>
            </w:tcBorders>
            <w:shd w:val="clear" w:color="auto" w:fill="auto"/>
            <w:noWrap/>
            <w:vAlign w:val="bottom"/>
          </w:tcPr>
          <w:p w:rsidRPr="000F68B8" w:rsidR="000F68B8" w:rsidP="000F68B8" w:rsidRDefault="000F68B8" w14:paraId="2FAC5595" w14:textId="4F3BEA9E">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15C0049" w14:textId="451CD66C">
            <w:pPr>
              <w:jc w:val="center"/>
            </w:pPr>
            <w:r w:rsidRPr="000F68B8">
              <w:rPr>
                <w:color w:val="000000"/>
              </w:rPr>
              <w:t>7/1/2027</w:t>
            </w:r>
          </w:p>
        </w:tc>
        <w:tc>
          <w:tcPr>
            <w:tcW w:w="1220" w:type="dxa"/>
            <w:tcBorders>
              <w:top w:val="nil"/>
              <w:left w:val="nil"/>
              <w:bottom w:val="nil"/>
              <w:right w:val="nil"/>
            </w:tcBorders>
            <w:shd w:val="clear" w:color="auto" w:fill="auto"/>
            <w:noWrap/>
            <w:vAlign w:val="bottom"/>
          </w:tcPr>
          <w:p w:rsidRPr="000F68B8" w:rsidR="000F68B8" w:rsidP="000F68B8" w:rsidRDefault="000F68B8" w14:paraId="4183AB1D" w14:textId="3954717E">
            <w:pPr>
              <w:tabs>
                <w:tab w:val="decimal" w:pos="975"/>
              </w:tabs>
              <w:jc w:val="left"/>
            </w:pPr>
            <w:r w:rsidRPr="000F68B8">
              <w:rPr>
                <w:color w:val="000000"/>
              </w:rPr>
              <w:t xml:space="preserve">1,910,000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3485305" w14:textId="55C239B9">
            <w:pPr>
              <w:tabs>
                <w:tab w:val="decimal" w:pos="1185"/>
              </w:tabs>
              <w:jc w:val="left"/>
            </w:pPr>
            <w:r w:rsidRPr="000F68B8">
              <w:rPr>
                <w:color w:val="000000"/>
              </w:rPr>
              <w:t xml:space="preserve">1,520,740,000 </w:t>
            </w:r>
          </w:p>
        </w:tc>
        <w:tc>
          <w:tcPr>
            <w:tcW w:w="1160" w:type="dxa"/>
            <w:tcBorders>
              <w:top w:val="nil"/>
              <w:left w:val="nil"/>
              <w:bottom w:val="nil"/>
              <w:right w:val="nil"/>
            </w:tcBorders>
            <w:shd w:val="clear" w:color="auto" w:fill="auto"/>
            <w:noWrap/>
            <w:vAlign w:val="bottom"/>
          </w:tcPr>
          <w:p w:rsidRPr="000F68B8" w:rsidR="000F68B8" w:rsidP="000F68B8" w:rsidRDefault="000F68B8" w14:paraId="38A5EA2B" w14:textId="1BCBB2B3">
            <w:pPr>
              <w:tabs>
                <w:tab w:val="decimal" w:pos="330"/>
              </w:tabs>
              <w:jc w:val="left"/>
            </w:pPr>
            <w:r w:rsidRPr="000F68B8">
              <w:rPr>
                <w:color w:val="000000"/>
              </w:rPr>
              <w:t>97.008%</w:t>
            </w:r>
          </w:p>
        </w:tc>
      </w:tr>
      <w:tr w:rsidRPr="002F168A" w:rsidR="000F68B8" w:rsidTr="00921901" w14:paraId="61127808"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DBD4A68" w14:textId="48C2B506">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51DC5524" w14:textId="68D32E30">
            <w:pPr>
              <w:jc w:val="left"/>
            </w:pPr>
            <w:r w:rsidRPr="000F68B8">
              <w:rPr>
                <w:color w:val="000000"/>
              </w:rPr>
              <w:t>2021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0CBB2C5C" w14:textId="6D6DC118">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03A17694" w14:textId="7BEFF16F">
            <w:pPr>
              <w:jc w:val="center"/>
            </w:pPr>
            <w:r w:rsidRPr="000F68B8">
              <w:rPr>
                <w:color w:val="000000"/>
              </w:rPr>
              <w:t>7/1/2026</w:t>
            </w:r>
          </w:p>
        </w:tc>
        <w:tc>
          <w:tcPr>
            <w:tcW w:w="1220" w:type="dxa"/>
            <w:tcBorders>
              <w:top w:val="nil"/>
              <w:left w:val="nil"/>
              <w:bottom w:val="nil"/>
              <w:right w:val="nil"/>
            </w:tcBorders>
            <w:shd w:val="clear" w:color="auto" w:fill="auto"/>
            <w:noWrap/>
            <w:vAlign w:val="bottom"/>
          </w:tcPr>
          <w:p w:rsidRPr="000F68B8" w:rsidR="000F68B8" w:rsidP="000F68B8" w:rsidRDefault="000F68B8" w14:paraId="644EC53C" w14:textId="4045B99E">
            <w:pPr>
              <w:tabs>
                <w:tab w:val="decimal" w:pos="975"/>
              </w:tabs>
              <w:jc w:val="left"/>
            </w:pPr>
            <w:r w:rsidRPr="000F68B8">
              <w:rPr>
                <w:color w:val="000000"/>
              </w:rPr>
              <w:t xml:space="preserve">855,000 </w:t>
            </w:r>
          </w:p>
        </w:tc>
        <w:tc>
          <w:tcPr>
            <w:tcW w:w="1580" w:type="dxa"/>
            <w:tcBorders>
              <w:top w:val="nil"/>
              <w:left w:val="nil"/>
              <w:bottom w:val="nil"/>
              <w:right w:val="nil"/>
            </w:tcBorders>
            <w:shd w:val="clear" w:color="auto" w:fill="auto"/>
            <w:noWrap/>
            <w:vAlign w:val="bottom"/>
          </w:tcPr>
          <w:p w:rsidRPr="000F68B8" w:rsidR="000F68B8" w:rsidP="000F68B8" w:rsidRDefault="000F68B8" w14:paraId="3CF174DA" w14:textId="58DB174D">
            <w:pPr>
              <w:tabs>
                <w:tab w:val="decimal" w:pos="1185"/>
              </w:tabs>
              <w:jc w:val="left"/>
            </w:pPr>
            <w:r w:rsidRPr="000F68B8">
              <w:rPr>
                <w:color w:val="000000"/>
              </w:rPr>
              <w:t xml:space="preserve">1,521,595,000 </w:t>
            </w:r>
          </w:p>
        </w:tc>
        <w:tc>
          <w:tcPr>
            <w:tcW w:w="1160" w:type="dxa"/>
            <w:tcBorders>
              <w:top w:val="nil"/>
              <w:left w:val="nil"/>
              <w:bottom w:val="nil"/>
              <w:right w:val="nil"/>
            </w:tcBorders>
            <w:shd w:val="clear" w:color="auto" w:fill="auto"/>
            <w:noWrap/>
            <w:vAlign w:val="bottom"/>
          </w:tcPr>
          <w:p w:rsidRPr="000F68B8" w:rsidR="000F68B8" w:rsidP="000F68B8" w:rsidRDefault="000F68B8" w14:paraId="161C91CF" w14:textId="5AE948D3">
            <w:pPr>
              <w:tabs>
                <w:tab w:val="decimal" w:pos="330"/>
              </w:tabs>
              <w:jc w:val="left"/>
            </w:pPr>
            <w:r w:rsidRPr="000F68B8">
              <w:rPr>
                <w:color w:val="000000"/>
              </w:rPr>
              <w:t>97.062%</w:t>
            </w:r>
          </w:p>
        </w:tc>
      </w:tr>
      <w:tr w:rsidRPr="002F168A" w:rsidR="000F68B8" w:rsidTr="00921901" w14:paraId="22F565E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C216481" w14:textId="65668A7A">
            <w:pPr>
              <w:jc w:val="right"/>
            </w:pPr>
            <w:r w:rsidRPr="000F68B8">
              <w:rPr>
                <w:color w:val="000000"/>
              </w:rPr>
              <w:t xml:space="preserve">1.050 </w:t>
            </w:r>
          </w:p>
        </w:tc>
        <w:tc>
          <w:tcPr>
            <w:tcW w:w="1820" w:type="dxa"/>
            <w:tcBorders>
              <w:top w:val="nil"/>
              <w:left w:val="nil"/>
              <w:bottom w:val="nil"/>
              <w:right w:val="nil"/>
            </w:tcBorders>
            <w:shd w:val="clear" w:color="auto" w:fill="auto"/>
            <w:noWrap/>
            <w:vAlign w:val="bottom"/>
          </w:tcPr>
          <w:p w:rsidRPr="000F68B8" w:rsidR="000F68B8" w:rsidP="000F68B8" w:rsidRDefault="000F68B8" w14:paraId="68197FDA" w14:textId="74D7A62D">
            <w:pPr>
              <w:jc w:val="left"/>
            </w:pPr>
            <w:r w:rsidRPr="000F68B8">
              <w:rPr>
                <w:color w:val="000000"/>
              </w:rPr>
              <w:t>2021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354AC9FA" w14:textId="5634EA24">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1133585C" w14:textId="1BB2BD47">
            <w:pPr>
              <w:jc w:val="center"/>
            </w:pPr>
            <w:r w:rsidRPr="000F68B8">
              <w:rPr>
                <w:color w:val="000000"/>
              </w:rPr>
              <w:t>1/1/2026</w:t>
            </w:r>
          </w:p>
        </w:tc>
        <w:tc>
          <w:tcPr>
            <w:tcW w:w="1220" w:type="dxa"/>
            <w:tcBorders>
              <w:top w:val="nil"/>
              <w:left w:val="nil"/>
              <w:bottom w:val="nil"/>
              <w:right w:val="nil"/>
            </w:tcBorders>
            <w:shd w:val="clear" w:color="auto" w:fill="auto"/>
            <w:noWrap/>
            <w:vAlign w:val="bottom"/>
          </w:tcPr>
          <w:p w:rsidRPr="000F68B8" w:rsidR="000F68B8" w:rsidP="000F68B8" w:rsidRDefault="000F68B8" w14:paraId="79D18168" w14:textId="3DB18F22">
            <w:pPr>
              <w:tabs>
                <w:tab w:val="decimal" w:pos="975"/>
              </w:tabs>
              <w:jc w:val="left"/>
            </w:pPr>
            <w:r w:rsidRPr="000F68B8">
              <w:rPr>
                <w:color w:val="000000"/>
              </w:rPr>
              <w:t xml:space="preserve">800,000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755E77A0" w14:textId="51C3A302">
            <w:pPr>
              <w:tabs>
                <w:tab w:val="decimal" w:pos="1185"/>
              </w:tabs>
              <w:jc w:val="left"/>
            </w:pPr>
            <w:r w:rsidRPr="000F68B8">
              <w:rPr>
                <w:color w:val="000000"/>
              </w:rPr>
              <w:t xml:space="preserve">1,522,395,000 </w:t>
            </w:r>
          </w:p>
        </w:tc>
        <w:tc>
          <w:tcPr>
            <w:tcW w:w="1160" w:type="dxa"/>
            <w:tcBorders>
              <w:top w:val="nil"/>
              <w:left w:val="nil"/>
              <w:bottom w:val="nil"/>
              <w:right w:val="nil"/>
            </w:tcBorders>
            <w:shd w:val="clear" w:color="auto" w:fill="auto"/>
            <w:noWrap/>
            <w:vAlign w:val="bottom"/>
          </w:tcPr>
          <w:p w:rsidRPr="000F68B8" w:rsidR="000F68B8" w:rsidP="000F68B8" w:rsidRDefault="000F68B8" w14:paraId="44203747" w14:textId="6ADE2B9C">
            <w:pPr>
              <w:tabs>
                <w:tab w:val="decimal" w:pos="330"/>
              </w:tabs>
              <w:jc w:val="left"/>
            </w:pPr>
            <w:r w:rsidRPr="000F68B8">
              <w:rPr>
                <w:color w:val="000000"/>
              </w:rPr>
              <w:t>97.113%</w:t>
            </w:r>
          </w:p>
        </w:tc>
      </w:tr>
      <w:tr w:rsidRPr="002F168A" w:rsidR="000F68B8" w:rsidTr="00921901" w14:paraId="686BEF67"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04A880E7" w14:textId="5F9E3EDA">
            <w:pPr>
              <w:jc w:val="right"/>
            </w:pPr>
            <w:r w:rsidRPr="000F68B8">
              <w:rPr>
                <w:color w:val="000000"/>
              </w:rPr>
              <w:t xml:space="preserve">0.950 </w:t>
            </w:r>
          </w:p>
        </w:tc>
        <w:tc>
          <w:tcPr>
            <w:tcW w:w="1820" w:type="dxa"/>
            <w:tcBorders>
              <w:top w:val="nil"/>
              <w:left w:val="nil"/>
              <w:bottom w:val="nil"/>
              <w:right w:val="nil"/>
            </w:tcBorders>
            <w:shd w:val="clear" w:color="auto" w:fill="auto"/>
            <w:noWrap/>
            <w:vAlign w:val="bottom"/>
          </w:tcPr>
          <w:p w:rsidRPr="000F68B8" w:rsidR="000F68B8" w:rsidP="000F68B8" w:rsidRDefault="000F68B8" w14:paraId="4F65E300" w14:textId="2B223D40">
            <w:pPr>
              <w:jc w:val="left"/>
            </w:pPr>
            <w:r w:rsidRPr="000F68B8">
              <w:rPr>
                <w:color w:val="000000"/>
              </w:rPr>
              <w:t>2021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12C262FA" w14:textId="7E6BD0D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465BBA7B" w14:textId="25299CE6">
            <w:pPr>
              <w:jc w:val="center"/>
            </w:pPr>
            <w:r w:rsidRPr="000F68B8">
              <w:rPr>
                <w:color w:val="000000"/>
              </w:rPr>
              <w:t>7/1/2025</w:t>
            </w:r>
          </w:p>
        </w:tc>
        <w:tc>
          <w:tcPr>
            <w:tcW w:w="1220" w:type="dxa"/>
            <w:tcBorders>
              <w:top w:val="nil"/>
              <w:left w:val="nil"/>
              <w:bottom w:val="nil"/>
              <w:right w:val="nil"/>
            </w:tcBorders>
            <w:shd w:val="clear" w:color="auto" w:fill="auto"/>
            <w:noWrap/>
            <w:vAlign w:val="bottom"/>
          </w:tcPr>
          <w:p w:rsidRPr="000F68B8" w:rsidR="000F68B8" w:rsidP="000F68B8" w:rsidRDefault="000F68B8" w14:paraId="480DDA39" w14:textId="21F2502D">
            <w:pPr>
              <w:tabs>
                <w:tab w:val="decimal" w:pos="975"/>
              </w:tabs>
              <w:jc w:val="left"/>
            </w:pPr>
            <w:r w:rsidRPr="000F68B8">
              <w:rPr>
                <w:color w:val="000000"/>
              </w:rPr>
              <w:t xml:space="preserve">780,000 </w:t>
            </w:r>
          </w:p>
        </w:tc>
        <w:tc>
          <w:tcPr>
            <w:tcW w:w="1580" w:type="dxa"/>
            <w:tcBorders>
              <w:top w:val="nil"/>
              <w:left w:val="nil"/>
              <w:bottom w:val="nil"/>
              <w:right w:val="nil"/>
            </w:tcBorders>
            <w:shd w:val="clear" w:color="auto" w:fill="auto"/>
            <w:noWrap/>
            <w:vAlign w:val="bottom"/>
          </w:tcPr>
          <w:p w:rsidRPr="000F68B8" w:rsidR="000F68B8" w:rsidP="000F68B8" w:rsidRDefault="000F68B8" w14:paraId="567998DE" w14:textId="144CDF8C">
            <w:pPr>
              <w:tabs>
                <w:tab w:val="decimal" w:pos="1185"/>
              </w:tabs>
              <w:jc w:val="left"/>
            </w:pPr>
            <w:r w:rsidRPr="000F68B8">
              <w:rPr>
                <w:color w:val="000000"/>
              </w:rPr>
              <w:t xml:space="preserve">1,523,175,000 </w:t>
            </w:r>
          </w:p>
        </w:tc>
        <w:tc>
          <w:tcPr>
            <w:tcW w:w="1160" w:type="dxa"/>
            <w:tcBorders>
              <w:top w:val="nil"/>
              <w:left w:val="nil"/>
              <w:bottom w:val="nil"/>
              <w:right w:val="nil"/>
            </w:tcBorders>
            <w:shd w:val="clear" w:color="auto" w:fill="auto"/>
            <w:noWrap/>
            <w:vAlign w:val="bottom"/>
          </w:tcPr>
          <w:p w:rsidRPr="000F68B8" w:rsidR="000F68B8" w:rsidP="000F68B8" w:rsidRDefault="000F68B8" w14:paraId="11EA6686" w14:textId="60444C96">
            <w:pPr>
              <w:tabs>
                <w:tab w:val="decimal" w:pos="330"/>
              </w:tabs>
              <w:jc w:val="left"/>
            </w:pPr>
            <w:r w:rsidRPr="000F68B8">
              <w:rPr>
                <w:color w:val="000000"/>
              </w:rPr>
              <w:t>97.163%</w:t>
            </w:r>
          </w:p>
        </w:tc>
      </w:tr>
      <w:tr w:rsidRPr="002F168A" w:rsidR="000F68B8" w:rsidTr="00921901" w14:paraId="02AC8D4A"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508C8B50" w14:textId="69427CEF">
            <w:pPr>
              <w:jc w:val="right"/>
            </w:pPr>
            <w:r w:rsidRPr="000F68B8">
              <w:rPr>
                <w:color w:val="000000"/>
              </w:rPr>
              <w:t xml:space="preserve">0.850 </w:t>
            </w:r>
          </w:p>
        </w:tc>
        <w:tc>
          <w:tcPr>
            <w:tcW w:w="1820" w:type="dxa"/>
            <w:tcBorders>
              <w:top w:val="nil"/>
              <w:left w:val="nil"/>
              <w:bottom w:val="nil"/>
              <w:right w:val="nil"/>
            </w:tcBorders>
            <w:shd w:val="clear" w:color="auto" w:fill="auto"/>
            <w:noWrap/>
            <w:vAlign w:val="bottom"/>
          </w:tcPr>
          <w:p w:rsidRPr="000F68B8" w:rsidR="000F68B8" w:rsidP="000F68B8" w:rsidRDefault="000F68B8" w14:paraId="3AC94EDC" w14:textId="6E66DBD8">
            <w:pPr>
              <w:jc w:val="left"/>
            </w:pPr>
            <w:r w:rsidRPr="000F68B8">
              <w:rPr>
                <w:color w:val="000000"/>
              </w:rPr>
              <w:t>2021 SERIES C-2</w:t>
            </w:r>
          </w:p>
        </w:tc>
        <w:tc>
          <w:tcPr>
            <w:tcW w:w="1360" w:type="dxa"/>
            <w:tcBorders>
              <w:top w:val="nil"/>
              <w:left w:val="nil"/>
              <w:bottom w:val="nil"/>
              <w:right w:val="nil"/>
            </w:tcBorders>
            <w:shd w:val="clear" w:color="auto" w:fill="auto"/>
            <w:noWrap/>
            <w:vAlign w:val="bottom"/>
          </w:tcPr>
          <w:p w:rsidRPr="000F68B8" w:rsidR="000F68B8" w:rsidP="000F68B8" w:rsidRDefault="000F68B8" w14:paraId="57E31CBF" w14:textId="5278AE1B">
            <w:pPr>
              <w:jc w:val="left"/>
            </w:pPr>
            <w:r w:rsidRPr="000F68B8">
              <w:rPr>
                <w:color w:val="000000"/>
              </w:rPr>
              <w:t xml:space="preserve"> Fixed </w:t>
            </w:r>
          </w:p>
        </w:tc>
        <w:tc>
          <w:tcPr>
            <w:tcW w:w="1060" w:type="dxa"/>
            <w:tcBorders>
              <w:top w:val="nil"/>
              <w:left w:val="nil"/>
              <w:bottom w:val="nil"/>
              <w:right w:val="nil"/>
            </w:tcBorders>
            <w:shd w:val="clear" w:color="auto" w:fill="auto"/>
            <w:noWrap/>
            <w:vAlign w:val="bottom"/>
          </w:tcPr>
          <w:p w:rsidRPr="000F68B8" w:rsidR="000F68B8" w:rsidP="000F68B8" w:rsidRDefault="000F68B8" w14:paraId="3ED2A886" w14:textId="48B459AF">
            <w:pPr>
              <w:jc w:val="center"/>
            </w:pPr>
            <w:r w:rsidRPr="000F68B8">
              <w:rPr>
                <w:color w:val="000000"/>
              </w:rPr>
              <w:t>1/1/2025</w:t>
            </w:r>
          </w:p>
        </w:tc>
        <w:tc>
          <w:tcPr>
            <w:tcW w:w="1220" w:type="dxa"/>
            <w:tcBorders>
              <w:top w:val="nil"/>
              <w:left w:val="nil"/>
              <w:bottom w:val="nil"/>
              <w:right w:val="nil"/>
            </w:tcBorders>
            <w:shd w:val="clear" w:color="auto" w:fill="auto"/>
            <w:noWrap/>
            <w:vAlign w:val="bottom"/>
          </w:tcPr>
          <w:p w:rsidRPr="000F68B8" w:rsidR="000F68B8" w:rsidP="000F68B8" w:rsidRDefault="000F68B8" w14:paraId="3297EE0E" w14:textId="07EE8481">
            <w:pPr>
              <w:tabs>
                <w:tab w:val="decimal" w:pos="975"/>
              </w:tabs>
              <w:jc w:val="left"/>
            </w:pPr>
            <w:r w:rsidRPr="000F68B8">
              <w:rPr>
                <w:color w:val="000000"/>
              </w:rPr>
              <w:t xml:space="preserve">770,000 </w:t>
            </w:r>
          </w:p>
        </w:tc>
        <w:tc>
          <w:tcPr>
            <w:tcW w:w="1580" w:type="dxa"/>
            <w:tcBorders>
              <w:top w:val="nil"/>
              <w:left w:val="nil"/>
              <w:bottom w:val="nil"/>
              <w:right w:val="nil"/>
            </w:tcBorders>
            <w:shd w:val="clear" w:color="auto" w:fill="auto"/>
            <w:noWrap/>
            <w:vAlign w:val="bottom"/>
          </w:tcPr>
          <w:p w:rsidRPr="000F68B8" w:rsidR="000F68B8" w:rsidP="000F68B8" w:rsidRDefault="000F68B8" w14:paraId="09944C9B" w14:textId="056F9E3A">
            <w:pPr>
              <w:tabs>
                <w:tab w:val="decimal" w:pos="1185"/>
              </w:tabs>
              <w:jc w:val="left"/>
            </w:pPr>
            <w:r w:rsidRPr="000F68B8">
              <w:rPr>
                <w:color w:val="000000"/>
              </w:rPr>
              <w:t xml:space="preserve">1,523,945,000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194B8EA8" w14:textId="6E3EFABA">
            <w:pPr>
              <w:tabs>
                <w:tab w:val="decimal" w:pos="330"/>
              </w:tabs>
              <w:jc w:val="left"/>
            </w:pPr>
            <w:r w:rsidRPr="000F68B8">
              <w:rPr>
                <w:color w:val="000000"/>
              </w:rPr>
              <w:t>97.212%</w:t>
            </w:r>
          </w:p>
        </w:tc>
      </w:tr>
      <w:tr w:rsidRPr="002F168A" w:rsidR="000F68B8" w:rsidTr="00921901" w14:paraId="080E1985"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36A402E5" w14:textId="774A8156">
            <w:pPr>
              <w:jc w:val="right"/>
            </w:pPr>
            <w:r w:rsidRPr="000F68B8">
              <w:rPr>
                <w:color w:val="000000"/>
              </w:rPr>
              <w:t>Variable</w:t>
            </w:r>
          </w:p>
        </w:tc>
        <w:tc>
          <w:tcPr>
            <w:tcW w:w="1820" w:type="dxa"/>
            <w:tcBorders>
              <w:top w:val="nil"/>
              <w:left w:val="nil"/>
              <w:bottom w:val="nil"/>
              <w:right w:val="nil"/>
            </w:tcBorders>
            <w:shd w:val="clear" w:color="auto" w:fill="auto"/>
            <w:noWrap/>
            <w:vAlign w:val="bottom"/>
          </w:tcPr>
          <w:p w:rsidRPr="000F68B8" w:rsidR="000F68B8" w:rsidP="000F68B8" w:rsidRDefault="000F68B8" w14:paraId="4D0FDEF6" w14:textId="39011CED">
            <w:pPr>
              <w:jc w:val="left"/>
            </w:pPr>
            <w:r w:rsidRPr="000F68B8">
              <w:rPr>
                <w:color w:val="000000"/>
              </w:rPr>
              <w:t>2017 SERIES B-3</w:t>
            </w:r>
          </w:p>
        </w:tc>
        <w:tc>
          <w:tcPr>
            <w:tcW w:w="1360" w:type="dxa"/>
            <w:tcBorders>
              <w:top w:val="nil"/>
              <w:left w:val="nil"/>
              <w:bottom w:val="nil"/>
              <w:right w:val="nil"/>
            </w:tcBorders>
            <w:shd w:val="clear" w:color="auto" w:fill="auto"/>
            <w:noWrap/>
            <w:vAlign w:val="bottom"/>
          </w:tcPr>
          <w:p w:rsidRPr="000F68B8" w:rsidR="000F68B8" w:rsidP="000F68B8" w:rsidRDefault="000F68B8" w14:paraId="74E9600D" w14:textId="202C8212">
            <w:pPr>
              <w:jc w:val="left"/>
            </w:pPr>
            <w:r w:rsidRPr="000F68B8">
              <w:rPr>
                <w:color w:val="000000"/>
              </w:rPr>
              <w:t xml:space="preserve"> Variable </w:t>
            </w:r>
          </w:p>
        </w:tc>
        <w:tc>
          <w:tcPr>
            <w:tcW w:w="1060" w:type="dxa"/>
            <w:tcBorders>
              <w:top w:val="nil"/>
              <w:left w:val="nil"/>
              <w:bottom w:val="nil"/>
              <w:right w:val="nil"/>
            </w:tcBorders>
            <w:shd w:val="clear" w:color="auto" w:fill="auto"/>
            <w:noWrap/>
            <w:vAlign w:val="bottom"/>
          </w:tcPr>
          <w:p w:rsidRPr="000F68B8" w:rsidR="000F68B8" w:rsidP="000F68B8" w:rsidRDefault="000F68B8" w14:paraId="3816C703" w14:textId="6A637A2A">
            <w:pPr>
              <w:jc w:val="center"/>
            </w:pPr>
            <w:r w:rsidRPr="000F68B8">
              <w:rPr>
                <w:color w:val="000000"/>
              </w:rPr>
              <w:t>7/1/2047</w:t>
            </w:r>
          </w:p>
        </w:tc>
        <w:tc>
          <w:tcPr>
            <w:tcW w:w="1220" w:type="dxa"/>
            <w:tcBorders>
              <w:top w:val="nil"/>
              <w:left w:val="nil"/>
              <w:bottom w:val="nil"/>
              <w:right w:val="nil"/>
            </w:tcBorders>
            <w:shd w:val="clear" w:color="auto" w:fill="auto"/>
            <w:noWrap/>
            <w:vAlign w:val="bottom"/>
          </w:tcPr>
          <w:p w:rsidRPr="000F68B8" w:rsidR="000F68B8" w:rsidP="000F68B8" w:rsidRDefault="000F68B8" w14:paraId="5CDD9455" w14:textId="2FBA0F7F">
            <w:pPr>
              <w:tabs>
                <w:tab w:val="decimal" w:pos="975"/>
              </w:tabs>
              <w:jc w:val="left"/>
            </w:pPr>
            <w:r w:rsidRPr="000F68B8">
              <w:rPr>
                <w:color w:val="000000"/>
              </w:rPr>
              <w:t xml:space="preserve">23,000,000 </w:t>
            </w:r>
          </w:p>
        </w:tc>
        <w:tc>
          <w:tcPr>
            <w:tcW w:w="1580" w:type="dxa"/>
            <w:tcBorders>
              <w:top w:val="nil"/>
              <w:left w:val="nil"/>
              <w:bottom w:val="nil"/>
              <w:right w:val="nil"/>
            </w:tcBorders>
            <w:shd w:val="clear" w:color="auto" w:fill="auto"/>
            <w:noWrap/>
            <w:vAlign w:val="bottom"/>
          </w:tcPr>
          <w:p w:rsidRPr="000F68B8" w:rsidR="000F68B8" w:rsidP="000F68B8" w:rsidRDefault="000F68B8" w14:paraId="3B905D57" w14:textId="33C6C100">
            <w:pPr>
              <w:tabs>
                <w:tab w:val="decimal" w:pos="1185"/>
              </w:tabs>
              <w:jc w:val="left"/>
            </w:pPr>
            <w:r w:rsidRPr="000F68B8">
              <w:rPr>
                <w:color w:val="000000"/>
              </w:rPr>
              <w:t xml:space="preserve">1,546,945,000 </w:t>
            </w:r>
          </w:p>
        </w:tc>
        <w:tc>
          <w:tcPr>
            <w:tcW w:w="1160" w:type="dxa"/>
            <w:tcBorders>
              <w:top w:val="nil"/>
              <w:left w:val="nil"/>
              <w:bottom w:val="nil"/>
              <w:right w:val="nil"/>
            </w:tcBorders>
            <w:shd w:val="clear" w:color="auto" w:fill="auto"/>
            <w:noWrap/>
            <w:vAlign w:val="bottom"/>
          </w:tcPr>
          <w:p w:rsidRPr="000F68B8" w:rsidR="000F68B8" w:rsidP="000F68B8" w:rsidRDefault="000F68B8" w14:paraId="2C59B1FE" w14:textId="19B81D94">
            <w:pPr>
              <w:tabs>
                <w:tab w:val="decimal" w:pos="330"/>
              </w:tabs>
              <w:jc w:val="left"/>
            </w:pPr>
            <w:r w:rsidRPr="000F68B8">
              <w:rPr>
                <w:color w:val="000000"/>
              </w:rPr>
              <w:t>98.679%</w:t>
            </w:r>
          </w:p>
        </w:tc>
      </w:tr>
      <w:tr w:rsidRPr="002F168A" w:rsidR="000F68B8" w:rsidTr="00921901" w14:paraId="639D0D76" w14:textId="77777777">
        <w:trPr>
          <w:trHeight w:val="255"/>
          <w:jc w:val="center"/>
        </w:trPr>
        <w:tc>
          <w:tcPr>
            <w:tcW w:w="980" w:type="dxa"/>
            <w:tcBorders>
              <w:top w:val="nil"/>
              <w:left w:val="nil"/>
              <w:bottom w:val="nil"/>
              <w:right w:val="nil"/>
            </w:tcBorders>
            <w:shd w:val="clear" w:color="auto" w:fill="auto"/>
            <w:noWrap/>
            <w:vAlign w:val="bottom"/>
          </w:tcPr>
          <w:p w:rsidRPr="000F68B8" w:rsidR="000F68B8" w:rsidP="000F68B8" w:rsidRDefault="000F68B8" w14:paraId="2BAA20FD" w14:textId="0050B476">
            <w:pPr>
              <w:jc w:val="right"/>
            </w:pPr>
          </w:p>
        </w:tc>
        <w:tc>
          <w:tcPr>
            <w:tcW w:w="1820" w:type="dxa"/>
            <w:tcBorders>
              <w:top w:val="nil"/>
              <w:left w:val="nil"/>
              <w:bottom w:val="nil"/>
              <w:right w:val="nil"/>
            </w:tcBorders>
            <w:shd w:val="clear" w:color="auto" w:fill="auto"/>
            <w:noWrap/>
            <w:vAlign w:val="bottom"/>
          </w:tcPr>
          <w:p w:rsidRPr="000F68B8" w:rsidR="000F68B8" w:rsidP="000F68B8" w:rsidRDefault="000F68B8" w14:paraId="38C057E9" w14:textId="1FC29D61">
            <w:pPr>
              <w:jc w:val="left"/>
            </w:pPr>
            <w:r w:rsidRPr="000F68B8">
              <w:rPr>
                <w:color w:val="000000"/>
              </w:rPr>
              <w:t>2017 SERIES C-3</w:t>
            </w:r>
          </w:p>
        </w:tc>
        <w:tc>
          <w:tcPr>
            <w:tcW w:w="1360" w:type="dxa"/>
            <w:tcBorders>
              <w:top w:val="nil"/>
              <w:left w:val="nil"/>
              <w:bottom w:val="nil"/>
              <w:right w:val="nil"/>
            </w:tcBorders>
            <w:shd w:val="clear" w:color="auto" w:fill="auto"/>
            <w:noWrap/>
            <w:vAlign w:val="bottom"/>
          </w:tcPr>
          <w:p w:rsidRPr="000F68B8" w:rsidR="000F68B8" w:rsidP="000F68B8" w:rsidRDefault="000F68B8" w14:paraId="45F962DB" w14:textId="5787362C">
            <w:pPr>
              <w:jc w:val="left"/>
            </w:pPr>
            <w:r w:rsidRPr="000F68B8">
              <w:rPr>
                <w:color w:val="000000"/>
              </w:rPr>
              <w:t xml:space="preserve"> Variable </w:t>
            </w:r>
          </w:p>
        </w:tc>
        <w:tc>
          <w:tcPr>
            <w:tcW w:w="1060" w:type="dxa"/>
            <w:tcBorders>
              <w:top w:val="nil"/>
              <w:left w:val="nil"/>
              <w:bottom w:val="nil"/>
              <w:right w:val="nil"/>
            </w:tcBorders>
            <w:shd w:val="clear" w:color="auto" w:fill="auto"/>
            <w:noWrap/>
            <w:vAlign w:val="bottom"/>
          </w:tcPr>
          <w:p w:rsidRPr="000F68B8" w:rsidR="000F68B8" w:rsidP="000F68B8" w:rsidRDefault="000F68B8" w14:paraId="0B5243E7" w14:textId="4BEB7AFF">
            <w:pPr>
              <w:jc w:val="center"/>
            </w:pPr>
            <w:r w:rsidRPr="000F68B8">
              <w:rPr>
                <w:color w:val="000000"/>
              </w:rPr>
              <w:t>7/1/2047</w:t>
            </w:r>
          </w:p>
        </w:tc>
        <w:tc>
          <w:tcPr>
            <w:tcW w:w="1220" w:type="dxa"/>
            <w:tcBorders>
              <w:top w:val="nil"/>
              <w:left w:val="nil"/>
              <w:bottom w:val="nil"/>
              <w:right w:val="nil"/>
            </w:tcBorders>
            <w:shd w:val="clear" w:color="auto" w:fill="auto"/>
            <w:noWrap/>
            <w:vAlign w:val="bottom"/>
          </w:tcPr>
          <w:p w:rsidRPr="000F68B8" w:rsidR="000F68B8" w:rsidP="000F68B8" w:rsidRDefault="000F68B8" w14:paraId="6E03AE50" w14:textId="374E0229">
            <w:pPr>
              <w:tabs>
                <w:tab w:val="decimal" w:pos="975"/>
              </w:tabs>
              <w:jc w:val="left"/>
            </w:pPr>
            <w:r w:rsidRPr="000F68B8">
              <w:rPr>
                <w:color w:val="000000"/>
              </w:rPr>
              <w:t xml:space="preserve">20,705,000 </w:t>
            </w:r>
          </w:p>
        </w:tc>
        <w:tc>
          <w:tcPr>
            <w:tcW w:w="1580" w:type="dxa"/>
            <w:tcBorders>
              <w:top w:val="nil"/>
              <w:left w:val="nil"/>
              <w:bottom w:val="nil"/>
              <w:right w:val="nil"/>
            </w:tcBorders>
            <w:shd w:val="clear" w:color="auto" w:fill="auto"/>
            <w:noWrap/>
            <w:vAlign w:val="bottom"/>
          </w:tcPr>
          <w:p w:rsidRPr="000F68B8" w:rsidR="000F68B8" w:rsidP="000F68B8" w:rsidRDefault="000F68B8" w14:paraId="1E431226" w14:textId="43F2DC2D">
            <w:pPr>
              <w:tabs>
                <w:tab w:val="decimal" w:pos="1185"/>
              </w:tabs>
              <w:jc w:val="left"/>
            </w:pPr>
            <w:r w:rsidRPr="000F68B8">
              <w:rPr>
                <w:color w:val="000000"/>
              </w:rPr>
              <w:t xml:space="preserve">1,567,650,000 </w:t>
            </w:r>
          </w:p>
        </w:tc>
        <w:tc>
          <w:tcPr>
            <w:tcW w:w="1160" w:type="dxa"/>
            <w:tcBorders>
              <w:top w:val="nil"/>
              <w:left w:val="nil"/>
              <w:bottom w:val="nil"/>
              <w:right w:val="nil"/>
            </w:tcBorders>
            <w:shd w:val="clear" w:color="auto" w:fill="auto"/>
            <w:noWrap/>
            <w:vAlign w:val="bottom"/>
          </w:tcPr>
          <w:p w:rsidRPr="000F68B8" w:rsidR="000F68B8" w:rsidP="000F68B8" w:rsidRDefault="000F68B8" w14:paraId="0E1C029E" w14:textId="69642410">
            <w:pPr>
              <w:tabs>
                <w:tab w:val="decimal" w:pos="330"/>
              </w:tabs>
              <w:jc w:val="left"/>
            </w:pPr>
            <w:r w:rsidRPr="000F68B8">
              <w:rPr>
                <w:color w:val="000000"/>
              </w:rPr>
              <w:t>100.000%</w:t>
            </w:r>
          </w:p>
        </w:tc>
      </w:tr>
    </w:tbl>
    <w:p w:rsidRPr="00353FAB" w:rsidR="008209E8" w:rsidP="00360CFF" w:rsidRDefault="008209E8" w14:paraId="2B835B0E" w14:textId="7FDA212E">
      <w:pPr>
        <w:pStyle w:val="asection3list"/>
      </w:pPr>
    </w:p>
    <w:p w:rsidRPr="00353FAB" w:rsidR="003C6A3E" w:rsidP="0043681D" w:rsidRDefault="003C6A3E" w14:paraId="74D7B17D" w14:textId="77777777"/>
    <w:p w:rsidRPr="00353FAB" w:rsidR="00F06451" w:rsidP="00F06451" w:rsidRDefault="00F06451" w14:paraId="1C14C4C7" w14:textId="71CA6128"/>
    <w:p w:rsidRPr="00353FAB" w:rsidR="00A97E57" w:rsidP="00F06451" w:rsidRDefault="00A97E57" w14:paraId="0CA5732D" w14:textId="77777777"/>
    <w:p w:rsidR="004B2FE2" w:rsidP="00A97E57" w:rsidRDefault="00A97E57" w14:paraId="749BF1DB" w14:textId="0F895D9D">
      <w:pPr>
        <w:widowControl/>
        <w:jc w:val="left"/>
        <w:rPr>
          <w:sz w:val="14"/>
        </w:rPr>
      </w:pPr>
      <w:r w:rsidRPr="00353FAB">
        <w:rPr>
          <w:sz w:val="14"/>
        </w:rPr>
        <w:fldChar w:fldCharType="begin"/>
      </w:r>
      <w:r w:rsidRPr="00353FAB">
        <w:rPr>
          <w:sz w:val="14"/>
        </w:rPr>
        <w:instrText xml:space="preserve"> ADVANCE  \y 736 </w:instrText>
      </w:r>
      <w:r w:rsidRPr="00353FAB">
        <w:rPr>
          <w:sz w:val="14"/>
        </w:rPr>
        <w:fldChar w:fldCharType="end"/>
      </w:r>
    </w:p>
    <w:p w:rsidR="00F019DD" w:rsidP="00A97E57" w:rsidRDefault="00F019DD" w14:paraId="7B6DAE67" w14:textId="77777777">
      <w:pPr>
        <w:widowControl/>
        <w:jc w:val="left"/>
        <w:rPr>
          <w:sz w:val="14"/>
        </w:rPr>
        <w:sectPr w:rsidR="00F019DD" w:rsidSect="00F06451">
          <w:headerReference w:type="default" r:id="rId44"/>
          <w:footerReference w:type="default" r:id="rId45"/>
          <w:pgSz w:w="12240" w:h="15840"/>
          <w:pgMar w:top="720" w:right="720" w:bottom="720" w:left="720" w:header="576" w:footer="720" w:gutter="0"/>
          <w:pgNumType w:start="1"/>
          <w:cols w:space="720"/>
          <w:noEndnote/>
          <w:docGrid w:linePitch="272"/>
        </w:sectPr>
      </w:pPr>
    </w:p>
    <w:p w:rsidR="00B21AF7" w:rsidP="00A97E57" w:rsidRDefault="00B21AF7" w14:paraId="23D902FD" w14:textId="2361D679">
      <w:pPr>
        <w:widowControl/>
        <w:jc w:val="left"/>
        <w:rPr>
          <w:sz w:val="14"/>
        </w:rPr>
      </w:pPr>
      <w:bookmarkStart w:name="ElPgBr104" w:id="1079"/>
      <w:bookmarkEnd w:id="1079"/>
    </w:p>
    <w:p w:rsidR="00B21AF7" w:rsidP="00A97E57" w:rsidRDefault="00B21AF7" w14:paraId="0124783D" w14:textId="6F257301">
      <w:pPr>
        <w:widowControl/>
        <w:jc w:val="left"/>
        <w:rPr>
          <w:sz w:val="14"/>
        </w:rPr>
      </w:pPr>
    </w:p>
    <w:p w:rsidR="00B21AF7" w:rsidP="00A97E57" w:rsidRDefault="00B21AF7" w14:paraId="0AB9EC12" w14:textId="19A2338D">
      <w:pPr>
        <w:widowControl/>
        <w:jc w:val="left"/>
        <w:rPr>
          <w:sz w:val="14"/>
        </w:rPr>
      </w:pPr>
    </w:p>
    <w:p w:rsidRPr="00B34407" w:rsidR="00F019DD" w:rsidP="00F019DD" w:rsidRDefault="00F019DD" w14:paraId="499AC365" w14:textId="438ECF7E">
      <w:pPr>
        <w:pStyle w:val="aBTRightJustified"/>
        <w:widowControl/>
      </w:pPr>
      <w:r>
        <w:t>APPENDIX I</w:t>
      </w:r>
    </w:p>
    <w:p w:rsidR="001619F9" w:rsidP="001619F9" w:rsidRDefault="00F019DD" w14:paraId="60AD1FD4" w14:textId="2B5BB482">
      <w:pPr>
        <w:pStyle w:val="atitle"/>
        <w:widowControl/>
        <w:spacing w:after="0"/>
      </w:pPr>
      <w:r>
        <w:t>FORM OF SOCIAL BONDS ANNUAL REPORT</w:t>
      </w:r>
    </w:p>
    <w:p w:rsidR="001619F9" w:rsidP="001619F9" w:rsidRDefault="001619F9" w14:paraId="7828A98D" w14:textId="6E7E0B55">
      <w:pPr>
        <w:pStyle w:val="atitle"/>
        <w:widowControl/>
        <w:spacing w:after="0"/>
      </w:pPr>
    </w:p>
    <w:p w:rsidRPr="008009F3" w:rsidR="001619F9" w:rsidP="001619F9" w:rsidRDefault="00C7294C" w14:paraId="7485C106" w14:textId="35FC2D08">
      <w:pPr>
        <w:pStyle w:val="atitle"/>
        <w:widowControl/>
        <w:spacing w:after="0"/>
      </w:pPr>
      <w:r>
        <w:t>2024 Series C</w:t>
      </w:r>
      <w:r w:rsidR="005B3036">
        <w:t xml:space="preserve"> Bond</w:t>
      </w:r>
      <w:r w:rsidR="006C550F">
        <w:t>s</w:t>
      </w:r>
      <w:r w:rsidRPr="008009F3" w:rsidR="001619F9">
        <w:t xml:space="preserve"> Proceeds Summary</w:t>
      </w:r>
    </w:p>
    <w:p w:rsidRPr="008009F3" w:rsidR="001619F9" w:rsidP="001619F9" w:rsidRDefault="001619F9" w14:paraId="14DBD841" w14:textId="1A4F8863">
      <w:pPr>
        <w:pStyle w:val="atitle"/>
        <w:widowControl/>
        <w:spacing w:after="0"/>
      </w:pPr>
    </w:p>
    <w:tbl>
      <w:tblPr>
        <w:tblStyle w:val="TableGrid"/>
        <w:tblW w:w="9469" w:type="dxa"/>
        <w:tblInd w:w="8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92"/>
        <w:gridCol w:w="2277"/>
      </w:tblGrid>
      <w:tr w:rsidR="001619F9" w:rsidTr="005B094B" w14:paraId="27E3D49F" w14:textId="77777777">
        <w:tc>
          <w:tcPr>
            <w:tcW w:w="7195" w:type="dxa"/>
          </w:tcPr>
          <w:p w:rsidR="001619F9" w:rsidP="001619F9" w:rsidRDefault="001619F9" w14:paraId="50E00D35" w14:textId="3F0C0C83">
            <w:pPr>
              <w:pStyle w:val="atitle"/>
              <w:widowControl/>
              <w:spacing w:after="0"/>
              <w:jc w:val="left"/>
              <w:rPr>
                <w:b w:val="0"/>
              </w:rPr>
            </w:pPr>
            <w:r>
              <w:rPr>
                <w:b w:val="0"/>
              </w:rPr>
              <w:t>Total Original Lendable Proceeds</w:t>
            </w:r>
          </w:p>
        </w:tc>
        <w:tc>
          <w:tcPr>
            <w:tcW w:w="2274" w:type="dxa"/>
          </w:tcPr>
          <w:p w:rsidR="001619F9" w:rsidP="005B094B" w:rsidRDefault="001619F9" w14:paraId="3E679C4C" w14:textId="6233B242">
            <w:pPr>
              <w:pStyle w:val="atitle"/>
              <w:widowControl/>
              <w:spacing w:after="0"/>
              <w:ind w:right="1227"/>
              <w:jc w:val="right"/>
              <w:rPr>
                <w:b w:val="0"/>
              </w:rPr>
            </w:pPr>
            <w:r>
              <w:rPr>
                <w:b w:val="0"/>
              </w:rPr>
              <w:t>$[______]</w:t>
            </w:r>
          </w:p>
        </w:tc>
      </w:tr>
      <w:tr w:rsidR="001619F9" w:rsidTr="005B094B" w14:paraId="64EC8A7A" w14:textId="77777777">
        <w:tc>
          <w:tcPr>
            <w:tcW w:w="7195" w:type="dxa"/>
          </w:tcPr>
          <w:p w:rsidRPr="001619F9" w:rsidR="001619F9" w:rsidP="001619F9" w:rsidRDefault="001619F9" w14:paraId="6A609666" w14:textId="5D25F3A7">
            <w:pPr>
              <w:pStyle w:val="atitle"/>
              <w:widowControl/>
              <w:spacing w:after="0"/>
              <w:jc w:val="left"/>
              <w:rPr>
                <w:b w:val="0"/>
              </w:rPr>
            </w:pPr>
            <w:r>
              <w:rPr>
                <w:b w:val="0"/>
              </w:rPr>
              <w:t>Amount of Proceeds Spend to Acquire Mortgage-Backed Securities as of [</w:t>
            </w:r>
            <w:r>
              <w:t>date</w:t>
            </w:r>
            <w:r>
              <w:rPr>
                <w:b w:val="0"/>
              </w:rPr>
              <w:t>]</w:t>
            </w:r>
          </w:p>
        </w:tc>
        <w:tc>
          <w:tcPr>
            <w:tcW w:w="2274" w:type="dxa"/>
          </w:tcPr>
          <w:p w:rsidR="001619F9" w:rsidP="001619F9" w:rsidRDefault="001619F9" w14:paraId="1676C191" w14:textId="77777777">
            <w:pPr>
              <w:pStyle w:val="atitle"/>
              <w:widowControl/>
              <w:spacing w:after="0"/>
              <w:jc w:val="left"/>
              <w:rPr>
                <w:b w:val="0"/>
              </w:rPr>
            </w:pPr>
          </w:p>
        </w:tc>
      </w:tr>
      <w:tr w:rsidR="001619F9" w:rsidTr="005B094B" w14:paraId="072CB925" w14:textId="77777777">
        <w:tc>
          <w:tcPr>
            <w:tcW w:w="7195" w:type="dxa"/>
          </w:tcPr>
          <w:p w:rsidRPr="008009F3" w:rsidR="001619F9" w:rsidP="001619F9" w:rsidRDefault="001619F9" w14:paraId="3AAA42BB" w14:textId="6EFF7606">
            <w:pPr>
              <w:pStyle w:val="atitle"/>
              <w:widowControl/>
              <w:spacing w:after="0"/>
              <w:jc w:val="left"/>
              <w:rPr>
                <w:b w:val="0"/>
              </w:rPr>
            </w:pPr>
            <w:r>
              <w:rPr>
                <w:b w:val="0"/>
              </w:rPr>
              <w:t>Bond Proc</w:t>
            </w:r>
            <w:r w:rsidR="008009F3">
              <w:rPr>
                <w:b w:val="0"/>
              </w:rPr>
              <w:t>eeds Remaining as of [</w:t>
            </w:r>
            <w:r w:rsidR="008009F3">
              <w:t>date</w:t>
            </w:r>
            <w:r w:rsidR="008009F3">
              <w:rPr>
                <w:b w:val="0"/>
              </w:rPr>
              <w:t>]</w:t>
            </w:r>
          </w:p>
        </w:tc>
        <w:tc>
          <w:tcPr>
            <w:tcW w:w="2274" w:type="dxa"/>
          </w:tcPr>
          <w:p w:rsidR="001619F9" w:rsidP="001619F9" w:rsidRDefault="001619F9" w14:paraId="30CEC372" w14:textId="77777777">
            <w:pPr>
              <w:pStyle w:val="atitle"/>
              <w:widowControl/>
              <w:spacing w:after="0"/>
              <w:jc w:val="left"/>
              <w:rPr>
                <w:b w:val="0"/>
              </w:rPr>
            </w:pPr>
          </w:p>
        </w:tc>
      </w:tr>
    </w:tbl>
    <w:p w:rsidR="001619F9" w:rsidP="001619F9" w:rsidRDefault="001619F9" w14:paraId="782FFBA1" w14:textId="143D8C55">
      <w:pPr>
        <w:pStyle w:val="atitle"/>
        <w:widowControl/>
        <w:spacing w:after="0"/>
        <w:rPr>
          <w:b w:val="0"/>
        </w:rPr>
      </w:pPr>
    </w:p>
    <w:p w:rsidR="005B094B" w:rsidP="001619F9" w:rsidRDefault="005B094B" w14:paraId="183D4337" w14:textId="77777777">
      <w:pPr>
        <w:pStyle w:val="atitle"/>
        <w:widowControl/>
        <w:spacing w:after="0"/>
        <w:rPr>
          <w:b w:val="0"/>
        </w:rPr>
      </w:pPr>
    </w:p>
    <w:tbl>
      <w:tblPr>
        <w:tblStyle w:val="TableGrid"/>
        <w:tblW w:w="0" w:type="auto"/>
        <w:tblInd w:w="1705" w:type="dxa"/>
        <w:tblBorders>
          <w:bottom w:val="none" w:color="auto" w:sz="0" w:space="0"/>
          <w:insideH w:val="none" w:color="auto" w:sz="0" w:space="0"/>
          <w:insideV w:val="none" w:color="auto" w:sz="0" w:space="0"/>
        </w:tblBorders>
        <w:tblLook w:val="04A0" w:firstRow="1" w:lastRow="0" w:firstColumn="1" w:lastColumn="0" w:noHBand="0" w:noVBand="1"/>
      </w:tblPr>
      <w:tblGrid>
        <w:gridCol w:w="2250"/>
        <w:gridCol w:w="1980"/>
        <w:gridCol w:w="1980"/>
      </w:tblGrid>
      <w:tr w:rsidR="008009F3" w:rsidTr="00491B37" w14:paraId="6F6DC248" w14:textId="77777777">
        <w:tc>
          <w:tcPr>
            <w:tcW w:w="6210" w:type="dxa"/>
            <w:gridSpan w:val="3"/>
          </w:tcPr>
          <w:p w:rsidRPr="00440DF9" w:rsidR="00440DF9" w:rsidP="00440DF9" w:rsidRDefault="00440DF9" w14:paraId="08E74B8F" w14:textId="4B69EF7C">
            <w:pPr>
              <w:pStyle w:val="BlockSSNoPt"/>
              <w:jc w:val="center"/>
              <w:rPr>
                <w:b/>
                <w:bCs/>
                <w:sz w:val="20"/>
                <w:szCs w:val="20"/>
              </w:rPr>
            </w:pPr>
            <w:r w:rsidRPr="00364E86">
              <w:rPr>
                <w:b/>
                <w:bCs/>
                <w:sz w:val="20"/>
                <w:szCs w:val="20"/>
              </w:rPr>
              <w:t xml:space="preserve">Mortgage Loans </w:t>
            </w:r>
            <w:r w:rsidRPr="00440DF9">
              <w:rPr>
                <w:b/>
                <w:bCs/>
                <w:sz w:val="20"/>
                <w:szCs w:val="20"/>
              </w:rPr>
              <w:t>(Pooled into Mortgage-Backed</w:t>
            </w:r>
          </w:p>
          <w:p w:rsidRPr="00364E86" w:rsidR="00440DF9" w:rsidP="00440DF9" w:rsidRDefault="00491B37" w14:paraId="6C3E7D63" w14:textId="2A4EB2C4">
            <w:pPr>
              <w:pStyle w:val="BlockSSNoPt"/>
              <w:jc w:val="center"/>
              <w:rPr>
                <w:b/>
                <w:bCs/>
                <w:sz w:val="20"/>
                <w:szCs w:val="20"/>
              </w:rPr>
            </w:pPr>
            <w:r>
              <w:rPr>
                <w:b/>
                <w:bCs/>
                <w:sz w:val="20"/>
                <w:szCs w:val="20"/>
              </w:rPr>
              <w:t xml:space="preserve">Securities) </w:t>
            </w:r>
            <w:r w:rsidR="00440DF9">
              <w:rPr>
                <w:b/>
                <w:bCs/>
                <w:sz w:val="20"/>
                <w:szCs w:val="20"/>
              </w:rPr>
              <w:t>Originated</w:t>
            </w:r>
          </w:p>
          <w:p w:rsidRPr="00364E86" w:rsidR="00440DF9" w:rsidP="00440DF9" w:rsidRDefault="00440DF9" w14:paraId="761F7F74" w14:textId="77777777">
            <w:pPr>
              <w:pStyle w:val="BlockSSNoPt"/>
              <w:jc w:val="center"/>
              <w:rPr>
                <w:b/>
                <w:bCs/>
                <w:sz w:val="20"/>
                <w:szCs w:val="20"/>
              </w:rPr>
            </w:pPr>
            <w:r w:rsidRPr="00364E86">
              <w:rPr>
                <w:b/>
                <w:bCs/>
                <w:sz w:val="20"/>
                <w:szCs w:val="20"/>
              </w:rPr>
              <w:t>by Borrower Income as a Percentage of</w:t>
            </w:r>
          </w:p>
          <w:p w:rsidR="008009F3" w:rsidP="00440DF9" w:rsidRDefault="00440DF9" w14:paraId="5EF4F282" w14:textId="77777777">
            <w:pPr>
              <w:pStyle w:val="atitle"/>
              <w:widowControl/>
              <w:spacing w:after="0"/>
            </w:pPr>
            <w:r w:rsidRPr="00364E86">
              <w:t>Area Median Income (AMI)</w:t>
            </w:r>
          </w:p>
          <w:p w:rsidR="00491B37" w:rsidP="00440DF9" w:rsidRDefault="00491B37" w14:paraId="424BC267" w14:textId="66E7A013">
            <w:pPr>
              <w:pStyle w:val="atitle"/>
              <w:widowControl/>
              <w:spacing w:after="0"/>
              <w:rPr>
                <w:b w:val="0"/>
              </w:rPr>
            </w:pPr>
          </w:p>
        </w:tc>
      </w:tr>
      <w:tr w:rsidR="008009F3" w:rsidTr="00491B37" w14:paraId="13DBBFAD" w14:textId="77777777">
        <w:tc>
          <w:tcPr>
            <w:tcW w:w="2250" w:type="dxa"/>
            <w:vAlign w:val="bottom"/>
          </w:tcPr>
          <w:p w:rsidRPr="00491B37" w:rsidR="008009F3" w:rsidP="008009F3" w:rsidRDefault="008009F3" w14:paraId="60C32E54" w14:textId="0A1194BA">
            <w:pPr>
              <w:pStyle w:val="atitle"/>
              <w:widowControl/>
              <w:spacing w:after="0"/>
              <w:jc w:val="left"/>
              <w:rPr>
                <w:b w:val="0"/>
                <w:u w:val="single"/>
              </w:rPr>
            </w:pPr>
            <w:r w:rsidRPr="00491B37">
              <w:rPr>
                <w:b w:val="0"/>
                <w:u w:val="single"/>
              </w:rPr>
              <w:t>AMI Band</w:t>
            </w:r>
          </w:p>
        </w:tc>
        <w:tc>
          <w:tcPr>
            <w:tcW w:w="1980" w:type="dxa"/>
          </w:tcPr>
          <w:p w:rsidRPr="00491B37" w:rsidR="008009F3" w:rsidP="001619F9" w:rsidRDefault="008009F3" w14:paraId="7BE3503F" w14:textId="77777777">
            <w:pPr>
              <w:pStyle w:val="atitle"/>
              <w:widowControl/>
              <w:spacing w:after="0"/>
              <w:rPr>
                <w:b w:val="0"/>
              </w:rPr>
            </w:pPr>
            <w:r w:rsidRPr="00491B37">
              <w:rPr>
                <w:b w:val="0"/>
              </w:rPr>
              <w:t xml:space="preserve">Loans </w:t>
            </w:r>
          </w:p>
          <w:p w:rsidRPr="00491B37" w:rsidR="008009F3" w:rsidP="005B094B" w:rsidRDefault="005B094B" w14:paraId="3AD53531" w14:textId="4B741EFE">
            <w:pPr>
              <w:pStyle w:val="atitle"/>
              <w:widowControl/>
              <w:spacing w:after="0"/>
              <w:rPr>
                <w:b w:val="0"/>
                <w:u w:val="single"/>
              </w:rPr>
            </w:pPr>
            <w:r w:rsidRPr="00491B37">
              <w:rPr>
                <w:b w:val="0"/>
                <w:u w:val="single"/>
              </w:rPr>
              <w:t>($</w:t>
            </w:r>
            <w:r w:rsidRPr="00491B37" w:rsidR="008009F3">
              <w:rPr>
                <w:b w:val="0"/>
                <w:u w:val="single"/>
              </w:rPr>
              <w:t xml:space="preserve"> millions)</w:t>
            </w:r>
          </w:p>
        </w:tc>
        <w:tc>
          <w:tcPr>
            <w:tcW w:w="1980" w:type="dxa"/>
          </w:tcPr>
          <w:p w:rsidRPr="00491B37" w:rsidR="008009F3" w:rsidP="001619F9" w:rsidRDefault="008009F3" w14:paraId="60319A43" w14:textId="77777777">
            <w:pPr>
              <w:pStyle w:val="atitle"/>
              <w:widowControl/>
              <w:spacing w:after="0"/>
              <w:rPr>
                <w:b w:val="0"/>
              </w:rPr>
            </w:pPr>
            <w:r w:rsidRPr="00491B37">
              <w:rPr>
                <w:b w:val="0"/>
              </w:rPr>
              <w:t xml:space="preserve">Cumulative </w:t>
            </w:r>
          </w:p>
          <w:p w:rsidRPr="00491B37" w:rsidR="008009F3" w:rsidP="008009F3" w:rsidRDefault="008009F3" w14:paraId="20666920" w14:textId="06562BA2">
            <w:pPr>
              <w:pStyle w:val="atitle"/>
              <w:widowControl/>
              <w:spacing w:after="0"/>
              <w:rPr>
                <w:b w:val="0"/>
                <w:u w:val="single"/>
              </w:rPr>
            </w:pPr>
            <w:r w:rsidRPr="00491B37">
              <w:rPr>
                <w:b w:val="0"/>
                <w:u w:val="single"/>
              </w:rPr>
              <w:t>(%)</w:t>
            </w:r>
          </w:p>
        </w:tc>
      </w:tr>
      <w:tr w:rsidR="008009F3" w:rsidTr="00491B37" w14:paraId="02AC720C" w14:textId="77777777">
        <w:tc>
          <w:tcPr>
            <w:tcW w:w="2250" w:type="dxa"/>
          </w:tcPr>
          <w:p w:rsidRPr="008009F3" w:rsidR="008009F3" w:rsidP="008009F3" w:rsidRDefault="008009F3" w14:paraId="78215A99" w14:textId="21387882">
            <w:pPr>
              <w:pStyle w:val="atitle"/>
              <w:widowControl/>
              <w:spacing w:after="0"/>
              <w:jc w:val="left"/>
              <w:rPr>
                <w:b w:val="0"/>
                <w:u w:val="single"/>
              </w:rPr>
            </w:pPr>
            <w:r w:rsidRPr="008009F3">
              <w:rPr>
                <w:b w:val="0"/>
              </w:rPr>
              <w:t>Below 50%</w:t>
            </w:r>
          </w:p>
        </w:tc>
        <w:tc>
          <w:tcPr>
            <w:tcW w:w="1980" w:type="dxa"/>
          </w:tcPr>
          <w:p w:rsidR="008009F3" w:rsidP="008009F3" w:rsidRDefault="008009F3" w14:paraId="329DA6E7" w14:textId="77777777">
            <w:pPr>
              <w:pStyle w:val="atitle"/>
              <w:widowControl/>
              <w:spacing w:after="0"/>
              <w:rPr>
                <w:b w:val="0"/>
              </w:rPr>
            </w:pPr>
          </w:p>
        </w:tc>
        <w:tc>
          <w:tcPr>
            <w:tcW w:w="1980" w:type="dxa"/>
          </w:tcPr>
          <w:p w:rsidR="008009F3" w:rsidP="008009F3" w:rsidRDefault="008009F3" w14:paraId="6518C78E" w14:textId="77777777">
            <w:pPr>
              <w:pStyle w:val="atitle"/>
              <w:widowControl/>
              <w:spacing w:after="0"/>
              <w:rPr>
                <w:b w:val="0"/>
              </w:rPr>
            </w:pPr>
          </w:p>
        </w:tc>
      </w:tr>
      <w:tr w:rsidR="008009F3" w:rsidTr="00491B37" w14:paraId="7AB2C4EF" w14:textId="77777777">
        <w:tc>
          <w:tcPr>
            <w:tcW w:w="2250" w:type="dxa"/>
          </w:tcPr>
          <w:p w:rsidRPr="008009F3" w:rsidR="008009F3" w:rsidP="008009F3" w:rsidRDefault="008009F3" w14:paraId="6DE4ABC7" w14:textId="0E73E3A1">
            <w:pPr>
              <w:pStyle w:val="atitle"/>
              <w:widowControl/>
              <w:spacing w:after="0"/>
              <w:jc w:val="left"/>
              <w:rPr>
                <w:b w:val="0"/>
                <w:u w:val="single"/>
              </w:rPr>
            </w:pPr>
            <w:r w:rsidRPr="008009F3">
              <w:rPr>
                <w:b w:val="0"/>
              </w:rPr>
              <w:t>50.1% - 60%</w:t>
            </w:r>
          </w:p>
        </w:tc>
        <w:tc>
          <w:tcPr>
            <w:tcW w:w="1980" w:type="dxa"/>
          </w:tcPr>
          <w:p w:rsidR="008009F3" w:rsidP="008009F3" w:rsidRDefault="008009F3" w14:paraId="789ED458" w14:textId="77777777">
            <w:pPr>
              <w:pStyle w:val="atitle"/>
              <w:widowControl/>
              <w:spacing w:after="0"/>
              <w:rPr>
                <w:b w:val="0"/>
              </w:rPr>
            </w:pPr>
          </w:p>
        </w:tc>
        <w:tc>
          <w:tcPr>
            <w:tcW w:w="1980" w:type="dxa"/>
          </w:tcPr>
          <w:p w:rsidR="008009F3" w:rsidP="008009F3" w:rsidRDefault="008009F3" w14:paraId="00453945" w14:textId="77777777">
            <w:pPr>
              <w:pStyle w:val="atitle"/>
              <w:widowControl/>
              <w:spacing w:after="0"/>
              <w:rPr>
                <w:b w:val="0"/>
              </w:rPr>
            </w:pPr>
          </w:p>
        </w:tc>
      </w:tr>
      <w:tr w:rsidR="008009F3" w:rsidTr="00491B37" w14:paraId="05509950" w14:textId="77777777">
        <w:tc>
          <w:tcPr>
            <w:tcW w:w="2250" w:type="dxa"/>
          </w:tcPr>
          <w:p w:rsidRPr="008009F3" w:rsidR="008009F3" w:rsidP="008009F3" w:rsidRDefault="008009F3" w14:paraId="083F99C2" w14:textId="0EF04725">
            <w:pPr>
              <w:pStyle w:val="atitle"/>
              <w:widowControl/>
              <w:spacing w:after="0"/>
              <w:jc w:val="left"/>
              <w:rPr>
                <w:b w:val="0"/>
                <w:u w:val="single"/>
              </w:rPr>
            </w:pPr>
            <w:r w:rsidRPr="008009F3">
              <w:rPr>
                <w:b w:val="0"/>
              </w:rPr>
              <w:t>60.1% - 70%</w:t>
            </w:r>
          </w:p>
        </w:tc>
        <w:tc>
          <w:tcPr>
            <w:tcW w:w="1980" w:type="dxa"/>
          </w:tcPr>
          <w:p w:rsidR="008009F3" w:rsidP="008009F3" w:rsidRDefault="008009F3" w14:paraId="0AFA54E3" w14:textId="77777777">
            <w:pPr>
              <w:pStyle w:val="atitle"/>
              <w:widowControl/>
              <w:spacing w:after="0"/>
              <w:rPr>
                <w:b w:val="0"/>
              </w:rPr>
            </w:pPr>
          </w:p>
        </w:tc>
        <w:tc>
          <w:tcPr>
            <w:tcW w:w="1980" w:type="dxa"/>
          </w:tcPr>
          <w:p w:rsidR="008009F3" w:rsidP="008009F3" w:rsidRDefault="008009F3" w14:paraId="40973ECA" w14:textId="77777777">
            <w:pPr>
              <w:pStyle w:val="atitle"/>
              <w:widowControl/>
              <w:spacing w:after="0"/>
              <w:rPr>
                <w:b w:val="0"/>
              </w:rPr>
            </w:pPr>
          </w:p>
        </w:tc>
      </w:tr>
      <w:tr w:rsidR="008009F3" w:rsidTr="00491B37" w14:paraId="26DB406B" w14:textId="77777777">
        <w:tc>
          <w:tcPr>
            <w:tcW w:w="2250" w:type="dxa"/>
          </w:tcPr>
          <w:p w:rsidRPr="008009F3" w:rsidR="008009F3" w:rsidP="008009F3" w:rsidRDefault="008009F3" w14:paraId="675F6B46" w14:textId="32E61E00">
            <w:pPr>
              <w:pStyle w:val="atitle"/>
              <w:widowControl/>
              <w:spacing w:after="0"/>
              <w:jc w:val="left"/>
              <w:rPr>
                <w:b w:val="0"/>
                <w:u w:val="single"/>
              </w:rPr>
            </w:pPr>
            <w:r w:rsidRPr="008009F3">
              <w:rPr>
                <w:b w:val="0"/>
              </w:rPr>
              <w:t>70.1% - 80%</w:t>
            </w:r>
          </w:p>
        </w:tc>
        <w:tc>
          <w:tcPr>
            <w:tcW w:w="1980" w:type="dxa"/>
          </w:tcPr>
          <w:p w:rsidR="008009F3" w:rsidP="008009F3" w:rsidRDefault="008009F3" w14:paraId="52A340FC" w14:textId="77777777">
            <w:pPr>
              <w:pStyle w:val="atitle"/>
              <w:widowControl/>
              <w:spacing w:after="0"/>
              <w:rPr>
                <w:b w:val="0"/>
              </w:rPr>
            </w:pPr>
          </w:p>
        </w:tc>
        <w:tc>
          <w:tcPr>
            <w:tcW w:w="1980" w:type="dxa"/>
          </w:tcPr>
          <w:p w:rsidR="008009F3" w:rsidP="008009F3" w:rsidRDefault="008009F3" w14:paraId="5C00D43E" w14:textId="77777777">
            <w:pPr>
              <w:pStyle w:val="atitle"/>
              <w:widowControl/>
              <w:spacing w:after="0"/>
              <w:rPr>
                <w:b w:val="0"/>
              </w:rPr>
            </w:pPr>
          </w:p>
        </w:tc>
      </w:tr>
      <w:tr w:rsidR="008009F3" w:rsidTr="00491B37" w14:paraId="5D870459" w14:textId="77777777">
        <w:tc>
          <w:tcPr>
            <w:tcW w:w="2250" w:type="dxa"/>
          </w:tcPr>
          <w:p w:rsidRPr="008009F3" w:rsidR="008009F3" w:rsidP="008009F3" w:rsidRDefault="008009F3" w14:paraId="484BBB12" w14:textId="4119AB62">
            <w:pPr>
              <w:pStyle w:val="atitle"/>
              <w:widowControl/>
              <w:spacing w:after="0"/>
              <w:jc w:val="left"/>
              <w:rPr>
                <w:b w:val="0"/>
                <w:u w:val="single"/>
              </w:rPr>
            </w:pPr>
            <w:r w:rsidRPr="008009F3">
              <w:rPr>
                <w:b w:val="0"/>
              </w:rPr>
              <w:t>80.1% - 90%</w:t>
            </w:r>
          </w:p>
        </w:tc>
        <w:tc>
          <w:tcPr>
            <w:tcW w:w="1980" w:type="dxa"/>
          </w:tcPr>
          <w:p w:rsidR="008009F3" w:rsidP="008009F3" w:rsidRDefault="008009F3" w14:paraId="1C548413" w14:textId="77777777">
            <w:pPr>
              <w:pStyle w:val="atitle"/>
              <w:widowControl/>
              <w:spacing w:after="0"/>
              <w:rPr>
                <w:b w:val="0"/>
              </w:rPr>
            </w:pPr>
          </w:p>
        </w:tc>
        <w:tc>
          <w:tcPr>
            <w:tcW w:w="1980" w:type="dxa"/>
          </w:tcPr>
          <w:p w:rsidR="008009F3" w:rsidP="008009F3" w:rsidRDefault="008009F3" w14:paraId="715B7AE8" w14:textId="77777777">
            <w:pPr>
              <w:pStyle w:val="atitle"/>
              <w:widowControl/>
              <w:spacing w:after="0"/>
              <w:rPr>
                <w:b w:val="0"/>
              </w:rPr>
            </w:pPr>
          </w:p>
        </w:tc>
      </w:tr>
      <w:tr w:rsidR="008009F3" w:rsidTr="00491B37" w14:paraId="5984E28C" w14:textId="77777777">
        <w:tc>
          <w:tcPr>
            <w:tcW w:w="2250" w:type="dxa"/>
          </w:tcPr>
          <w:p w:rsidRPr="008009F3" w:rsidR="008009F3" w:rsidP="008009F3" w:rsidRDefault="008009F3" w14:paraId="426A46EA" w14:textId="10D0B016">
            <w:pPr>
              <w:pStyle w:val="atitle"/>
              <w:widowControl/>
              <w:spacing w:after="0"/>
              <w:jc w:val="left"/>
              <w:rPr>
                <w:b w:val="0"/>
                <w:u w:val="single"/>
              </w:rPr>
            </w:pPr>
            <w:r w:rsidRPr="008009F3">
              <w:rPr>
                <w:b w:val="0"/>
              </w:rPr>
              <w:t>90.1% - 100%</w:t>
            </w:r>
          </w:p>
        </w:tc>
        <w:tc>
          <w:tcPr>
            <w:tcW w:w="1980" w:type="dxa"/>
          </w:tcPr>
          <w:p w:rsidR="008009F3" w:rsidP="008009F3" w:rsidRDefault="008009F3" w14:paraId="022F4DB0" w14:textId="77777777">
            <w:pPr>
              <w:pStyle w:val="atitle"/>
              <w:widowControl/>
              <w:spacing w:after="0"/>
              <w:rPr>
                <w:b w:val="0"/>
              </w:rPr>
            </w:pPr>
          </w:p>
        </w:tc>
        <w:tc>
          <w:tcPr>
            <w:tcW w:w="1980" w:type="dxa"/>
          </w:tcPr>
          <w:p w:rsidR="008009F3" w:rsidP="008009F3" w:rsidRDefault="008009F3" w14:paraId="6BC401C5" w14:textId="77777777">
            <w:pPr>
              <w:pStyle w:val="atitle"/>
              <w:widowControl/>
              <w:spacing w:after="0"/>
              <w:rPr>
                <w:b w:val="0"/>
              </w:rPr>
            </w:pPr>
          </w:p>
        </w:tc>
      </w:tr>
      <w:tr w:rsidR="008009F3" w:rsidTr="00491B37" w14:paraId="5A660B92" w14:textId="77777777">
        <w:tc>
          <w:tcPr>
            <w:tcW w:w="2250" w:type="dxa"/>
          </w:tcPr>
          <w:p w:rsidRPr="008009F3" w:rsidR="008009F3" w:rsidP="008009F3" w:rsidRDefault="008009F3" w14:paraId="441CACF3" w14:textId="30FFFB88">
            <w:pPr>
              <w:pStyle w:val="atitle"/>
              <w:widowControl/>
              <w:spacing w:after="0"/>
              <w:jc w:val="left"/>
              <w:rPr>
                <w:b w:val="0"/>
                <w:u w:val="single"/>
              </w:rPr>
            </w:pPr>
            <w:r w:rsidRPr="008009F3">
              <w:rPr>
                <w:b w:val="0"/>
              </w:rPr>
              <w:t>100.1% - 110%</w:t>
            </w:r>
          </w:p>
        </w:tc>
        <w:tc>
          <w:tcPr>
            <w:tcW w:w="1980" w:type="dxa"/>
          </w:tcPr>
          <w:p w:rsidR="008009F3" w:rsidP="008009F3" w:rsidRDefault="008009F3" w14:paraId="1B23C630" w14:textId="77777777">
            <w:pPr>
              <w:pStyle w:val="atitle"/>
              <w:widowControl/>
              <w:spacing w:after="0"/>
              <w:rPr>
                <w:b w:val="0"/>
              </w:rPr>
            </w:pPr>
          </w:p>
        </w:tc>
        <w:tc>
          <w:tcPr>
            <w:tcW w:w="1980" w:type="dxa"/>
          </w:tcPr>
          <w:p w:rsidR="008009F3" w:rsidP="008009F3" w:rsidRDefault="008009F3" w14:paraId="4676E618" w14:textId="77777777">
            <w:pPr>
              <w:pStyle w:val="atitle"/>
              <w:widowControl/>
              <w:spacing w:after="0"/>
              <w:rPr>
                <w:b w:val="0"/>
              </w:rPr>
            </w:pPr>
          </w:p>
        </w:tc>
      </w:tr>
      <w:tr w:rsidR="008009F3" w:rsidTr="00491B37" w14:paraId="06FAA5D6" w14:textId="77777777">
        <w:tc>
          <w:tcPr>
            <w:tcW w:w="2250" w:type="dxa"/>
          </w:tcPr>
          <w:p w:rsidRPr="008009F3" w:rsidR="008009F3" w:rsidP="008009F3" w:rsidRDefault="008009F3" w14:paraId="078FF7B1" w14:textId="67616B71">
            <w:pPr>
              <w:pStyle w:val="atitle"/>
              <w:widowControl/>
              <w:spacing w:after="0"/>
              <w:jc w:val="left"/>
              <w:rPr>
                <w:b w:val="0"/>
                <w:u w:val="single"/>
              </w:rPr>
            </w:pPr>
            <w:r w:rsidRPr="008009F3">
              <w:rPr>
                <w:b w:val="0"/>
              </w:rPr>
              <w:t>110.1% - 120%</w:t>
            </w:r>
          </w:p>
        </w:tc>
        <w:tc>
          <w:tcPr>
            <w:tcW w:w="1980" w:type="dxa"/>
          </w:tcPr>
          <w:p w:rsidR="008009F3" w:rsidP="008009F3" w:rsidRDefault="008009F3" w14:paraId="391DE8A4" w14:textId="77777777">
            <w:pPr>
              <w:pStyle w:val="atitle"/>
              <w:widowControl/>
              <w:spacing w:after="0"/>
              <w:rPr>
                <w:b w:val="0"/>
              </w:rPr>
            </w:pPr>
          </w:p>
        </w:tc>
        <w:tc>
          <w:tcPr>
            <w:tcW w:w="1980" w:type="dxa"/>
          </w:tcPr>
          <w:p w:rsidR="008009F3" w:rsidP="008009F3" w:rsidRDefault="008009F3" w14:paraId="4B729CEA" w14:textId="77777777">
            <w:pPr>
              <w:pStyle w:val="atitle"/>
              <w:widowControl/>
              <w:spacing w:after="0"/>
              <w:rPr>
                <w:b w:val="0"/>
              </w:rPr>
            </w:pPr>
          </w:p>
        </w:tc>
      </w:tr>
      <w:tr w:rsidR="00C07279" w:rsidTr="00491B37" w14:paraId="65CA3697" w14:textId="77777777">
        <w:tc>
          <w:tcPr>
            <w:tcW w:w="2250" w:type="dxa"/>
          </w:tcPr>
          <w:p w:rsidRPr="008009F3" w:rsidR="00C07279" w:rsidP="008009F3" w:rsidRDefault="00C07279" w14:paraId="0D73B2FC" w14:textId="44F7C9A0">
            <w:pPr>
              <w:pStyle w:val="atitle"/>
              <w:widowControl/>
              <w:spacing w:after="0"/>
              <w:jc w:val="left"/>
              <w:rPr>
                <w:b w:val="0"/>
              </w:rPr>
            </w:pPr>
            <w:r>
              <w:rPr>
                <w:b w:val="0"/>
              </w:rPr>
              <w:t>Above 120%</w:t>
            </w:r>
          </w:p>
        </w:tc>
        <w:tc>
          <w:tcPr>
            <w:tcW w:w="1980" w:type="dxa"/>
          </w:tcPr>
          <w:p w:rsidR="00C07279" w:rsidP="008009F3" w:rsidRDefault="00C07279" w14:paraId="2AA61350" w14:textId="77777777">
            <w:pPr>
              <w:pStyle w:val="atitle"/>
              <w:widowControl/>
              <w:spacing w:after="0"/>
              <w:rPr>
                <w:b w:val="0"/>
              </w:rPr>
            </w:pPr>
          </w:p>
        </w:tc>
        <w:tc>
          <w:tcPr>
            <w:tcW w:w="1980" w:type="dxa"/>
          </w:tcPr>
          <w:p w:rsidR="00C07279" w:rsidP="008009F3" w:rsidRDefault="00C07279" w14:paraId="403FAC85" w14:textId="77777777">
            <w:pPr>
              <w:pStyle w:val="atitle"/>
              <w:widowControl/>
              <w:spacing w:after="0"/>
              <w:rPr>
                <w:b w:val="0"/>
              </w:rPr>
            </w:pPr>
          </w:p>
        </w:tc>
      </w:tr>
      <w:tr w:rsidR="008009F3" w:rsidTr="00491B37" w14:paraId="64FCD5B5" w14:textId="77777777">
        <w:tc>
          <w:tcPr>
            <w:tcW w:w="2250" w:type="dxa"/>
            <w:tcBorders>
              <w:bottom w:val="nil"/>
            </w:tcBorders>
          </w:tcPr>
          <w:p w:rsidRPr="008009F3" w:rsidR="008009F3" w:rsidP="008009F3" w:rsidRDefault="008009F3" w14:paraId="683F38FA" w14:textId="754A2030">
            <w:pPr>
              <w:pStyle w:val="atitle"/>
              <w:widowControl/>
              <w:spacing w:after="0"/>
              <w:jc w:val="left"/>
              <w:rPr>
                <w:b w:val="0"/>
                <w:u w:val="single"/>
              </w:rPr>
            </w:pPr>
          </w:p>
        </w:tc>
        <w:tc>
          <w:tcPr>
            <w:tcW w:w="1980" w:type="dxa"/>
            <w:tcBorders>
              <w:bottom w:val="nil"/>
            </w:tcBorders>
          </w:tcPr>
          <w:p w:rsidR="008009F3" w:rsidP="008009F3" w:rsidRDefault="008009F3" w14:paraId="5C79CF9F" w14:textId="77777777">
            <w:pPr>
              <w:pStyle w:val="atitle"/>
              <w:widowControl/>
              <w:spacing w:after="0"/>
              <w:rPr>
                <w:b w:val="0"/>
              </w:rPr>
            </w:pPr>
          </w:p>
        </w:tc>
        <w:tc>
          <w:tcPr>
            <w:tcW w:w="1980" w:type="dxa"/>
            <w:tcBorders>
              <w:bottom w:val="nil"/>
            </w:tcBorders>
          </w:tcPr>
          <w:p w:rsidR="008009F3" w:rsidP="008009F3" w:rsidRDefault="008009F3" w14:paraId="481EE9D1" w14:textId="77777777">
            <w:pPr>
              <w:pStyle w:val="atitle"/>
              <w:widowControl/>
              <w:spacing w:after="0"/>
              <w:rPr>
                <w:b w:val="0"/>
              </w:rPr>
            </w:pPr>
          </w:p>
        </w:tc>
      </w:tr>
      <w:tr w:rsidR="008009F3" w:rsidTr="00491B37" w14:paraId="16626309" w14:textId="77777777">
        <w:tc>
          <w:tcPr>
            <w:tcW w:w="2250" w:type="dxa"/>
            <w:tcBorders>
              <w:top w:val="nil"/>
              <w:bottom w:val="single" w:color="auto" w:sz="4" w:space="0"/>
            </w:tcBorders>
          </w:tcPr>
          <w:p w:rsidRPr="008009F3" w:rsidR="008009F3" w:rsidP="008009F3" w:rsidRDefault="008009F3" w14:paraId="028C6877" w14:textId="4641520B">
            <w:pPr>
              <w:pStyle w:val="atitle"/>
              <w:widowControl/>
              <w:spacing w:after="0"/>
              <w:jc w:val="left"/>
              <w:rPr>
                <w:b w:val="0"/>
              </w:rPr>
            </w:pPr>
            <w:r w:rsidRPr="008009F3">
              <w:rPr>
                <w:b w:val="0"/>
              </w:rPr>
              <w:t>Total</w:t>
            </w:r>
          </w:p>
        </w:tc>
        <w:tc>
          <w:tcPr>
            <w:tcW w:w="1980" w:type="dxa"/>
            <w:tcBorders>
              <w:top w:val="nil"/>
              <w:bottom w:val="single" w:color="auto" w:sz="4" w:space="0"/>
            </w:tcBorders>
          </w:tcPr>
          <w:p w:rsidR="008009F3" w:rsidP="008009F3" w:rsidRDefault="008009F3" w14:paraId="5F904457" w14:textId="77777777">
            <w:pPr>
              <w:pStyle w:val="atitle"/>
              <w:widowControl/>
              <w:spacing w:after="0"/>
              <w:rPr>
                <w:b w:val="0"/>
              </w:rPr>
            </w:pPr>
          </w:p>
        </w:tc>
        <w:tc>
          <w:tcPr>
            <w:tcW w:w="1980" w:type="dxa"/>
            <w:tcBorders>
              <w:top w:val="nil"/>
              <w:bottom w:val="single" w:color="auto" w:sz="4" w:space="0"/>
            </w:tcBorders>
          </w:tcPr>
          <w:p w:rsidR="008009F3" w:rsidP="008009F3" w:rsidRDefault="008009F3" w14:paraId="3C9AB6C4" w14:textId="713A3B70">
            <w:pPr>
              <w:pStyle w:val="atitle"/>
              <w:widowControl/>
              <w:spacing w:after="0"/>
              <w:rPr>
                <w:b w:val="0"/>
              </w:rPr>
            </w:pPr>
            <w:r>
              <w:rPr>
                <w:b w:val="0"/>
              </w:rPr>
              <w:t>100</w:t>
            </w:r>
            <w:r w:rsidR="005B094B">
              <w:rPr>
                <w:b w:val="0"/>
              </w:rPr>
              <w:t>%</w:t>
            </w:r>
          </w:p>
        </w:tc>
      </w:tr>
    </w:tbl>
    <w:p w:rsidRPr="001619F9" w:rsidR="008009F3" w:rsidP="001619F9" w:rsidRDefault="008009F3" w14:paraId="34A0B9E8" w14:textId="77777777">
      <w:pPr>
        <w:pStyle w:val="atitle"/>
        <w:widowControl/>
        <w:spacing w:after="0"/>
        <w:rPr>
          <w:b w:val="0"/>
        </w:rPr>
      </w:pPr>
    </w:p>
    <w:p w:rsidR="00B21AF7" w:rsidP="00A97E57" w:rsidRDefault="00B21AF7" w14:paraId="7EA066DC" w14:textId="6A97006D">
      <w:pPr>
        <w:widowControl/>
        <w:jc w:val="left"/>
        <w:rPr>
          <w:sz w:val="14"/>
        </w:rPr>
      </w:pPr>
    </w:p>
    <w:p w:rsidR="00B21AF7" w:rsidP="00A97E57" w:rsidRDefault="00B21AF7" w14:paraId="3DF85533" w14:textId="7AE96C2D">
      <w:pPr>
        <w:widowControl/>
        <w:jc w:val="left"/>
        <w:rPr>
          <w:sz w:val="14"/>
        </w:rPr>
      </w:pPr>
    </w:p>
    <w:p w:rsidR="00B21AF7" w:rsidP="00A97E57" w:rsidRDefault="00B21AF7" w14:paraId="6FDB10C1" w14:textId="421EB0DA">
      <w:pPr>
        <w:widowControl/>
        <w:jc w:val="left"/>
        <w:rPr>
          <w:sz w:val="14"/>
        </w:rPr>
      </w:pPr>
    </w:p>
    <w:p w:rsidR="00B21AF7" w:rsidP="00A97E57" w:rsidRDefault="00B21AF7" w14:paraId="2E737509" w14:textId="1E5DABF2">
      <w:pPr>
        <w:widowControl/>
        <w:jc w:val="left"/>
        <w:rPr>
          <w:sz w:val="14"/>
        </w:rPr>
      </w:pPr>
    </w:p>
    <w:p w:rsidR="00B21AF7" w:rsidP="00A97E57" w:rsidRDefault="00B21AF7" w14:paraId="0A9A15F2" w14:textId="54488CC6">
      <w:pPr>
        <w:widowControl/>
        <w:jc w:val="left"/>
        <w:rPr>
          <w:sz w:val="14"/>
        </w:rPr>
      </w:pPr>
    </w:p>
    <w:p w:rsidR="00B21AF7" w:rsidP="00A97E57" w:rsidRDefault="00B21AF7" w14:paraId="7E4D7A0B" w14:textId="7D4FEA55">
      <w:pPr>
        <w:widowControl/>
        <w:jc w:val="left"/>
        <w:rPr>
          <w:sz w:val="14"/>
        </w:rPr>
      </w:pPr>
    </w:p>
    <w:p w:rsidR="00B21AF7" w:rsidP="00A97E57" w:rsidRDefault="00B21AF7" w14:paraId="7DDDC645" w14:textId="400C4DF6">
      <w:pPr>
        <w:widowControl/>
        <w:jc w:val="left"/>
        <w:rPr>
          <w:sz w:val="14"/>
        </w:rPr>
      </w:pPr>
    </w:p>
    <w:p w:rsidR="00B21AF7" w:rsidP="00A97E57" w:rsidRDefault="00B21AF7" w14:paraId="3317AAD0" w14:textId="2E00BC3D">
      <w:pPr>
        <w:widowControl/>
        <w:jc w:val="left"/>
        <w:rPr>
          <w:sz w:val="14"/>
        </w:rPr>
      </w:pPr>
    </w:p>
    <w:p w:rsidR="00B21AF7" w:rsidP="00A97E57" w:rsidRDefault="00B21AF7" w14:paraId="6D423F5B" w14:textId="26B58951">
      <w:pPr>
        <w:widowControl/>
        <w:jc w:val="left"/>
        <w:rPr>
          <w:sz w:val="14"/>
        </w:rPr>
      </w:pPr>
    </w:p>
    <w:p w:rsidR="00B21AF7" w:rsidP="00A97E57" w:rsidRDefault="00B21AF7" w14:paraId="1D61A9D7" w14:textId="166A0B13">
      <w:pPr>
        <w:widowControl/>
        <w:jc w:val="left"/>
        <w:rPr>
          <w:sz w:val="14"/>
        </w:rPr>
      </w:pPr>
    </w:p>
    <w:p w:rsidR="00B21AF7" w:rsidP="00A97E57" w:rsidRDefault="00B21AF7" w14:paraId="7D37A72C" w14:textId="5B1549EE">
      <w:pPr>
        <w:widowControl/>
        <w:jc w:val="left"/>
        <w:rPr>
          <w:sz w:val="14"/>
        </w:rPr>
      </w:pPr>
    </w:p>
    <w:p w:rsidR="00B21AF7" w:rsidP="00A97E57" w:rsidRDefault="00B21AF7" w14:paraId="5AC20E8B" w14:textId="61B4D797">
      <w:pPr>
        <w:widowControl/>
        <w:jc w:val="left"/>
        <w:rPr>
          <w:sz w:val="14"/>
        </w:rPr>
      </w:pPr>
    </w:p>
    <w:p w:rsidR="00B21AF7" w:rsidP="00A97E57" w:rsidRDefault="00B21AF7" w14:paraId="71BFA7AD" w14:textId="6090804C">
      <w:pPr>
        <w:widowControl/>
        <w:jc w:val="left"/>
        <w:rPr>
          <w:sz w:val="14"/>
        </w:rPr>
      </w:pPr>
    </w:p>
    <w:p w:rsidR="00B21AF7" w:rsidP="00A97E57" w:rsidRDefault="00B21AF7" w14:paraId="2296C58B" w14:textId="0D25287C">
      <w:pPr>
        <w:widowControl/>
        <w:jc w:val="left"/>
        <w:rPr>
          <w:sz w:val="14"/>
        </w:rPr>
      </w:pPr>
    </w:p>
    <w:p w:rsidR="00B21AF7" w:rsidP="00A97E57" w:rsidRDefault="00B21AF7" w14:paraId="658EDF5B" w14:textId="351B9CBF">
      <w:pPr>
        <w:widowControl/>
        <w:jc w:val="left"/>
        <w:rPr>
          <w:sz w:val="14"/>
        </w:rPr>
      </w:pPr>
    </w:p>
    <w:p w:rsidR="00B21AF7" w:rsidP="00A97E57" w:rsidRDefault="00B21AF7" w14:paraId="7F591A6F" w14:textId="1858065E">
      <w:pPr>
        <w:widowControl/>
        <w:jc w:val="left"/>
        <w:rPr>
          <w:sz w:val="14"/>
        </w:rPr>
      </w:pPr>
    </w:p>
    <w:p w:rsidR="00B21AF7" w:rsidP="00A97E57" w:rsidRDefault="00B21AF7" w14:paraId="03F90950" w14:textId="03E6E848">
      <w:pPr>
        <w:widowControl/>
        <w:jc w:val="left"/>
        <w:rPr>
          <w:sz w:val="14"/>
        </w:rPr>
      </w:pPr>
    </w:p>
    <w:p w:rsidR="00B21AF7" w:rsidP="00A97E57" w:rsidRDefault="00B21AF7" w14:paraId="4C69B7B2" w14:textId="0EB90195">
      <w:pPr>
        <w:widowControl/>
        <w:jc w:val="left"/>
        <w:rPr>
          <w:sz w:val="14"/>
        </w:rPr>
      </w:pPr>
    </w:p>
    <w:p w:rsidR="00B21AF7" w:rsidP="00A97E57" w:rsidRDefault="00B21AF7" w14:paraId="6A7E6367" w14:textId="0DB8620E">
      <w:pPr>
        <w:widowControl/>
        <w:jc w:val="left"/>
        <w:rPr>
          <w:sz w:val="14"/>
        </w:rPr>
      </w:pPr>
    </w:p>
    <w:p w:rsidR="00B21AF7" w:rsidP="00A97E57" w:rsidRDefault="00B21AF7" w14:paraId="75965B52" w14:textId="243A4763">
      <w:pPr>
        <w:widowControl/>
        <w:jc w:val="left"/>
        <w:rPr>
          <w:sz w:val="14"/>
        </w:rPr>
      </w:pPr>
    </w:p>
    <w:p w:rsidR="00B21AF7" w:rsidP="00A97E57" w:rsidRDefault="00B21AF7" w14:paraId="6AD15856" w14:textId="7C36BDFF">
      <w:pPr>
        <w:widowControl/>
        <w:jc w:val="left"/>
        <w:rPr>
          <w:sz w:val="14"/>
        </w:rPr>
      </w:pPr>
    </w:p>
    <w:p w:rsidR="00B21AF7" w:rsidP="00A97E57" w:rsidRDefault="00B21AF7" w14:paraId="5B23C90F" w14:textId="06E5342C">
      <w:pPr>
        <w:widowControl/>
        <w:jc w:val="left"/>
        <w:rPr>
          <w:sz w:val="14"/>
        </w:rPr>
      </w:pPr>
    </w:p>
    <w:p w:rsidR="00B21AF7" w:rsidP="00A97E57" w:rsidRDefault="00B21AF7" w14:paraId="220F28CB" w14:textId="3A9CBF0D">
      <w:pPr>
        <w:widowControl/>
        <w:jc w:val="left"/>
        <w:rPr>
          <w:sz w:val="14"/>
        </w:rPr>
      </w:pPr>
    </w:p>
    <w:p w:rsidR="00B21AF7" w:rsidP="00A97E57" w:rsidRDefault="00B21AF7" w14:paraId="2A5A1E41" w14:textId="5E4776DB">
      <w:pPr>
        <w:widowControl/>
        <w:jc w:val="left"/>
        <w:rPr>
          <w:sz w:val="14"/>
        </w:rPr>
      </w:pPr>
    </w:p>
    <w:p w:rsidR="00B21AF7" w:rsidP="00A97E57" w:rsidRDefault="00B21AF7" w14:paraId="76A7A831" w14:textId="18EC4A94">
      <w:pPr>
        <w:widowControl/>
        <w:jc w:val="left"/>
        <w:rPr>
          <w:sz w:val="14"/>
        </w:rPr>
      </w:pPr>
    </w:p>
    <w:p w:rsidR="00B21AF7" w:rsidP="00A97E57" w:rsidRDefault="00B21AF7" w14:paraId="3BF5BD19" w14:textId="66777D61">
      <w:pPr>
        <w:widowControl/>
        <w:jc w:val="left"/>
        <w:rPr>
          <w:sz w:val="14"/>
        </w:rPr>
      </w:pPr>
    </w:p>
    <w:p w:rsidRPr="00E640B4" w:rsidR="00B21AF7" w:rsidP="00A97E57" w:rsidRDefault="00B21AF7" w14:paraId="1111EBA0" w14:textId="7789167D">
      <w:pPr>
        <w:widowControl/>
        <w:jc w:val="left"/>
        <w:rPr>
          <w:sz w:val="16"/>
          <w:szCs w:val="16"/>
        </w:rPr>
      </w:pPr>
    </w:p>
    <w:p w:rsidRPr="00E640B4" w:rsidR="00B21AF7" w:rsidP="00A97E57" w:rsidRDefault="00B21AF7" w14:paraId="6130B08B" w14:textId="76B86A72">
      <w:pPr>
        <w:widowControl/>
        <w:jc w:val="left"/>
        <w:rPr>
          <w:sz w:val="16"/>
          <w:szCs w:val="16"/>
        </w:rPr>
      </w:pPr>
    </w:p>
    <w:sectPr w:rsidRPr="00E640B4" w:rsidR="00B21AF7" w:rsidSect="00F06451">
      <w:footerReference w:type="default" r:id="rId46"/>
      <w:pgSz w:w="12240" w:h="15840"/>
      <w:pgMar w:top="720" w:right="720" w:bottom="720" w:left="720" w:header="576"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6A" w:rsidP="00AF72E5" w:rsidRDefault="00A62C6A" w14:paraId="22ECF19B" w14:textId="77777777">
      <w:r>
        <w:separator/>
      </w:r>
    </w:p>
  </w:endnote>
  <w:endnote w:type="continuationSeparator" w:id="0">
    <w:p w:rsidR="00A62C6A" w:rsidP="00AF72E5" w:rsidRDefault="00A62C6A" w14:paraId="76F750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2CB00BC6"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2D98372B" w14:textId="71C1DD14">
    <w:pPr>
      <w:pStyle w:val="Footer"/>
      <w:widowControl/>
      <w:jc w:val="center"/>
    </w:pPr>
    <w:r>
      <w:t>A-</w:t>
    </w:r>
    <w:r>
      <w:rPr>
        <w:rStyle w:val="PageNumber"/>
        <w:noProof/>
      </w:rPr>
      <w:fldChar w:fldCharType="begin"/>
    </w:r>
    <w:r>
      <w:rPr>
        <w:rStyle w:val="PageNumber"/>
        <w:noProof/>
      </w:rPr>
      <w:instrText xml:space="preserve"> PAGE </w:instrText>
    </w:r>
    <w:r>
      <w:rPr>
        <w:rStyle w:val="PageNumber"/>
        <w:noProof/>
      </w:rPr>
      <w:fldChar w:fldCharType="separate"/>
    </w:r>
    <w:r w:rsidR="002D0436">
      <w:rPr>
        <w:rStyle w:val="PageNumber"/>
        <w:noProof/>
      </w:rPr>
      <w:t>4</w:t>
    </w:r>
    <w:r>
      <w:rPr>
        <w:rStyle w:val="PageNumbe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03445B59" w14:textId="4CB3CD21">
    <w:pPr>
      <w:pStyle w:val="Footer"/>
      <w:widowControl/>
      <w:jc w:val="center"/>
    </w:pPr>
    <w:r>
      <w:t>B-</w:t>
    </w:r>
    <w:r>
      <w:rPr>
        <w:rStyle w:val="PageNumber"/>
        <w:noProof/>
      </w:rPr>
      <w:fldChar w:fldCharType="begin"/>
    </w:r>
    <w:r>
      <w:rPr>
        <w:rStyle w:val="PageNumber"/>
        <w:noProof/>
      </w:rPr>
      <w:instrText xml:space="preserve"> PAGE </w:instrText>
    </w:r>
    <w:r>
      <w:rPr>
        <w:rStyle w:val="PageNumber"/>
        <w:noProof/>
      </w:rPr>
      <w:fldChar w:fldCharType="separate"/>
    </w:r>
    <w:r w:rsidR="002D0436">
      <w:rPr>
        <w:rStyle w:val="PageNumber"/>
        <w:noProof/>
      </w:rPr>
      <w:t>1</w:t>
    </w:r>
    <w:r>
      <w:rPr>
        <w:rStyle w:val="PageNumbe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114B70CF" w14:textId="01163600">
    <w:pPr>
      <w:pStyle w:val="Footer"/>
      <w:widowControl/>
      <w:jc w:val="center"/>
    </w:pPr>
    <w:r>
      <w:rPr>
        <w:rStyle w:val="PageNumber"/>
      </w:rPr>
      <w:t>C-</w:t>
    </w:r>
    <w:r>
      <w:rPr>
        <w:rStyle w:val="PageNumber"/>
        <w:noProof/>
      </w:rPr>
      <w:fldChar w:fldCharType="begin"/>
    </w:r>
    <w:r>
      <w:rPr>
        <w:rStyle w:val="PageNumber"/>
        <w:noProof/>
      </w:rPr>
      <w:instrText xml:space="preserve"> PAGE </w:instrText>
    </w:r>
    <w:r>
      <w:rPr>
        <w:rStyle w:val="PageNumber"/>
        <w:noProof/>
      </w:rPr>
      <w:fldChar w:fldCharType="separate"/>
    </w:r>
    <w:r w:rsidR="002D0436">
      <w:rPr>
        <w:rStyle w:val="PageNumber"/>
        <w:noProof/>
      </w:rPr>
      <w:t>1</w:t>
    </w:r>
    <w:r>
      <w:rPr>
        <w:rStyle w:val="PageNumbe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442FF581" w14:textId="0A2AE641">
    <w:pPr>
      <w:pStyle w:val="Footer"/>
      <w:widowControl/>
      <w:jc w:val="center"/>
    </w:pPr>
    <w:r>
      <w:rPr>
        <w:rStyle w:val="PageNumber"/>
      </w:rPr>
      <w:t>D-</w:t>
    </w:r>
    <w:r>
      <w:rPr>
        <w:rStyle w:val="PageNumber"/>
        <w:noProof/>
      </w:rPr>
      <w:fldChar w:fldCharType="begin"/>
    </w:r>
    <w:r>
      <w:rPr>
        <w:rStyle w:val="PageNumber"/>
        <w:noProof/>
      </w:rPr>
      <w:instrText xml:space="preserve"> PAGE </w:instrText>
    </w:r>
    <w:r>
      <w:rPr>
        <w:rStyle w:val="PageNumber"/>
        <w:noProof/>
      </w:rPr>
      <w:fldChar w:fldCharType="separate"/>
    </w:r>
    <w:r w:rsidR="002D0436">
      <w:rPr>
        <w:rStyle w:val="PageNumber"/>
        <w:noProof/>
      </w:rPr>
      <w:t>12</w:t>
    </w:r>
    <w:r>
      <w:rPr>
        <w:rStyle w:val="PageNumbe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4A977E10" w14:textId="31561A88">
    <w:pPr>
      <w:pStyle w:val="Footer"/>
      <w:widowControl/>
      <w:jc w:val="center"/>
    </w:pPr>
    <w:r>
      <w:rPr>
        <w:rStyle w:val="PageNumber"/>
      </w:rPr>
      <w:t>E-</w:t>
    </w:r>
    <w:r>
      <w:rPr>
        <w:rStyle w:val="PageNumber"/>
        <w:noProof/>
      </w:rPr>
      <w:fldChar w:fldCharType="begin"/>
    </w:r>
    <w:r>
      <w:rPr>
        <w:rStyle w:val="PageNumber"/>
        <w:noProof/>
      </w:rPr>
      <w:instrText xml:space="preserve"> PAGE </w:instrText>
    </w:r>
    <w:r>
      <w:rPr>
        <w:rStyle w:val="PageNumber"/>
        <w:noProof/>
      </w:rPr>
      <w:fldChar w:fldCharType="separate"/>
    </w:r>
    <w:r w:rsidR="002D0436">
      <w:rPr>
        <w:rStyle w:val="PageNumber"/>
        <w:noProof/>
      </w:rPr>
      <w:t>5</w:t>
    </w:r>
    <w:r>
      <w:rPr>
        <w:rStyle w:val="PageNumbe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P="00605584" w:rsidRDefault="00A62C6A" w14:paraId="787FAD00" w14:textId="47922E6B">
    <w:pPr>
      <w:pStyle w:val="Footer"/>
      <w:widowControl/>
      <w:tabs>
        <w:tab w:val="clear" w:pos="4320"/>
        <w:tab w:val="clear" w:pos="8640"/>
      </w:tabs>
      <w:ind w:right="576"/>
      <w:jc w:val="center"/>
    </w:pPr>
    <w:r>
      <w:rPr>
        <w:rStyle w:val="PageNumber"/>
      </w:rPr>
      <w:t>F-</w:t>
    </w:r>
    <w:r>
      <w:rPr>
        <w:rStyle w:val="PageNumber"/>
        <w:noProof/>
      </w:rPr>
      <w:fldChar w:fldCharType="begin"/>
    </w:r>
    <w:r>
      <w:rPr>
        <w:rStyle w:val="PageNumber"/>
        <w:noProof/>
      </w:rPr>
      <w:instrText xml:space="preserve"> PAGE </w:instrText>
    </w:r>
    <w:r>
      <w:rPr>
        <w:rStyle w:val="PageNumber"/>
        <w:noProof/>
      </w:rPr>
      <w:fldChar w:fldCharType="separate"/>
    </w:r>
    <w:r w:rsidR="002D0436">
      <w:rPr>
        <w:rStyle w:val="PageNumber"/>
        <w:noProof/>
      </w:rPr>
      <w:t>7</w:t>
    </w:r>
    <w:r>
      <w:rPr>
        <w:rStyle w:val="PageNumbe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P="00605584" w:rsidRDefault="00A62C6A" w14:paraId="4FBF8676" w14:textId="4E85E9EA">
    <w:pPr>
      <w:pStyle w:val="Footer"/>
      <w:widowControl/>
      <w:ind w:right="576"/>
      <w:jc w:val="center"/>
      <w:rPr>
        <w:rStyle w:val="PageNumber"/>
        <w:noProof/>
      </w:rPr>
    </w:pPr>
    <w:r>
      <w:rPr>
        <w:rStyle w:val="PageNumber"/>
      </w:rPr>
      <w:t>G-</w:t>
    </w:r>
    <w:r>
      <w:rPr>
        <w:rStyle w:val="PageNumber"/>
        <w:noProof/>
      </w:rPr>
      <w:fldChar w:fldCharType="begin"/>
    </w:r>
    <w:r>
      <w:rPr>
        <w:rStyle w:val="PageNumber"/>
        <w:noProof/>
      </w:rPr>
      <w:instrText xml:space="preserve"> PAGE </w:instrText>
    </w:r>
    <w:r>
      <w:rPr>
        <w:rStyle w:val="PageNumber"/>
        <w:noProof/>
      </w:rPr>
      <w:fldChar w:fldCharType="separate"/>
    </w:r>
    <w:r w:rsidR="002D0436">
      <w:rPr>
        <w:rStyle w:val="PageNumber"/>
        <w:noProof/>
      </w:rPr>
      <w:t>2</w:t>
    </w:r>
    <w:r>
      <w:rPr>
        <w:rStyle w:val="PageNumber"/>
        <w:noProof/>
      </w:rPr>
      <w:fldChar w:fldCharType="end"/>
    </w:r>
  </w:p>
  <w:p w:rsidRPr="007E1936" w:rsidR="00A62C6A" w:rsidP="007E1936" w:rsidRDefault="00A62C6A" w14:paraId="3D1C76A2" w14:textId="5CA250A6">
    <w:pPr>
      <w:pStyle w:val="Footer"/>
      <w:widowControl/>
      <w:ind w:right="576"/>
      <w:jc w:val="left"/>
      <w:rPr>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4FD7EB47" w14:textId="3254E0E2">
    <w:pPr>
      <w:pStyle w:val="Footer"/>
      <w:jc w:val="center"/>
    </w:pPr>
    <w:r>
      <w:t>H-</w:t>
    </w:r>
    <w:sdt>
      <w:sdtPr>
        <w:id w:val="-20494399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0436">
          <w:rPr>
            <w:noProof/>
          </w:rPr>
          <w:t>9</w:t>
        </w:r>
        <w:r>
          <w:rPr>
            <w:noProof/>
          </w:rPr>
          <w:fldChar w:fldCharType="end"/>
        </w:r>
      </w:sdtContent>
    </w:sdt>
  </w:p>
  <w:p w:rsidRPr="009007CF" w:rsidR="00A62C6A" w:rsidP="009007CF" w:rsidRDefault="00A62C6A" w14:paraId="45D14701" w14:textId="0FF6E62E">
    <w:pPr>
      <w:pStyle w:val="Footer"/>
      <w:rPr>
        <w:sz w:val="16"/>
        <w:szCs w:val="16"/>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6DD54B5F" w14:textId="3E369EF5">
    <w:pPr>
      <w:pStyle w:val="Footer"/>
      <w:jc w:val="center"/>
    </w:pPr>
    <w:r>
      <w:t>I-</w:t>
    </w:r>
    <w:sdt>
      <w:sdtPr>
        <w:id w:val="-2058725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0436">
          <w:rPr>
            <w:noProof/>
          </w:rPr>
          <w:t>1</w:t>
        </w:r>
        <w:r>
          <w:rPr>
            <w:noProof/>
          </w:rPr>
          <w:fldChar w:fldCharType="end"/>
        </w:r>
      </w:sdtContent>
    </w:sdt>
  </w:p>
  <w:p w:rsidRPr="009007CF" w:rsidR="00A62C6A" w:rsidP="009007CF" w:rsidRDefault="00A62C6A" w14:paraId="2AB95A5F" w14:textId="7777777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7C50AD3A" w14:textId="77777777">
    <w:pPr>
      <w:pStyle w:val="Footer"/>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44D70BE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04407A87" w14:textId="77777777">
    <w:pPr>
      <w:pStyle w:val="Footer"/>
      <w:widowControl/>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399E9FC4" w14:textId="77777777">
    <w:pPr>
      <w:pStyle w:val="Footer"/>
      <w:widowControl/>
      <w:jc w:val="center"/>
      <w:rPr>
        <w:rStyle w:val="PageNumber"/>
      </w:rPr>
    </w:pPr>
  </w:p>
  <w:p w:rsidR="00A62C6A" w:rsidRDefault="00A62C6A" w14:paraId="1563F4ED" w14:textId="77777777">
    <w:pPr>
      <w:pStyle w:val="Footer"/>
      <w:widowControl/>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6A8D949F" w14:textId="52DCC22D">
    <w:pPr>
      <w:pStyle w:val="Footer"/>
      <w:widowControl/>
      <w:jc w:val="center"/>
    </w:pPr>
    <w:r>
      <w:rPr>
        <w:rStyle w:val="PageNumber"/>
        <w:noProof/>
      </w:rPr>
      <w:fldChar w:fldCharType="begin"/>
    </w:r>
    <w:r>
      <w:rPr>
        <w:rStyle w:val="PageNumber"/>
        <w:noProof/>
      </w:rPr>
      <w:instrText xml:space="preserve"> PAGE </w:instrText>
    </w:r>
    <w:r>
      <w:rPr>
        <w:rStyle w:val="PageNumber"/>
        <w:noProof/>
      </w:rPr>
      <w:fldChar w:fldCharType="separate"/>
    </w:r>
    <w:r w:rsidR="002D0436">
      <w:rPr>
        <w:rStyle w:val="PageNumber"/>
        <w:noProof/>
      </w:rPr>
      <w:t>ii</w:t>
    </w:r>
    <w:r>
      <w:rPr>
        <w:rStyle w:val="PageNumbe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770919"/>
      <w:docPartObj>
        <w:docPartGallery w:val="Page Numbers (Bottom of Page)"/>
        <w:docPartUnique/>
      </w:docPartObj>
    </w:sdtPr>
    <w:sdtEndPr>
      <w:rPr>
        <w:noProof/>
      </w:rPr>
    </w:sdtEndPr>
    <w:sdtContent>
      <w:p w:rsidR="00A62C6A" w:rsidRDefault="00A62C6A" w14:paraId="196B2B2A" w14:textId="5EE530D9">
        <w:pPr>
          <w:pStyle w:val="Footer"/>
          <w:jc w:val="center"/>
        </w:pPr>
        <w:r>
          <w:fldChar w:fldCharType="begin"/>
        </w:r>
        <w:r>
          <w:instrText xml:space="preserve"> PAGE   \* MERGEFORMAT </w:instrText>
        </w:r>
        <w:r>
          <w:fldChar w:fldCharType="separate"/>
        </w:r>
        <w:r w:rsidR="002D0436">
          <w:rPr>
            <w:noProof/>
          </w:rPr>
          <w:t>4</w:t>
        </w:r>
        <w:r>
          <w:rPr>
            <w:noProof/>
          </w:rPr>
          <w:fldChar w:fldCharType="end"/>
        </w:r>
      </w:p>
    </w:sdtContent>
  </w:sdt>
  <w:p w:rsidR="00A62C6A" w:rsidRDefault="00A62C6A" w14:paraId="7EBF0CE1" w14:textId="77777777">
    <w:pPr>
      <w:pStyle w:val="Footer"/>
      <w:widowControl/>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6A79D711" w14:textId="3C2B671A">
    <w:pPr>
      <w:pStyle w:val="Footer"/>
      <w:jc w:val="center"/>
    </w:pPr>
  </w:p>
  <w:p w:rsidR="00A62C6A" w:rsidRDefault="00A62C6A" w14:paraId="4ABFC729" w14:textId="77777777">
    <w:pPr>
      <w:pStyle w:val="Footer"/>
      <w:widowControl/>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48046"/>
      <w:docPartObj>
        <w:docPartGallery w:val="Page Numbers (Bottom of Page)"/>
        <w:docPartUnique/>
      </w:docPartObj>
    </w:sdtPr>
    <w:sdtEndPr>
      <w:rPr>
        <w:noProof/>
      </w:rPr>
    </w:sdtEndPr>
    <w:sdtContent>
      <w:p w:rsidR="00A62C6A" w:rsidRDefault="00A62C6A" w14:paraId="13EAB27A" w14:textId="516DFA34">
        <w:pPr>
          <w:pStyle w:val="Footer"/>
          <w:jc w:val="center"/>
        </w:pPr>
        <w:r>
          <w:fldChar w:fldCharType="begin"/>
        </w:r>
        <w:r>
          <w:instrText xml:space="preserve"> PAGE   \* MERGEFORMAT </w:instrText>
        </w:r>
        <w:r>
          <w:fldChar w:fldCharType="separate"/>
        </w:r>
        <w:r w:rsidR="002D0436">
          <w:rPr>
            <w:noProof/>
          </w:rPr>
          <w:t>49</w:t>
        </w:r>
        <w:r>
          <w:rPr>
            <w:noProof/>
          </w:rPr>
          <w:fldChar w:fldCharType="end"/>
        </w:r>
      </w:p>
    </w:sdtContent>
  </w:sdt>
  <w:p w:rsidR="00A62C6A" w:rsidRDefault="00A62C6A" w14:paraId="2DCD9E74" w14:textId="77777777">
    <w:pPr>
      <w:pStyle w:val="Foote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6A" w:rsidP="00AF72E5" w:rsidRDefault="00A62C6A" w14:paraId="212F4458" w14:textId="77777777">
      <w:r>
        <w:separator/>
      </w:r>
    </w:p>
  </w:footnote>
  <w:footnote w:type="continuationSeparator" w:id="0">
    <w:p w:rsidR="00A62C6A" w:rsidP="00AF72E5" w:rsidRDefault="00A62C6A" w14:paraId="7EFFCE9C" w14:textId="77777777">
      <w:r>
        <w:continuationSeparator/>
      </w:r>
    </w:p>
  </w:footnote>
  <w:footnote w:id="1">
    <w:p w:rsidRPr="004254D9" w:rsidR="00A62C6A" w:rsidRDefault="00A62C6A" w14:paraId="62C78ECE" w14:textId="03C2E0D4">
      <w:pPr>
        <w:pStyle w:val="FootnoteText"/>
        <w:rPr>
          <w:vertAlign w:val="superscript"/>
        </w:rPr>
      </w:pPr>
      <w:r w:rsidRPr="004254D9">
        <w:rPr>
          <w:rStyle w:val="FootnoteReference"/>
          <w:vertAlign w:val="superscript"/>
        </w:rPr>
        <w:footnoteRef/>
      </w:r>
      <w:r w:rsidRPr="004254D9">
        <w:rPr>
          <w:vertAlign w:val="superscript"/>
        </w:rPr>
        <w:t xml:space="preserve"> </w:t>
      </w:r>
      <w:r w:rsidRPr="00B34407">
        <w:rPr>
          <w:sz w:val="18"/>
          <w:szCs w:val="18"/>
        </w:rPr>
        <w:t xml:space="preserve">CUSIP data herein is provided by the CUSIP Global Services, which is managed on behalf of the American Bankers Association by </w:t>
      </w:r>
      <w:r w:rsidRPr="00142A03">
        <w:rPr>
          <w:sz w:val="18"/>
          <w:szCs w:val="18"/>
        </w:rPr>
        <w:t>FactSet Research Systems Inc</w:t>
      </w:r>
      <w:r w:rsidRPr="00B34407">
        <w:rPr>
          <w:sz w:val="18"/>
          <w:szCs w:val="18"/>
        </w:rPr>
        <w:t xml:space="preserve">.  CUSIP data is not intended to create a database and does not serve in any way as a substitute for the CUSIP Service.  CUSIP numbers are provided for convenience of reference only.  The CUSIP numbers have been assigned by an organization not affiliated with the Authority and are included for the convenience of the holders of the </w:t>
      </w:r>
      <w:r>
        <w:rPr>
          <w:sz w:val="18"/>
          <w:szCs w:val="18"/>
        </w:rPr>
        <w:t>2024 Series C Bond</w:t>
      </w:r>
      <w:r w:rsidRPr="00B34407">
        <w:rPr>
          <w:sz w:val="18"/>
          <w:szCs w:val="18"/>
        </w:rPr>
        <w:t xml:space="preserve">s.  Neither the Authority nor the Trustee is responsible for the selection or use of the CUSIP numbers, and no representation is made as to their correctness on the </w:t>
      </w:r>
      <w:r>
        <w:rPr>
          <w:sz w:val="18"/>
          <w:szCs w:val="18"/>
        </w:rPr>
        <w:t>2024 Series C Bond</w:t>
      </w:r>
      <w:r w:rsidRPr="00B34407">
        <w:rPr>
          <w:sz w:val="18"/>
          <w:szCs w:val="18"/>
        </w:rPr>
        <w:t>s or as indicated above.</w:t>
      </w:r>
    </w:p>
  </w:footnote>
  <w:footnote w:id="2">
    <w:p w:rsidRPr="004254D9" w:rsidR="00A62C6A" w:rsidP="004254D9" w:rsidRDefault="00A62C6A" w14:paraId="339F468E" w14:textId="77777777">
      <w:pPr>
        <w:pStyle w:val="FootnoteText"/>
        <w:rPr>
          <w:vertAlign w:val="superscript"/>
        </w:rPr>
      </w:pPr>
      <w:r w:rsidRPr="004254D9">
        <w:rPr>
          <w:rStyle w:val="FootnoteReference"/>
          <w:vertAlign w:val="superscript"/>
        </w:rPr>
        <w:footnoteRef/>
      </w:r>
      <w:r w:rsidRPr="004254D9">
        <w:rPr>
          <w:vertAlign w:val="superscript"/>
        </w:rPr>
        <w:t xml:space="preserve"> </w:t>
      </w:r>
      <w:r w:rsidRPr="00B34407">
        <w:rPr>
          <w:sz w:val="18"/>
          <w:szCs w:val="18"/>
        </w:rPr>
        <w:t xml:space="preserve">CUSIP data herein is provided by the CUSIP Global Services, which is managed on behalf of the American Bankers Association by </w:t>
      </w:r>
      <w:r w:rsidRPr="00142A03">
        <w:rPr>
          <w:sz w:val="18"/>
          <w:szCs w:val="18"/>
        </w:rPr>
        <w:t>FactSet Research Systems Inc</w:t>
      </w:r>
      <w:r w:rsidRPr="00B34407">
        <w:rPr>
          <w:sz w:val="18"/>
          <w:szCs w:val="18"/>
        </w:rPr>
        <w:t xml:space="preserve">.  CUSIP data is not intended to create a database and does not serve in any way as a substitute for the CUSIP Service.  CUSIP numbers are provided for convenience of reference only.  The CUSIP numbers have been assigned by an organization not affiliated with the Authority and are included for the convenience of the holders of the </w:t>
      </w:r>
      <w:r>
        <w:rPr>
          <w:sz w:val="18"/>
          <w:szCs w:val="18"/>
        </w:rPr>
        <w:t>2024 Series C Bond</w:t>
      </w:r>
      <w:r w:rsidRPr="00B34407">
        <w:rPr>
          <w:sz w:val="18"/>
          <w:szCs w:val="18"/>
        </w:rPr>
        <w:t xml:space="preserve">s.  Neither the Authority nor the Trustee is responsible for the selection or use of the CUSIP numbers, and no representation is made as to their correctness on the </w:t>
      </w:r>
      <w:r>
        <w:rPr>
          <w:sz w:val="18"/>
          <w:szCs w:val="18"/>
        </w:rPr>
        <w:t>2024 Series C Bond</w:t>
      </w:r>
      <w:r w:rsidRPr="00B34407">
        <w:rPr>
          <w:sz w:val="18"/>
          <w:szCs w:val="18"/>
        </w:rPr>
        <w:t>s or as indicated above.</w:t>
      </w:r>
    </w:p>
  </w:footnote>
  <w:footnote w:id="3">
    <w:p w:rsidR="00A62C6A" w:rsidRDefault="00A62C6A" w14:paraId="4F56CC0A" w14:textId="70753F13">
      <w:pPr>
        <w:pStyle w:val="FootnoteText"/>
      </w:pPr>
      <w:r>
        <w:rPr>
          <w:rStyle w:val="FootnoteReference"/>
        </w:rPr>
        <w:footnoteRef/>
      </w:r>
      <w:r>
        <w:t xml:space="preserve"> Such Mortgage Loans were pooled into Mortgage-Backed Securities.</w:t>
      </w:r>
    </w:p>
  </w:footnote>
  <w:footnote w:id="4">
    <w:p w:rsidRPr="000E366F" w:rsidR="00A62C6A" w:rsidP="00B808B3" w:rsidRDefault="00A62C6A" w14:paraId="7F80FFA1" w14:textId="77777777">
      <w:pPr>
        <w:pStyle w:val="FootnoteText"/>
      </w:pPr>
      <w:r w:rsidRPr="00264852">
        <w:rPr>
          <w:rStyle w:val="FootnoteReference"/>
          <w:sz w:val="24"/>
          <w:szCs w:val="24"/>
          <w:vertAlign w:val="superscript"/>
        </w:rPr>
        <w:footnoteRef/>
      </w:r>
      <w:r w:rsidRPr="000E366F">
        <w:rPr>
          <w:vertAlign w:val="superscript"/>
        </w:rPr>
        <w:t xml:space="preserve"> </w:t>
      </w:r>
      <w:r>
        <w:t>Such Mortgage Loans were pooled into Mortgage-Backed Securities</w:t>
      </w:r>
    </w:p>
  </w:footnote>
  <w:footnote w:id="5">
    <w:p w:rsidR="00A62C6A" w:rsidP="00771C02" w:rsidRDefault="00A62C6A" w14:paraId="5AE2627F" w14:textId="77777777">
      <w:pPr>
        <w:pStyle w:val="FootnoteText"/>
      </w:pPr>
      <w:r>
        <w:rPr>
          <w:rStyle w:val="FootnoteReference"/>
        </w:rPr>
        <w:footnoteRef/>
      </w:r>
      <w:r>
        <w:t xml:space="preserve"> Serves </w:t>
      </w:r>
      <w:r w:rsidRPr="00771C02">
        <w:rPr>
          <w:i/>
        </w:rPr>
        <w:t>ex officio</w:t>
      </w:r>
      <w:r>
        <w:t>.</w:t>
      </w:r>
    </w:p>
  </w:footnote>
  <w:footnote w:id="6">
    <w:p w:rsidR="00A62C6A" w:rsidRDefault="00A62C6A" w14:paraId="0095990F" w14:textId="26E29762">
      <w:pPr>
        <w:pStyle w:val="FootnoteText"/>
      </w:pPr>
      <w:r>
        <w:rPr>
          <w:rStyle w:val="FootnoteReference"/>
        </w:rPr>
        <w:footnoteRef/>
      </w:r>
      <w:r>
        <w:t xml:space="preserve"> </w:t>
      </w:r>
      <w:r w:rsidRPr="00C90736">
        <w:rPr>
          <w:sz w:val="18"/>
          <w:szCs w:val="18"/>
        </w:rPr>
        <w:t>Preliminary, subject to change</w:t>
      </w:r>
    </w:p>
  </w:footnote>
  <w:footnote w:id="7">
    <w:p w:rsidRPr="00870DAF" w:rsidR="00A62C6A" w:rsidP="009523F7" w:rsidRDefault="00A62C6A" w14:paraId="253C7E68" w14:textId="77777777">
      <w:pPr>
        <w:pStyle w:val="FootnoteText"/>
        <w:rPr>
          <w:sz w:val="16"/>
        </w:rPr>
      </w:pPr>
      <w:r>
        <w:rPr>
          <w:rStyle w:val="FootnoteReference"/>
        </w:rPr>
        <w:footnoteRef/>
      </w:r>
      <w:r>
        <w:t xml:space="preserve"> </w:t>
      </w:r>
      <w:r w:rsidRPr="00870DAF">
        <w:rPr>
          <w:sz w:val="16"/>
        </w:rPr>
        <w:t>Preliminary, subject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141702B7"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P="000B2AEC" w:rsidRDefault="00A62C6A" w14:paraId="1A3CB604" w14:textId="3C600DCB">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00337AA4" w14:textId="77777777">
    <w:pPr>
      <w:pStyle w:val="Header"/>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3BA6C7D5" w14:textId="77777777">
    <w:pPr>
      <w:pStyle w:val="Header"/>
      <w:widowControl/>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4F65ADF2" w14:textId="77777777">
    <w:pPr>
      <w:pStyle w:val="Header"/>
      <w:widowControl/>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7A4E9163" w14:textId="77777777">
    <w:pPr>
      <w:pStyle w:val="Header"/>
      <w:widowContro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A3108" w:rsidR="00A62C6A" w:rsidP="005A3108" w:rsidRDefault="00A62C6A" w14:paraId="1CF6555F"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A3108" w:rsidR="00A62C6A" w:rsidP="0043681D" w:rsidRDefault="00A62C6A" w14:paraId="6F6A583A" w14:textId="20995A6D">
    <w:pPr>
      <w:pStyle w:val="aBTRightJustified"/>
      <w:widowControl/>
      <w:ind w:right="93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572E54ED" w14:textId="77777777">
    <w:pPr>
      <w:pStyle w:val="Heade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0AF4BF4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68F349BA" w14:textId="77777777">
    <w:pPr>
      <w:pStyle w:val="Header"/>
      <w:widowContro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526A457A" w14:textId="77777777">
    <w:pPr>
      <w:pStyle w:val="Header"/>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497D44E6" w14:textId="77777777">
    <w:pPr>
      <w:pStyle w:val="Header"/>
      <w:widowContro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RDefault="00A62C6A" w14:paraId="086346A6" w14:textId="77777777">
    <w:pPr>
      <w:pStyle w:val="Header"/>
      <w:widowControl/>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P="000B2AEC" w:rsidRDefault="00A62C6A" w14:paraId="6E4F74F3" w14:textId="1B38D0A4">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6A" w:rsidP="000B2AEC" w:rsidRDefault="00A62C6A" w14:paraId="4A10896E" w14:textId="4D07E42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52FD22"/>
    <w:name w:val="A LIST SUB a AT 1.0"/>
    <w:lvl w:ilvl="0">
      <w:start w:val="1"/>
      <w:numFmt w:val="decimal"/>
      <w:pStyle w:val="ALISTSUBaAT10"/>
      <w:lvlText w:val="%1."/>
      <w:lvlJc w:val="left"/>
      <w:pPr>
        <w:tabs>
          <w:tab w:val="num" w:pos="1800"/>
        </w:tabs>
        <w:ind w:left="1800" w:hanging="360"/>
      </w:pPr>
    </w:lvl>
  </w:abstractNum>
  <w:abstractNum w:abstractNumId="1" w15:restartNumberingAfterBreak="0">
    <w:nsid w:val="FFFFFF7D"/>
    <w:multiLevelType w:val="singleLevel"/>
    <w:tmpl w:val="8D0454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F21C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52D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09A5A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6C416"/>
    <w:name w:val="a level 2 closing index"/>
    <w:lvl w:ilvl="0">
      <w:start w:val="1"/>
      <w:numFmt w:val="bullet"/>
      <w:pStyle w:val="alevel2closingindex"/>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68CE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8260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7A7D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06E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91CCB322"/>
    <w:name w:val="B&amp;D Bullets Sgl"/>
    <w:lvl w:ilvl="0">
      <w:start w:val="1"/>
      <w:numFmt w:val="decimal"/>
      <w:pStyle w:val="BDBulletsSgl"/>
      <w:lvlText w:val="%1."/>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0"/>
        <w:szCs w:val="20"/>
      </w:rPr>
    </w:lvl>
  </w:abstractNum>
  <w:abstractNum w:abstractNumId="11" w15:restartNumberingAfterBreak="0">
    <w:nsid w:val="00000005"/>
    <w:multiLevelType w:val="singleLevel"/>
    <w:tmpl w:val="C6EE40FC"/>
    <w:lvl w:ilvl="0">
      <w:start w:val="1"/>
      <w:numFmt w:val="bullet"/>
      <w:pStyle w:val="List4"/>
      <w:lvlText w:val=""/>
      <w:lvlJc w:val="left"/>
      <w:pPr>
        <w:widowControl w:val="0"/>
        <w:tabs>
          <w:tab w:val="num" w:pos="1800"/>
        </w:tabs>
        <w:autoSpaceDE w:val="0"/>
        <w:autoSpaceDN w:val="0"/>
        <w:adjustRightInd w:val="0"/>
        <w:ind w:left="1800" w:hanging="360"/>
        <w:jc w:val="both"/>
      </w:pPr>
      <w:rPr>
        <w:rFonts w:ascii="Symbol" w:hAnsi="Symbol" w:cs="Symbol"/>
        <w:spacing w:val="0"/>
        <w:sz w:val="20"/>
        <w:szCs w:val="20"/>
      </w:rPr>
    </w:lvl>
  </w:abstractNum>
  <w:abstractNum w:abstractNumId="12" w15:restartNumberingAfterBreak="0">
    <w:nsid w:val="00000006"/>
    <w:multiLevelType w:val="singleLevel"/>
    <w:tmpl w:val="723033C2"/>
    <w:name w:val="BodyText(i)"/>
    <w:lvl w:ilvl="0">
      <w:start w:val="1"/>
      <w:numFmt w:val="bullet"/>
      <w:pStyle w:val="BodyTexti"/>
      <w:lvlText w:val=""/>
      <w:lvlJc w:val="left"/>
      <w:pPr>
        <w:widowControl w:val="0"/>
        <w:tabs>
          <w:tab w:val="num" w:pos="1440"/>
        </w:tabs>
        <w:autoSpaceDE w:val="0"/>
        <w:autoSpaceDN w:val="0"/>
        <w:adjustRightInd w:val="0"/>
        <w:ind w:left="1440" w:hanging="360"/>
        <w:jc w:val="both"/>
      </w:pPr>
      <w:rPr>
        <w:rFonts w:ascii="Symbol" w:hAnsi="Symbol" w:cs="Symbol"/>
        <w:spacing w:val="0"/>
        <w:sz w:val="20"/>
        <w:szCs w:val="20"/>
      </w:rPr>
    </w:lvl>
  </w:abstractNum>
  <w:abstractNum w:abstractNumId="13" w15:restartNumberingAfterBreak="0">
    <w:nsid w:val="00000007"/>
    <w:multiLevelType w:val="singleLevel"/>
    <w:tmpl w:val="9750693C"/>
    <w:name w:val="BodyText(a)"/>
    <w:lvl w:ilvl="0">
      <w:start w:val="1"/>
      <w:numFmt w:val="bullet"/>
      <w:pStyle w:val="BodyTexta"/>
      <w:lvlText w:val=""/>
      <w:lvlJc w:val="left"/>
      <w:pPr>
        <w:widowControl w:val="0"/>
        <w:tabs>
          <w:tab w:val="num" w:pos="1080"/>
        </w:tabs>
        <w:autoSpaceDE w:val="0"/>
        <w:autoSpaceDN w:val="0"/>
        <w:adjustRightInd w:val="0"/>
        <w:ind w:left="1080" w:hanging="360"/>
        <w:jc w:val="both"/>
      </w:pPr>
      <w:rPr>
        <w:rFonts w:ascii="Symbol" w:hAnsi="Symbol" w:cs="Symbol"/>
        <w:spacing w:val="0"/>
        <w:sz w:val="20"/>
        <w:szCs w:val="20"/>
      </w:rPr>
    </w:lvl>
  </w:abstractNum>
  <w:abstractNum w:abstractNumId="14" w15:restartNumberingAfterBreak="0">
    <w:nsid w:val="00000008"/>
    <w:multiLevelType w:val="singleLevel"/>
    <w:tmpl w:val="64F6AE9A"/>
    <w:name w:val="a first para indent (i)"/>
    <w:lvl w:ilvl="0">
      <w:start w:val="1"/>
      <w:numFmt w:val="bullet"/>
      <w:pStyle w:val="afirstparaindenti"/>
      <w:lvlText w:val=""/>
      <w:lvlJc w:val="left"/>
      <w:pPr>
        <w:widowControl w:val="0"/>
        <w:tabs>
          <w:tab w:val="num" w:pos="720"/>
        </w:tabs>
        <w:autoSpaceDE w:val="0"/>
        <w:autoSpaceDN w:val="0"/>
        <w:adjustRightInd w:val="0"/>
        <w:ind w:left="720" w:hanging="360"/>
        <w:jc w:val="both"/>
      </w:pPr>
      <w:rPr>
        <w:rFonts w:ascii="Symbol" w:hAnsi="Symbol" w:cs="Symbol"/>
        <w:spacing w:val="0"/>
        <w:sz w:val="20"/>
        <w:szCs w:val="20"/>
      </w:rPr>
    </w:lvl>
  </w:abstractNum>
  <w:abstractNum w:abstractNumId="15" w15:restartNumberingAfterBreak="0">
    <w:nsid w:val="0000000A"/>
    <w:multiLevelType w:val="singleLevel"/>
    <w:tmpl w:val="8FB6A43C"/>
    <w:name w:val="a outline level 3"/>
    <w:lvl w:ilvl="0">
      <w:start w:val="1"/>
      <w:numFmt w:val="bullet"/>
      <w:pStyle w:val="aoutlinelevel3"/>
      <w:lvlText w:val=""/>
      <w:lvlJc w:val="left"/>
      <w:pPr>
        <w:widowControl w:val="0"/>
        <w:tabs>
          <w:tab w:val="num" w:pos="360"/>
        </w:tabs>
        <w:autoSpaceDE w:val="0"/>
        <w:autoSpaceDN w:val="0"/>
        <w:adjustRightInd w:val="0"/>
        <w:ind w:left="360" w:hanging="360"/>
        <w:jc w:val="both"/>
      </w:pPr>
      <w:rPr>
        <w:rFonts w:ascii="Symbol" w:hAnsi="Symbol" w:cs="Symbol"/>
        <w:spacing w:val="0"/>
        <w:sz w:val="20"/>
        <w:szCs w:val="20"/>
      </w:rPr>
    </w:lvl>
  </w:abstractNum>
  <w:abstractNum w:abstractNumId="16" w15:restartNumberingAfterBreak="0">
    <w:nsid w:val="0000000C"/>
    <w:multiLevelType w:val="multilevel"/>
    <w:tmpl w:val="C3C61F14"/>
    <w:name w:val="a list number 1"/>
    <w:lvl w:ilvl="0">
      <w:start w:val="1"/>
      <w:numFmt w:val="decimal"/>
      <w:pStyle w:val="alistnumber1"/>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0"/>
        <w:szCs w:val="20"/>
      </w:rPr>
    </w:lvl>
    <w:lvl w:ilvl="1">
      <w:start w:val="1"/>
      <w:numFmt w:val="lowerLetter"/>
      <w:lvlText w:val="%2)"/>
      <w:lvlJc w:val="left"/>
      <w:pPr>
        <w:widowControl w:val="0"/>
        <w:tabs>
          <w:tab w:val="num" w:pos="720"/>
        </w:tabs>
        <w:autoSpaceDE w:val="0"/>
        <w:autoSpaceDN w:val="0"/>
        <w:adjustRightInd w:val="0"/>
        <w:ind w:left="720" w:hanging="360"/>
        <w:jc w:val="both"/>
      </w:pPr>
      <w:rPr>
        <w:rFonts w:ascii="Times New Roman" w:hAnsi="Times New Roman" w:cs="Times New Roman"/>
        <w:spacing w:val="0"/>
        <w:sz w:val="20"/>
        <w:szCs w:val="20"/>
      </w:rPr>
    </w:lvl>
    <w:lvl w:ilvl="2">
      <w:start w:val="1"/>
      <w:numFmt w:val="lowerRoman"/>
      <w:lvlText w:val="%3)"/>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0"/>
        <w:szCs w:val="20"/>
      </w:rPr>
    </w:lvl>
    <w:lvl w:ilvl="3">
      <w:start w:val="1"/>
      <w:numFmt w:val="decimal"/>
      <w:lvlText w:val="(%4)"/>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0"/>
        <w:szCs w:val="20"/>
      </w:rPr>
    </w:lvl>
    <w:lvl w:ilvl="4">
      <w:start w:val="1"/>
      <w:numFmt w:val="lowerLetter"/>
      <w:lvlText w:val="(%5)"/>
      <w:lvlJc w:val="left"/>
      <w:pPr>
        <w:widowControl w:val="0"/>
        <w:tabs>
          <w:tab w:val="num" w:pos="1800"/>
        </w:tabs>
        <w:autoSpaceDE w:val="0"/>
        <w:autoSpaceDN w:val="0"/>
        <w:adjustRightInd w:val="0"/>
        <w:ind w:left="1800" w:hanging="360"/>
        <w:jc w:val="both"/>
      </w:pPr>
      <w:rPr>
        <w:rFonts w:ascii="Times New Roman" w:hAnsi="Times New Roman" w:cs="Times New Roman"/>
        <w:spacing w:val="0"/>
        <w:sz w:val="20"/>
        <w:szCs w:val="20"/>
      </w:rPr>
    </w:lvl>
    <w:lvl w:ilvl="5">
      <w:start w:val="1"/>
      <w:numFmt w:val="lowerRoman"/>
      <w:lvlText w:val="(%6)"/>
      <w:lvlJc w:val="left"/>
      <w:pPr>
        <w:widowControl w:val="0"/>
        <w:tabs>
          <w:tab w:val="num" w:pos="2160"/>
        </w:tabs>
        <w:autoSpaceDE w:val="0"/>
        <w:autoSpaceDN w:val="0"/>
        <w:adjustRightInd w:val="0"/>
        <w:ind w:left="2160" w:hanging="360"/>
        <w:jc w:val="both"/>
      </w:pPr>
      <w:rPr>
        <w:rFonts w:ascii="Times New Roman" w:hAnsi="Times New Roman" w:cs="Times New Roman"/>
        <w:spacing w:val="0"/>
        <w:sz w:val="20"/>
        <w:szCs w:val="20"/>
      </w:rPr>
    </w:lvl>
    <w:lvl w:ilvl="6">
      <w:start w:val="1"/>
      <w:numFmt w:val="decimal"/>
      <w:lvlText w:val="%7."/>
      <w:lvlJc w:val="left"/>
      <w:pPr>
        <w:widowControl w:val="0"/>
        <w:tabs>
          <w:tab w:val="num" w:pos="2520"/>
        </w:tabs>
        <w:autoSpaceDE w:val="0"/>
        <w:autoSpaceDN w:val="0"/>
        <w:adjustRightInd w:val="0"/>
        <w:ind w:left="2520" w:hanging="360"/>
        <w:jc w:val="both"/>
      </w:pPr>
      <w:rPr>
        <w:rFonts w:ascii="Times New Roman" w:hAnsi="Times New Roman" w:cs="Times New Roman"/>
        <w:spacing w:val="0"/>
        <w:sz w:val="20"/>
        <w:szCs w:val="20"/>
      </w:rPr>
    </w:lvl>
    <w:lvl w:ilvl="7">
      <w:start w:val="1"/>
      <w:numFmt w:val="lowerLetter"/>
      <w:lvlText w:val="%8."/>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0"/>
        <w:szCs w:val="20"/>
      </w:rPr>
    </w:lvl>
    <w:lvl w:ilvl="8">
      <w:start w:val="1"/>
      <w:numFmt w:val="lowerRoman"/>
      <w:lvlText w:val="%9."/>
      <w:lvlJc w:val="left"/>
      <w:pPr>
        <w:widowControl w:val="0"/>
        <w:tabs>
          <w:tab w:val="num" w:pos="3240"/>
        </w:tabs>
        <w:autoSpaceDE w:val="0"/>
        <w:autoSpaceDN w:val="0"/>
        <w:adjustRightInd w:val="0"/>
        <w:ind w:left="3240" w:hanging="360"/>
        <w:jc w:val="both"/>
      </w:pPr>
      <w:rPr>
        <w:rFonts w:ascii="Times New Roman" w:hAnsi="Times New Roman" w:cs="Times New Roman"/>
        <w:spacing w:val="0"/>
        <w:sz w:val="20"/>
        <w:szCs w:val="20"/>
      </w:rPr>
    </w:lvl>
  </w:abstractNum>
  <w:abstractNum w:abstractNumId="17" w15:restartNumberingAfterBreak="0">
    <w:nsid w:val="00000014"/>
    <w:multiLevelType w:val="hybridMultilevel"/>
    <w:tmpl w:val="5F828FFC"/>
    <w:lvl w:ilvl="0" w:tplc="FFFFFFFF">
      <w:start w:val="1"/>
      <w:numFmt w:val="lowerLetter"/>
      <w:pStyle w:val="List"/>
      <w:lvlText w:val="(%1)"/>
      <w:lvlJc w:val="left"/>
      <w:pPr>
        <w:widowControl w:val="0"/>
        <w:autoSpaceDE w:val="0"/>
        <w:autoSpaceDN w:val="0"/>
        <w:adjustRightInd w:val="0"/>
        <w:ind w:left="720" w:firstLine="720"/>
        <w:jc w:val="both"/>
      </w:pPr>
      <w:rPr>
        <w:rFonts w:ascii="Times New Roman" w:hAnsi="Times New Roman" w:cs="Times New Roman"/>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0"/>
        <w:szCs w:val="20"/>
      </w:rPr>
    </w:lvl>
  </w:abstractNum>
  <w:abstractNum w:abstractNumId="18" w15:restartNumberingAfterBreak="0">
    <w:nsid w:val="00000016"/>
    <w:multiLevelType w:val="multilevel"/>
    <w:tmpl w:val="FE4A02AE"/>
    <w:name w:val="a para (i) indent"/>
    <w:lvl w:ilvl="0">
      <w:start w:val="1"/>
      <w:numFmt w:val="upperRoman"/>
      <w:pStyle w:val="aparaiindent"/>
      <w:lvlText w:val="%1."/>
      <w:lvlJc w:val="left"/>
      <w:pPr>
        <w:widowControl w:val="0"/>
        <w:tabs>
          <w:tab w:val="num" w:pos="0"/>
        </w:tabs>
        <w:autoSpaceDE w:val="0"/>
        <w:autoSpaceDN w:val="0"/>
        <w:adjustRightInd w:val="0"/>
        <w:ind w:left="720" w:hanging="720"/>
        <w:jc w:val="both"/>
      </w:pPr>
      <w:rPr>
        <w:rFonts w:ascii="Times New Roman" w:hAnsi="Times New Roman" w:cs="Times New Roman"/>
        <w:b/>
        <w:bCs/>
        <w:i w:val="0"/>
        <w:iCs w:val="0"/>
        <w:spacing w:val="0"/>
        <w:sz w:val="20"/>
        <w:szCs w:val="20"/>
        <w:u w:val="none"/>
      </w:rPr>
    </w:lvl>
    <w:lvl w:ilvl="1">
      <w:start w:val="1"/>
      <w:numFmt w:val="decimal"/>
      <w:lvlRestart w:val="0"/>
      <w:lvlText w:val="%2."/>
      <w:lvlJc w:val="left"/>
      <w:pPr>
        <w:widowControl w:val="0"/>
        <w:autoSpaceDE w:val="0"/>
        <w:autoSpaceDN w:val="0"/>
        <w:adjustRightInd w:val="0"/>
        <w:ind w:left="1440" w:hanging="720"/>
        <w:jc w:val="both"/>
      </w:pPr>
      <w:rPr>
        <w:rFonts w:ascii="Times New Roman" w:hAnsi="Times New Roman" w:cs="Times New Roman"/>
        <w:spacing w:val="0"/>
        <w:sz w:val="20"/>
        <w:szCs w:val="20"/>
      </w:rPr>
    </w:lvl>
    <w:lvl w:ilvl="2">
      <w:start w:val="1"/>
      <w:numFmt w:val="lowerRoman"/>
      <w:lvlText w:val="(%3)"/>
      <w:lvlJc w:val="left"/>
      <w:pPr>
        <w:widowControl w:val="0"/>
        <w:autoSpaceDE w:val="0"/>
        <w:autoSpaceDN w:val="0"/>
        <w:adjustRightInd w:val="0"/>
        <w:ind w:left="2160" w:firstLine="720"/>
        <w:jc w:val="both"/>
      </w:pPr>
      <w:rPr>
        <w:rFonts w:ascii="Times New Roman" w:hAnsi="Times New Roman" w:cs="Times New Roman"/>
        <w:spacing w:val="0"/>
        <w:sz w:val="20"/>
        <w:szCs w:val="20"/>
      </w:rPr>
    </w:lvl>
    <w:lvl w:ilvl="3">
      <w:start w:val="1"/>
      <w:numFmt w:val="none"/>
      <w:suff w:val="nothing"/>
      <w:lvlText w:val=""/>
      <w:lvlJc w:val="left"/>
      <w:pPr>
        <w:widowControl w:val="0"/>
        <w:autoSpaceDE w:val="0"/>
        <w:autoSpaceDN w:val="0"/>
        <w:adjustRightInd w:val="0"/>
        <w:ind w:left="720"/>
        <w:jc w:val="both"/>
      </w:pPr>
      <w:rPr>
        <w:rFonts w:ascii="Times New Roman" w:hAnsi="Times New Roman" w:cs="Times New Roman"/>
        <w:spacing w:val="0"/>
        <w:sz w:val="20"/>
        <w:szCs w:val="20"/>
      </w:rPr>
    </w:lvl>
    <w:lvl w:ilvl="4">
      <w:start w:val="1"/>
      <w:numFmt w:val="none"/>
      <w:suff w:val="nothing"/>
      <w:lvlText w:val=""/>
      <w:lvlJc w:val="left"/>
      <w:pPr>
        <w:widowControl w:val="0"/>
        <w:autoSpaceDE w:val="0"/>
        <w:autoSpaceDN w:val="0"/>
        <w:adjustRightInd w:val="0"/>
        <w:ind w:left="720"/>
        <w:jc w:val="both"/>
      </w:pPr>
      <w:rPr>
        <w:rFonts w:ascii="Times New Roman" w:hAnsi="Times New Roman" w:cs="Times New Roman"/>
        <w:spacing w:val="0"/>
        <w:sz w:val="20"/>
        <w:szCs w:val="20"/>
      </w:rPr>
    </w:lvl>
    <w:lvl w:ilvl="5">
      <w:start w:val="1"/>
      <w:numFmt w:val="none"/>
      <w:suff w:val="nothing"/>
      <w:lvlText w:val=""/>
      <w:lvlJc w:val="left"/>
      <w:pPr>
        <w:widowControl w:val="0"/>
        <w:autoSpaceDE w:val="0"/>
        <w:autoSpaceDN w:val="0"/>
        <w:adjustRightInd w:val="0"/>
        <w:ind w:left="720"/>
        <w:jc w:val="both"/>
      </w:pPr>
      <w:rPr>
        <w:rFonts w:ascii="Times New Roman" w:hAnsi="Times New Roman" w:cs="Times New Roman"/>
        <w:spacing w:val="0"/>
        <w:sz w:val="20"/>
        <w:szCs w:val="20"/>
      </w:rPr>
    </w:lvl>
    <w:lvl w:ilvl="6">
      <w:start w:val="1"/>
      <w:numFmt w:val="none"/>
      <w:suff w:val="nothing"/>
      <w:lvlText w:val=""/>
      <w:lvlJc w:val="left"/>
      <w:pPr>
        <w:widowControl w:val="0"/>
        <w:autoSpaceDE w:val="0"/>
        <w:autoSpaceDN w:val="0"/>
        <w:adjustRightInd w:val="0"/>
        <w:ind w:left="720"/>
        <w:jc w:val="both"/>
      </w:pPr>
      <w:rPr>
        <w:rFonts w:ascii="Times New Roman" w:hAnsi="Times New Roman" w:cs="Times New Roman"/>
        <w:spacing w:val="0"/>
        <w:sz w:val="20"/>
        <w:szCs w:val="20"/>
      </w:rPr>
    </w:lvl>
    <w:lvl w:ilvl="7">
      <w:start w:val="1"/>
      <w:numFmt w:val="none"/>
      <w:suff w:val="nothing"/>
      <w:lvlText w:val=""/>
      <w:lvlJc w:val="left"/>
      <w:pPr>
        <w:widowControl w:val="0"/>
        <w:autoSpaceDE w:val="0"/>
        <w:autoSpaceDN w:val="0"/>
        <w:adjustRightInd w:val="0"/>
        <w:ind w:left="720"/>
        <w:jc w:val="both"/>
      </w:pPr>
      <w:rPr>
        <w:rFonts w:ascii="Times New Roman" w:hAnsi="Times New Roman" w:cs="Times New Roman"/>
        <w:spacing w:val="0"/>
        <w:sz w:val="20"/>
        <w:szCs w:val="20"/>
      </w:rPr>
    </w:lvl>
    <w:lvl w:ilvl="8">
      <w:start w:val="1"/>
      <w:numFmt w:val="none"/>
      <w:suff w:val="nothing"/>
      <w:lvlText w:val=""/>
      <w:lvlJc w:val="left"/>
      <w:pPr>
        <w:widowControl w:val="0"/>
        <w:autoSpaceDE w:val="0"/>
        <w:autoSpaceDN w:val="0"/>
        <w:adjustRightInd w:val="0"/>
        <w:ind w:left="720"/>
        <w:jc w:val="both"/>
      </w:pPr>
      <w:rPr>
        <w:rFonts w:ascii="Times New Roman" w:hAnsi="Times New Roman" w:cs="Times New Roman"/>
        <w:spacing w:val="0"/>
        <w:sz w:val="20"/>
        <w:szCs w:val="20"/>
      </w:rPr>
    </w:lvl>
  </w:abstractNum>
  <w:abstractNum w:abstractNumId="19" w15:restartNumberingAfterBreak="0">
    <w:nsid w:val="0000001C"/>
    <w:multiLevelType w:val="hybridMultilevel"/>
    <w:tmpl w:val="6A86FB40"/>
    <w:name w:val="a para (A) at .5"/>
    <w:lvl w:ilvl="0" w:tplc="FFFFFFFF">
      <w:start w:val="1"/>
      <w:numFmt w:val="lowerRoman"/>
      <w:pStyle w:val="aparaAat5"/>
      <w:lvlText w:val="(%1)"/>
      <w:lvlJc w:val="left"/>
      <w:pPr>
        <w:widowControl w:val="0"/>
        <w:autoSpaceDE w:val="0"/>
        <w:autoSpaceDN w:val="0"/>
        <w:adjustRightInd w:val="0"/>
        <w:ind w:left="1440" w:hanging="720"/>
        <w:jc w:val="both"/>
      </w:pPr>
      <w:rPr>
        <w:rFonts w:ascii="Times New Roman" w:hAnsi="Times New Roman" w:cs="Times New Roman"/>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0"/>
        <w:szCs w:val="20"/>
      </w:rPr>
    </w:lvl>
  </w:abstractNum>
  <w:abstractNum w:abstractNumId="20" w15:restartNumberingAfterBreak="0">
    <w:nsid w:val="0000001E"/>
    <w:multiLevelType w:val="hybridMultilevel"/>
    <w:tmpl w:val="E928302E"/>
    <w:name w:val="a paragraph a at 1.5 .5"/>
    <w:lvl w:ilvl="0" w:tplc="FFFFFFFF">
      <w:start w:val="1"/>
      <w:numFmt w:val="decimal"/>
      <w:pStyle w:val="aparagraphaat155"/>
      <w:lvlText w:val="(%1)"/>
      <w:lvlJc w:val="left"/>
      <w:pPr>
        <w:widowControl w:val="0"/>
        <w:tabs>
          <w:tab w:val="num" w:pos="0"/>
        </w:tabs>
        <w:autoSpaceDE w:val="0"/>
        <w:autoSpaceDN w:val="0"/>
        <w:adjustRightInd w:val="0"/>
        <w:ind w:left="1440" w:hanging="720"/>
        <w:jc w:val="both"/>
      </w:pPr>
      <w:rPr>
        <w:rFonts w:ascii="Times New Roman" w:hAnsi="Times New Roman" w:cs="Times New Roman"/>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0"/>
        <w:szCs w:val="20"/>
      </w:rPr>
    </w:lvl>
  </w:abstractNum>
  <w:abstractNum w:abstractNumId="21" w15:restartNumberingAfterBreak="0">
    <w:nsid w:val="00000021"/>
    <w:multiLevelType w:val="hybridMultilevel"/>
    <w:tmpl w:val="43440818"/>
    <w:lvl w:ilvl="0" w:tplc="FFFFFFFF">
      <w:start w:val="1"/>
      <w:numFmt w:val="lowerLetter"/>
      <w:lvlText w:val="(%1)"/>
      <w:lvlJc w:val="left"/>
      <w:pPr>
        <w:widowControl w:val="0"/>
        <w:autoSpaceDE w:val="0"/>
        <w:autoSpaceDN w:val="0"/>
        <w:adjustRightInd w:val="0"/>
        <w:ind w:firstLine="720"/>
        <w:jc w:val="both"/>
      </w:pPr>
      <w:rPr>
        <w:rFonts w:ascii="Times New Roman" w:hAnsi="Times New Roman" w:cs="Times New Roman"/>
        <w:spacing w:val="0"/>
        <w:sz w:val="20"/>
        <w:szCs w:val="20"/>
      </w:rPr>
    </w:lvl>
    <w:lvl w:ilvl="1" w:tplc="FFFFFFFF">
      <w:start w:val="1"/>
      <w:numFmt w:val="lowerLetter"/>
      <w:pStyle w:val="aparaa"/>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0"/>
        <w:szCs w:val="20"/>
      </w:rPr>
    </w:lvl>
  </w:abstractNum>
  <w:abstractNum w:abstractNumId="22" w15:restartNumberingAfterBreak="0">
    <w:nsid w:val="00000022"/>
    <w:multiLevelType w:val="hybridMultilevel"/>
    <w:tmpl w:val="4C9A23F2"/>
    <w:lvl w:ilvl="0" w:tplc="FFFFFFFF">
      <w:start w:val="1"/>
      <w:numFmt w:val="lowerRoman"/>
      <w:pStyle w:val="List3"/>
      <w:lvlText w:val="(%1)"/>
      <w:lvlJc w:val="left"/>
      <w:pPr>
        <w:widowControl w:val="0"/>
        <w:autoSpaceDE w:val="0"/>
        <w:autoSpaceDN w:val="0"/>
        <w:adjustRightInd w:val="0"/>
        <w:ind w:left="720" w:firstLine="720"/>
        <w:jc w:val="both"/>
      </w:pPr>
      <w:rPr>
        <w:rFonts w:ascii="Times New Roman" w:hAnsi="Times New Roman" w:cs="Times New Roman"/>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0"/>
        <w:szCs w:val="20"/>
      </w:rPr>
    </w:lvl>
  </w:abstractNum>
  <w:abstractNum w:abstractNumId="23" w15:restartNumberingAfterBreak="0">
    <w:nsid w:val="00000023"/>
    <w:multiLevelType w:val="hybridMultilevel"/>
    <w:tmpl w:val="B688EEBA"/>
    <w:lvl w:ilvl="0" w:tplc="FFFFFFFF">
      <w:start w:val="1"/>
      <w:numFmt w:val="lowerLetter"/>
      <w:pStyle w:val="asection1list"/>
      <w:lvlText w:val="(%1)"/>
      <w:lvlJc w:val="left"/>
      <w:pPr>
        <w:widowControl w:val="0"/>
        <w:autoSpaceDE w:val="0"/>
        <w:autoSpaceDN w:val="0"/>
        <w:adjustRightInd w:val="0"/>
        <w:ind w:left="1440" w:hanging="720"/>
        <w:jc w:val="both"/>
      </w:pPr>
      <w:rPr>
        <w:rFonts w:ascii="Times New Roman" w:hAnsi="Times New Roman" w:cs="Times New Roman"/>
        <w:spacing w:val="0"/>
        <w:sz w:val="20"/>
        <w:szCs w:val="20"/>
      </w:rPr>
    </w:lvl>
    <w:lvl w:ilvl="1" w:tplc="FFFFFFFF">
      <w:start w:val="1"/>
      <w:numFmt w:val="lowerLetter"/>
      <w:pStyle w:val="asection2list"/>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0"/>
        <w:szCs w:val="20"/>
      </w:rPr>
    </w:lvl>
    <w:lvl w:ilvl="2" w:tplc="FFFFFFFF">
      <w:start w:val="1"/>
      <w:numFmt w:val="lowerRoman"/>
      <w:pStyle w:val="Heading3"/>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0"/>
        <w:szCs w:val="20"/>
      </w:rPr>
    </w:lvl>
    <w:lvl w:ilvl="3" w:tplc="FFFFFFFF">
      <w:start w:val="1"/>
      <w:numFmt w:val="decimal"/>
      <w:pStyle w:val="Heading4"/>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0"/>
        <w:szCs w:val="20"/>
      </w:rPr>
    </w:lvl>
    <w:lvl w:ilvl="4" w:tplc="FFFFFFFF">
      <w:start w:val="1"/>
      <w:numFmt w:val="lowerLetter"/>
      <w:pStyle w:val="Heading5"/>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0"/>
        <w:szCs w:val="20"/>
      </w:rPr>
    </w:lvl>
    <w:lvl w:ilvl="5" w:tplc="FFFFFFFF">
      <w:start w:val="1"/>
      <w:numFmt w:val="lowerRoman"/>
      <w:pStyle w:val="Heading6"/>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0"/>
        <w:szCs w:val="20"/>
      </w:rPr>
    </w:lvl>
    <w:lvl w:ilvl="6" w:tplc="FFFFFFFF">
      <w:start w:val="1"/>
      <w:numFmt w:val="decimal"/>
      <w:pStyle w:val="Heading7"/>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0"/>
        <w:szCs w:val="20"/>
      </w:rPr>
    </w:lvl>
    <w:lvl w:ilvl="7" w:tplc="FFFFFFFF">
      <w:start w:val="1"/>
      <w:numFmt w:val="lowerLetter"/>
      <w:pStyle w:val="Heading8"/>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0"/>
        <w:szCs w:val="20"/>
      </w:rPr>
    </w:lvl>
    <w:lvl w:ilvl="8" w:tplc="FFFFFFFF">
      <w:start w:val="1"/>
      <w:numFmt w:val="lowerRoman"/>
      <w:pStyle w:val="Heading9"/>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0"/>
        <w:szCs w:val="20"/>
      </w:rPr>
    </w:lvl>
  </w:abstractNum>
  <w:abstractNum w:abstractNumId="24" w15:restartNumberingAfterBreak="0">
    <w:nsid w:val="00000024"/>
    <w:multiLevelType w:val="hybridMultilevel"/>
    <w:tmpl w:val="53E028D8"/>
    <w:lvl w:ilvl="0" w:tplc="FFFFFFFF">
      <w:start w:val="1"/>
      <w:numFmt w:val="lowerLetter"/>
      <w:lvlText w:val="(%1)"/>
      <w:lvlJc w:val="right"/>
      <w:pPr>
        <w:widowControl w:val="0"/>
        <w:tabs>
          <w:tab w:val="num" w:pos="0"/>
        </w:tabs>
        <w:autoSpaceDE w:val="0"/>
        <w:autoSpaceDN w:val="0"/>
        <w:adjustRightInd w:val="0"/>
        <w:ind w:left="720" w:firstLine="720"/>
        <w:jc w:val="both"/>
      </w:pPr>
      <w:rPr>
        <w:rFonts w:ascii="Times New Roman" w:hAnsi="Times New Roman" w:cs="Times New Roman"/>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0"/>
        <w:szCs w:val="20"/>
      </w:rPr>
    </w:lvl>
  </w:abstractNum>
  <w:abstractNum w:abstractNumId="25" w15:restartNumberingAfterBreak="0">
    <w:nsid w:val="00000026"/>
    <w:multiLevelType w:val="hybridMultilevel"/>
    <w:tmpl w:val="FD624262"/>
    <w:lvl w:ilvl="0" w:tplc="FFFFFFFF">
      <w:start w:val="1"/>
      <w:numFmt w:val="lowerRoman"/>
      <w:lvlText w:val="(%1)"/>
      <w:lvlJc w:val="left"/>
      <w:pPr>
        <w:widowControl w:val="0"/>
        <w:autoSpaceDE w:val="0"/>
        <w:autoSpaceDN w:val="0"/>
        <w:adjustRightInd w:val="0"/>
        <w:ind w:left="1440" w:hanging="720"/>
        <w:jc w:val="both"/>
      </w:pPr>
      <w:rPr>
        <w:rFonts w:ascii="Times New Roman" w:hAnsi="Times New Roman" w:cs="Times New Roman"/>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0"/>
        <w:szCs w:val="20"/>
      </w:rPr>
    </w:lvl>
  </w:abstractNum>
  <w:abstractNum w:abstractNumId="26" w15:restartNumberingAfterBreak="0">
    <w:nsid w:val="01B36EA6"/>
    <w:multiLevelType w:val="hybridMultilevel"/>
    <w:tmpl w:val="68CAA7DA"/>
    <w:name w:val="Heading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1F422A"/>
    <w:multiLevelType w:val="hybridMultilevel"/>
    <w:tmpl w:val="B322C534"/>
    <w:lvl w:ilvl="0" w:tplc="C658CF3C">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78A65D6"/>
    <w:multiLevelType w:val="hybridMultilevel"/>
    <w:tmpl w:val="CE8A055A"/>
    <w:lvl w:ilvl="0" w:tplc="A07E72E8">
      <w:start w:val="1"/>
      <w:numFmt w:val="lowerRoman"/>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D925526"/>
    <w:multiLevelType w:val="hybridMultilevel"/>
    <w:tmpl w:val="B9F20546"/>
    <w:lvl w:ilvl="0" w:tplc="EAC04FB4">
      <w:start w:val="3"/>
      <w:numFmt w:val="lowerRoman"/>
      <w:lvlText w:val="(%1)"/>
      <w:lvlJc w:val="left"/>
      <w:pPr>
        <w:ind w:left="150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8B64B8"/>
    <w:multiLevelType w:val="hybridMultilevel"/>
    <w:tmpl w:val="406860FA"/>
    <w:lvl w:ilvl="0" w:tplc="450AF4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0B86F99"/>
    <w:multiLevelType w:val="multilevel"/>
    <w:tmpl w:val="4D9E07A0"/>
    <w:lvl w:ilvl="0">
      <w:start w:val="1"/>
      <w:numFmt w:val="none"/>
      <w:suff w:val="nothing"/>
      <w:lvlText w:val=""/>
      <w:lvlJc w:val="left"/>
      <w:pPr>
        <w:tabs>
          <w:tab w:val="num" w:pos="0"/>
        </w:tabs>
        <w:ind w:left="0" w:firstLine="0"/>
      </w:pPr>
      <w:rPr>
        <w:b w:val="0"/>
        <w:i w:val="0"/>
        <w:caps/>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
      <w:lvlJc w:val="left"/>
      <w:pPr>
        <w:tabs>
          <w:tab w:val="num" w:pos="720"/>
        </w:tabs>
        <w:ind w:left="0" w:firstLine="72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720" w:firstLine="72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880"/>
        </w:tabs>
        <w:ind w:left="1440" w:firstLine="72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3600"/>
        </w:tabs>
        <w:ind w:left="2160" w:firstLine="72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4320"/>
        </w:tabs>
        <w:ind w:left="2880" w:firstLine="72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0E4130D"/>
    <w:multiLevelType w:val="hybridMultilevel"/>
    <w:tmpl w:val="F4285610"/>
    <w:lvl w:ilvl="0" w:tplc="02E8C862">
      <w:start w:val="1"/>
      <w:numFmt w:val="lowerRoman"/>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085531"/>
    <w:multiLevelType w:val="hybridMultilevel"/>
    <w:tmpl w:val="03D0A452"/>
    <w:lvl w:ilvl="0" w:tplc="B72E145A">
      <w:start w:val="1"/>
      <w:numFmt w:val="lowerRoman"/>
      <w:lvlText w:val="(%1)"/>
      <w:lvlJc w:val="left"/>
      <w:pPr>
        <w:ind w:left="78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6955119"/>
    <w:multiLevelType w:val="hybridMultilevel"/>
    <w:tmpl w:val="A9A80AB6"/>
    <w:lvl w:ilvl="0" w:tplc="DA5A3870">
      <w:start w:val="1"/>
      <w:numFmt w:val="lowerLetter"/>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16A73EF"/>
    <w:multiLevelType w:val="hybridMultilevel"/>
    <w:tmpl w:val="611CE6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51055C"/>
    <w:multiLevelType w:val="multilevel"/>
    <w:tmpl w:val="78C8F372"/>
    <w:lvl w:ilvl="0">
      <w:start w:val="1"/>
      <w:numFmt w:val="bullet"/>
      <w:lvlText w:val="·"/>
      <w:lvlJc w:val="left"/>
      <w:pPr>
        <w:tabs>
          <w:tab w:val="left" w:pos="72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85A7931"/>
    <w:multiLevelType w:val="hybridMultilevel"/>
    <w:tmpl w:val="4E743EC6"/>
    <w:lvl w:ilvl="0" w:tplc="009A8D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F733079"/>
    <w:multiLevelType w:val="hybridMultilevel"/>
    <w:tmpl w:val="4F969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33E12"/>
    <w:multiLevelType w:val="hybridMultilevel"/>
    <w:tmpl w:val="ACCC80CE"/>
    <w:lvl w:ilvl="0" w:tplc="03AE74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AD6277"/>
    <w:multiLevelType w:val="hybridMultilevel"/>
    <w:tmpl w:val="F2846ADA"/>
    <w:lvl w:ilvl="0" w:tplc="7E761D5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432535"/>
    <w:multiLevelType w:val="hybridMultilevel"/>
    <w:tmpl w:val="419ECBF2"/>
    <w:lvl w:ilvl="0" w:tplc="3D24E6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E285D7B"/>
    <w:multiLevelType w:val="hybridMultilevel"/>
    <w:tmpl w:val="480427AC"/>
    <w:lvl w:ilvl="0" w:tplc="883E5D2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7F42D6"/>
    <w:multiLevelType w:val="multilevel"/>
    <w:tmpl w:val="91F29A06"/>
    <w:name w:val="Heading"/>
    <w:lvl w:ilvl="0">
      <w:start w:val="1"/>
      <w:numFmt w:val="none"/>
      <w:suff w:val="nothing"/>
      <w:lvlText w:val=""/>
      <w:lvlJc w:val="left"/>
      <w:pPr>
        <w:ind w:left="0" w:firstLine="0"/>
      </w:pPr>
      <w:rPr>
        <w:strike w:val="0"/>
        <w:dstrike w:val="0"/>
      </w:rPr>
    </w:lvl>
    <w:lvl w:ilvl="1">
      <w:start w:val="1"/>
      <w:numFmt w:val="none"/>
      <w:suff w:val="nothing"/>
      <w:lvlText w:val=""/>
      <w:lvlJc w:val="left"/>
      <w:pPr>
        <w:ind w:left="0" w:firstLine="0"/>
      </w:pPr>
      <w:rPr>
        <w:strike w:val="0"/>
        <w:dstrike w:val="0"/>
      </w:rPr>
    </w:lvl>
    <w:lvl w:ilvl="2">
      <w:start w:val="1"/>
      <w:numFmt w:val="none"/>
      <w:suff w:val="nothing"/>
      <w:lvlText w:val=""/>
      <w:lvlJc w:val="left"/>
      <w:pPr>
        <w:ind w:left="0" w:firstLine="0"/>
      </w:pPr>
      <w:rPr>
        <w:strike w:val="0"/>
        <w:dstrike w:val="0"/>
      </w:rPr>
    </w:lvl>
    <w:lvl w:ilvl="3">
      <w:start w:val="1"/>
      <w:numFmt w:val="none"/>
      <w:suff w:val="nothing"/>
      <w:lvlText w:val=""/>
      <w:lvlJc w:val="left"/>
      <w:pPr>
        <w:ind w:left="0" w:firstLine="0"/>
      </w:pPr>
      <w:rPr>
        <w:strike w:val="0"/>
        <w:dstrike w:val="0"/>
      </w:rPr>
    </w:lvl>
    <w:lvl w:ilvl="4">
      <w:start w:val="1"/>
      <w:numFmt w:val="none"/>
      <w:suff w:val="nothing"/>
      <w:lvlText w:val=""/>
      <w:lvlJc w:val="left"/>
      <w:pPr>
        <w:ind w:left="0" w:firstLine="0"/>
      </w:pPr>
      <w:rPr>
        <w:strike w:val="0"/>
        <w:dstrike w:val="0"/>
      </w:rPr>
    </w:lvl>
    <w:lvl w:ilvl="5">
      <w:start w:val="1"/>
      <w:numFmt w:val="none"/>
      <w:suff w:val="nothing"/>
      <w:lvlText w:val=""/>
      <w:lvlJc w:val="left"/>
      <w:pPr>
        <w:ind w:left="0" w:firstLine="0"/>
      </w:pPr>
      <w:rPr>
        <w:strike w:val="0"/>
        <w:dstrike w:val="0"/>
      </w:rPr>
    </w:lvl>
    <w:lvl w:ilvl="6">
      <w:start w:val="1"/>
      <w:numFmt w:val="none"/>
      <w:suff w:val="nothing"/>
      <w:lvlText w:val=""/>
      <w:lvlJc w:val="left"/>
      <w:pPr>
        <w:ind w:left="0" w:firstLine="0"/>
      </w:pPr>
      <w:rPr>
        <w:strike w:val="0"/>
        <w:dstrike w:val="0"/>
      </w:rPr>
    </w:lvl>
    <w:lvl w:ilvl="7">
      <w:start w:val="1"/>
      <w:numFmt w:val="none"/>
      <w:suff w:val="nothing"/>
      <w:lvlText w:val=""/>
      <w:lvlJc w:val="left"/>
      <w:pPr>
        <w:ind w:left="0" w:firstLine="0"/>
      </w:pPr>
      <w:rPr>
        <w:strike w:val="0"/>
        <w:dstrike w:val="0"/>
      </w:rPr>
    </w:lvl>
    <w:lvl w:ilvl="8">
      <w:start w:val="1"/>
      <w:numFmt w:val="decimal"/>
      <w:suff w:val="nothing"/>
      <w:lvlText w:val="%9"/>
      <w:lvlJc w:val="left"/>
      <w:pPr>
        <w:ind w:left="0" w:firstLine="0"/>
      </w:pPr>
      <w:rPr>
        <w:strike w:val="0"/>
        <w:dstrike w:val="0"/>
      </w:rPr>
    </w:lvl>
  </w:abstractNum>
  <w:abstractNum w:abstractNumId="44" w15:restartNumberingAfterBreak="0">
    <w:nsid w:val="611410D0"/>
    <w:multiLevelType w:val="hybridMultilevel"/>
    <w:tmpl w:val="F9C6AED6"/>
    <w:lvl w:ilvl="0" w:tplc="80E8C3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1367CD"/>
    <w:multiLevelType w:val="multilevel"/>
    <w:tmpl w:val="DDF2274C"/>
    <w:name w:val="zzmpKutak1||Kutak1 (OS-POS)|2|4|1|0|0|41||0|0|33||0|0|3||1|0|2||1|0|2||1|0|2||1|0|2||mpNA||mpNA||"/>
    <w:lvl w:ilvl="0">
      <w:start w:val="1"/>
      <w:numFmt w:val="none"/>
      <w:pStyle w:val="Kutak1L1"/>
      <w:suff w:val="nothing"/>
      <w:lvlText w:val=""/>
      <w:lvlJc w:val="left"/>
      <w:pPr>
        <w:tabs>
          <w:tab w:val="num" w:pos="0"/>
        </w:tabs>
        <w:ind w:left="0" w:firstLine="0"/>
      </w:pPr>
      <w:rPr>
        <w:rFonts w:ascii="Times New Roman" w:hAnsi="Times New Roman" w:cs="Times New Roman" w:hint="default"/>
        <w:b w:val="0"/>
        <w:i w:val="0"/>
        <w:caps/>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Kutak1L2"/>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Kutak1L3"/>
      <w:suff w:val="nothing"/>
      <w:lvlText w:val=""/>
      <w:lvlJc w:val="left"/>
      <w:pPr>
        <w:tabs>
          <w:tab w:val="num" w:pos="720"/>
        </w:tabs>
        <w:ind w:left="0" w:firstLine="72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Kutak1L4"/>
      <w:lvlText w:val="(%4)"/>
      <w:lvlJc w:val="left"/>
      <w:pPr>
        <w:tabs>
          <w:tab w:val="num" w:pos="2160"/>
        </w:tabs>
        <w:ind w:left="720" w:firstLine="720"/>
      </w:pPr>
      <w:rPr>
        <w:rFonts w:ascii="Times New Roman" w:hAnsi="Times New Roman" w:cs="Times New Roman" w:hint="default"/>
        <w:b w:val="0"/>
        <w:i w:val="0"/>
        <w:caps w:val="0"/>
        <w:smallCaps w:val="0"/>
        <w:strike w:val="0"/>
        <w:dstrike w:val="0"/>
        <w:vanish w:val="0"/>
        <w:webHidden w:val="0"/>
        <w:color w:val="000000"/>
        <w:sz w:val="20"/>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Kutak1L5"/>
      <w:lvlText w:val="(%5)"/>
      <w:lvlJc w:val="left"/>
      <w:pPr>
        <w:tabs>
          <w:tab w:val="num" w:pos="2880"/>
        </w:tabs>
        <w:ind w:left="1440" w:firstLine="720"/>
      </w:pPr>
      <w:rPr>
        <w:rFonts w:ascii="Times New Roman" w:hAnsi="Times New Roman" w:cs="Times New Roman" w:hint="default"/>
        <w:b w:val="0"/>
        <w:i w:val="0"/>
        <w:caps w:val="0"/>
        <w:smallCaps w:val="0"/>
        <w:strike w:val="0"/>
        <w:dstrike w:val="0"/>
        <w:vanish w:val="0"/>
        <w:webHidden w:val="0"/>
        <w:color w:val="000000"/>
        <w:sz w:val="20"/>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Kutak1L6"/>
      <w:lvlText w:val="(%6)"/>
      <w:lvlJc w:val="left"/>
      <w:pPr>
        <w:tabs>
          <w:tab w:val="num" w:pos="3600"/>
        </w:tabs>
        <w:ind w:left="2160" w:firstLine="72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Kutak1L7"/>
      <w:lvlText w:val="(%7)"/>
      <w:lvlJc w:val="left"/>
      <w:pPr>
        <w:tabs>
          <w:tab w:val="num" w:pos="4320"/>
        </w:tabs>
        <w:ind w:left="2880" w:firstLine="720"/>
      </w:pPr>
      <w:rPr>
        <w:rFonts w:ascii="Times New Roman" w:hAnsi="Times New Roman" w:cs="Times New Roman" w:hint="default"/>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00000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webHidden w:val="0"/>
        <w:color w:val="00000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CD02917"/>
    <w:multiLevelType w:val="hybridMultilevel"/>
    <w:tmpl w:val="0960FDFC"/>
    <w:lvl w:ilvl="0" w:tplc="677EB408">
      <w:start w:val="1"/>
      <w:numFmt w:val="decimal"/>
      <w:lvlText w:val="(%1)"/>
      <w:lvlJc w:val="left"/>
      <w:pPr>
        <w:ind w:left="1495" w:hanging="79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21"/>
  </w:num>
  <w:num w:numId="13">
    <w:abstractNumId w:val="19"/>
  </w:num>
  <w:num w:numId="14">
    <w:abstractNumId w:val="18"/>
  </w:num>
  <w:num w:numId="15">
    <w:abstractNumId w:val="20"/>
  </w:num>
  <w:num w:numId="16">
    <w:abstractNumId w:val="23"/>
  </w:num>
  <w:num w:numId="17">
    <w:abstractNumId w:val="25"/>
  </w:num>
  <w:num w:numId="18">
    <w:abstractNumId w:val="22"/>
  </w:num>
  <w:num w:numId="19">
    <w:abstractNumId w:val="17"/>
  </w:num>
  <w:num w:numId="20">
    <w:abstractNumId w:val="15"/>
  </w:num>
  <w:num w:numId="21">
    <w:abstractNumId w:val="14"/>
  </w:num>
  <w:num w:numId="22">
    <w:abstractNumId w:val="13"/>
  </w:num>
  <w:num w:numId="23">
    <w:abstractNumId w:val="12"/>
  </w:num>
  <w:num w:numId="24">
    <w:abstractNumId w:val="11"/>
  </w:num>
  <w:num w:numId="25">
    <w:abstractNumId w:val="10"/>
  </w:num>
  <w:num w:numId="26">
    <w:abstractNumId w:val="24"/>
  </w:num>
  <w:num w:numId="27">
    <w:abstractNumId w:val="46"/>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4"/>
  </w:num>
  <w:num w:numId="31">
    <w:abstractNumId w:val="40"/>
  </w:num>
  <w:num w:numId="32">
    <w:abstractNumId w:val="41"/>
  </w:num>
  <w:num w:numId="33">
    <w:abstractNumId w:val="44"/>
  </w:num>
  <w:num w:numId="34">
    <w:abstractNumId w:val="27"/>
  </w:num>
  <w:num w:numId="35">
    <w:abstractNumId w:val="39"/>
  </w:num>
  <w:num w:numId="36">
    <w:abstractNumId w:val="33"/>
  </w:num>
  <w:num w:numId="37">
    <w:abstractNumId w:val="37"/>
  </w:num>
  <w:num w:numId="38">
    <w:abstractNumId w:val="28"/>
  </w:num>
  <w:num w:numId="39">
    <w:abstractNumId w:val="30"/>
  </w:num>
  <w:num w:numId="40">
    <w:abstractNumId w:val="42"/>
  </w:num>
  <w:num w:numId="41">
    <w:abstractNumId w:val="32"/>
  </w:num>
  <w:num w:numId="42">
    <w:abstractNumId w:val="43"/>
  </w:num>
  <w:num w:numId="43">
    <w:abstractNumId w:val="26"/>
  </w:num>
  <w:num w:numId="44">
    <w:abstractNumId w:val="29"/>
  </w:num>
  <w:num w:numId="45">
    <w:abstractNumId w:val="36"/>
  </w:num>
  <w:num w:numId="46">
    <w:abstractNumId w:val="35"/>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E5"/>
    <w:rsid w:val="000003D5"/>
    <w:rsid w:val="00000499"/>
    <w:rsid w:val="000016DE"/>
    <w:rsid w:val="000024F4"/>
    <w:rsid w:val="00002DEA"/>
    <w:rsid w:val="0000459E"/>
    <w:rsid w:val="0000515F"/>
    <w:rsid w:val="0000518A"/>
    <w:rsid w:val="00005BE7"/>
    <w:rsid w:val="00006672"/>
    <w:rsid w:val="00006A13"/>
    <w:rsid w:val="00007761"/>
    <w:rsid w:val="000105FC"/>
    <w:rsid w:val="00012147"/>
    <w:rsid w:val="000122E0"/>
    <w:rsid w:val="0001262D"/>
    <w:rsid w:val="00014172"/>
    <w:rsid w:val="00014F96"/>
    <w:rsid w:val="00014FEA"/>
    <w:rsid w:val="0001630C"/>
    <w:rsid w:val="00016977"/>
    <w:rsid w:val="00016E06"/>
    <w:rsid w:val="00016E57"/>
    <w:rsid w:val="00016F6E"/>
    <w:rsid w:val="00017D3C"/>
    <w:rsid w:val="00020115"/>
    <w:rsid w:val="00020D2D"/>
    <w:rsid w:val="00020D99"/>
    <w:rsid w:val="00020F68"/>
    <w:rsid w:val="000216BA"/>
    <w:rsid w:val="00021929"/>
    <w:rsid w:val="00021A08"/>
    <w:rsid w:val="00021B50"/>
    <w:rsid w:val="00021C02"/>
    <w:rsid w:val="00021D58"/>
    <w:rsid w:val="0002208D"/>
    <w:rsid w:val="00022131"/>
    <w:rsid w:val="000221F8"/>
    <w:rsid w:val="00022599"/>
    <w:rsid w:val="00022A66"/>
    <w:rsid w:val="000230C6"/>
    <w:rsid w:val="00023174"/>
    <w:rsid w:val="0002342B"/>
    <w:rsid w:val="00023454"/>
    <w:rsid w:val="000235A4"/>
    <w:rsid w:val="000235DC"/>
    <w:rsid w:val="00023F22"/>
    <w:rsid w:val="000256F3"/>
    <w:rsid w:val="0002585E"/>
    <w:rsid w:val="00025DA7"/>
    <w:rsid w:val="00027492"/>
    <w:rsid w:val="00027500"/>
    <w:rsid w:val="00027C05"/>
    <w:rsid w:val="00027D31"/>
    <w:rsid w:val="000307B6"/>
    <w:rsid w:val="00030B35"/>
    <w:rsid w:val="00030DF9"/>
    <w:rsid w:val="00030ED5"/>
    <w:rsid w:val="000311E8"/>
    <w:rsid w:val="0003164E"/>
    <w:rsid w:val="00031C21"/>
    <w:rsid w:val="00031D31"/>
    <w:rsid w:val="000334A1"/>
    <w:rsid w:val="00034040"/>
    <w:rsid w:val="000345B0"/>
    <w:rsid w:val="00034CB4"/>
    <w:rsid w:val="00034D4E"/>
    <w:rsid w:val="00034FAB"/>
    <w:rsid w:val="0003564D"/>
    <w:rsid w:val="00035D6C"/>
    <w:rsid w:val="00036620"/>
    <w:rsid w:val="00037120"/>
    <w:rsid w:val="0003724B"/>
    <w:rsid w:val="0003786F"/>
    <w:rsid w:val="000402BB"/>
    <w:rsid w:val="0004176A"/>
    <w:rsid w:val="00041D43"/>
    <w:rsid w:val="00042923"/>
    <w:rsid w:val="00044112"/>
    <w:rsid w:val="00044312"/>
    <w:rsid w:val="0004475A"/>
    <w:rsid w:val="00044845"/>
    <w:rsid w:val="000451B1"/>
    <w:rsid w:val="00045607"/>
    <w:rsid w:val="00045C3F"/>
    <w:rsid w:val="00045CD6"/>
    <w:rsid w:val="000464EC"/>
    <w:rsid w:val="00047A67"/>
    <w:rsid w:val="0005086D"/>
    <w:rsid w:val="00050F36"/>
    <w:rsid w:val="00051846"/>
    <w:rsid w:val="00051B08"/>
    <w:rsid w:val="00051B35"/>
    <w:rsid w:val="0005231B"/>
    <w:rsid w:val="00052EC0"/>
    <w:rsid w:val="000536B8"/>
    <w:rsid w:val="00053C95"/>
    <w:rsid w:val="000545BE"/>
    <w:rsid w:val="00054DE8"/>
    <w:rsid w:val="00055633"/>
    <w:rsid w:val="0005568A"/>
    <w:rsid w:val="00055C2C"/>
    <w:rsid w:val="00055F80"/>
    <w:rsid w:val="0005685F"/>
    <w:rsid w:val="0005761A"/>
    <w:rsid w:val="00057733"/>
    <w:rsid w:val="00060B99"/>
    <w:rsid w:val="000612BD"/>
    <w:rsid w:val="000612C0"/>
    <w:rsid w:val="000612C4"/>
    <w:rsid w:val="00061B8A"/>
    <w:rsid w:val="00061CF4"/>
    <w:rsid w:val="00061E93"/>
    <w:rsid w:val="00062414"/>
    <w:rsid w:val="00062802"/>
    <w:rsid w:val="000628FE"/>
    <w:rsid w:val="00062CC9"/>
    <w:rsid w:val="0006318E"/>
    <w:rsid w:val="00063AC6"/>
    <w:rsid w:val="00063B3D"/>
    <w:rsid w:val="00064BC1"/>
    <w:rsid w:val="00065C3B"/>
    <w:rsid w:val="000671F5"/>
    <w:rsid w:val="00067401"/>
    <w:rsid w:val="00067E62"/>
    <w:rsid w:val="00070AF9"/>
    <w:rsid w:val="000711BA"/>
    <w:rsid w:val="00071501"/>
    <w:rsid w:val="000718D0"/>
    <w:rsid w:val="000721D2"/>
    <w:rsid w:val="0007316F"/>
    <w:rsid w:val="0007425B"/>
    <w:rsid w:val="00074916"/>
    <w:rsid w:val="00075254"/>
    <w:rsid w:val="000752A7"/>
    <w:rsid w:val="0007568F"/>
    <w:rsid w:val="00075DE5"/>
    <w:rsid w:val="000760CA"/>
    <w:rsid w:val="0007638C"/>
    <w:rsid w:val="00077232"/>
    <w:rsid w:val="00077E5F"/>
    <w:rsid w:val="00080250"/>
    <w:rsid w:val="000808FB"/>
    <w:rsid w:val="000810DD"/>
    <w:rsid w:val="00081628"/>
    <w:rsid w:val="0008219F"/>
    <w:rsid w:val="0008277A"/>
    <w:rsid w:val="000830A7"/>
    <w:rsid w:val="000833D6"/>
    <w:rsid w:val="00083785"/>
    <w:rsid w:val="00083BF0"/>
    <w:rsid w:val="00084565"/>
    <w:rsid w:val="000846AD"/>
    <w:rsid w:val="00084F1E"/>
    <w:rsid w:val="00085334"/>
    <w:rsid w:val="00086C64"/>
    <w:rsid w:val="00087588"/>
    <w:rsid w:val="000911D5"/>
    <w:rsid w:val="00091264"/>
    <w:rsid w:val="00091C34"/>
    <w:rsid w:val="00092FC8"/>
    <w:rsid w:val="000938C1"/>
    <w:rsid w:val="000940B2"/>
    <w:rsid w:val="000945A0"/>
    <w:rsid w:val="00094855"/>
    <w:rsid w:val="00094B7D"/>
    <w:rsid w:val="00094C3F"/>
    <w:rsid w:val="00094C68"/>
    <w:rsid w:val="00094D30"/>
    <w:rsid w:val="000951D0"/>
    <w:rsid w:val="000954EA"/>
    <w:rsid w:val="0009575E"/>
    <w:rsid w:val="00095B5A"/>
    <w:rsid w:val="00095BE1"/>
    <w:rsid w:val="000965AA"/>
    <w:rsid w:val="00096B99"/>
    <w:rsid w:val="000972E7"/>
    <w:rsid w:val="000978CB"/>
    <w:rsid w:val="000A0D5B"/>
    <w:rsid w:val="000A0F45"/>
    <w:rsid w:val="000A102F"/>
    <w:rsid w:val="000A17A5"/>
    <w:rsid w:val="000A1CE0"/>
    <w:rsid w:val="000A207A"/>
    <w:rsid w:val="000A2695"/>
    <w:rsid w:val="000A26E3"/>
    <w:rsid w:val="000A5E86"/>
    <w:rsid w:val="000A646C"/>
    <w:rsid w:val="000A686B"/>
    <w:rsid w:val="000A6970"/>
    <w:rsid w:val="000A7B7B"/>
    <w:rsid w:val="000B06D0"/>
    <w:rsid w:val="000B0A55"/>
    <w:rsid w:val="000B0B73"/>
    <w:rsid w:val="000B0E8F"/>
    <w:rsid w:val="000B1CE8"/>
    <w:rsid w:val="000B211D"/>
    <w:rsid w:val="000B21C8"/>
    <w:rsid w:val="000B2252"/>
    <w:rsid w:val="000B22CE"/>
    <w:rsid w:val="000B231B"/>
    <w:rsid w:val="000B2AEC"/>
    <w:rsid w:val="000B3100"/>
    <w:rsid w:val="000B31EA"/>
    <w:rsid w:val="000B42DB"/>
    <w:rsid w:val="000B582B"/>
    <w:rsid w:val="000B5858"/>
    <w:rsid w:val="000B5C96"/>
    <w:rsid w:val="000B73ED"/>
    <w:rsid w:val="000B7B45"/>
    <w:rsid w:val="000C0D7B"/>
    <w:rsid w:val="000C0E28"/>
    <w:rsid w:val="000C1047"/>
    <w:rsid w:val="000C12EB"/>
    <w:rsid w:val="000C1A3D"/>
    <w:rsid w:val="000C277D"/>
    <w:rsid w:val="000C2BD0"/>
    <w:rsid w:val="000C2E0E"/>
    <w:rsid w:val="000C2F01"/>
    <w:rsid w:val="000C4646"/>
    <w:rsid w:val="000C476F"/>
    <w:rsid w:val="000C4C86"/>
    <w:rsid w:val="000C4CC7"/>
    <w:rsid w:val="000C5594"/>
    <w:rsid w:val="000C573F"/>
    <w:rsid w:val="000C5EEA"/>
    <w:rsid w:val="000C607B"/>
    <w:rsid w:val="000C6BCB"/>
    <w:rsid w:val="000C6C3D"/>
    <w:rsid w:val="000D0B68"/>
    <w:rsid w:val="000D19B5"/>
    <w:rsid w:val="000D2A13"/>
    <w:rsid w:val="000D33A8"/>
    <w:rsid w:val="000D34B2"/>
    <w:rsid w:val="000D3747"/>
    <w:rsid w:val="000D3DCA"/>
    <w:rsid w:val="000D4501"/>
    <w:rsid w:val="000D4B2A"/>
    <w:rsid w:val="000D5258"/>
    <w:rsid w:val="000D5AA8"/>
    <w:rsid w:val="000D6136"/>
    <w:rsid w:val="000D79E2"/>
    <w:rsid w:val="000D7CC6"/>
    <w:rsid w:val="000D7D13"/>
    <w:rsid w:val="000E0ED2"/>
    <w:rsid w:val="000E10E2"/>
    <w:rsid w:val="000E11A5"/>
    <w:rsid w:val="000E14AE"/>
    <w:rsid w:val="000E1E17"/>
    <w:rsid w:val="000E2397"/>
    <w:rsid w:val="000E366F"/>
    <w:rsid w:val="000E3D5E"/>
    <w:rsid w:val="000E4768"/>
    <w:rsid w:val="000E4782"/>
    <w:rsid w:val="000E4824"/>
    <w:rsid w:val="000E4856"/>
    <w:rsid w:val="000E4A85"/>
    <w:rsid w:val="000E5019"/>
    <w:rsid w:val="000E5919"/>
    <w:rsid w:val="000E5CE4"/>
    <w:rsid w:val="000E668A"/>
    <w:rsid w:val="000E6B48"/>
    <w:rsid w:val="000E6F6D"/>
    <w:rsid w:val="000E760C"/>
    <w:rsid w:val="000F0458"/>
    <w:rsid w:val="000F0842"/>
    <w:rsid w:val="000F0DD7"/>
    <w:rsid w:val="000F115E"/>
    <w:rsid w:val="000F1268"/>
    <w:rsid w:val="000F288B"/>
    <w:rsid w:val="000F2E2A"/>
    <w:rsid w:val="000F450B"/>
    <w:rsid w:val="000F4B6F"/>
    <w:rsid w:val="000F5F2D"/>
    <w:rsid w:val="000F68B8"/>
    <w:rsid w:val="000F6F90"/>
    <w:rsid w:val="000F7033"/>
    <w:rsid w:val="000F712D"/>
    <w:rsid w:val="00100152"/>
    <w:rsid w:val="00100D74"/>
    <w:rsid w:val="00100FDA"/>
    <w:rsid w:val="00102683"/>
    <w:rsid w:val="001026B6"/>
    <w:rsid w:val="00102FD5"/>
    <w:rsid w:val="001032A5"/>
    <w:rsid w:val="0010377F"/>
    <w:rsid w:val="001041A9"/>
    <w:rsid w:val="00104451"/>
    <w:rsid w:val="00104C1F"/>
    <w:rsid w:val="001051C6"/>
    <w:rsid w:val="001054B1"/>
    <w:rsid w:val="001057D8"/>
    <w:rsid w:val="00105D17"/>
    <w:rsid w:val="001103A4"/>
    <w:rsid w:val="001109C9"/>
    <w:rsid w:val="00111441"/>
    <w:rsid w:val="00111DF7"/>
    <w:rsid w:val="00112EDA"/>
    <w:rsid w:val="00114008"/>
    <w:rsid w:val="00114053"/>
    <w:rsid w:val="00114320"/>
    <w:rsid w:val="001150AF"/>
    <w:rsid w:val="00115A3F"/>
    <w:rsid w:val="00115BE4"/>
    <w:rsid w:val="00115FD3"/>
    <w:rsid w:val="001169AF"/>
    <w:rsid w:val="00117FE9"/>
    <w:rsid w:val="0012023D"/>
    <w:rsid w:val="00120243"/>
    <w:rsid w:val="00120D1C"/>
    <w:rsid w:val="00120E12"/>
    <w:rsid w:val="00121ADE"/>
    <w:rsid w:val="00122261"/>
    <w:rsid w:val="00122F04"/>
    <w:rsid w:val="00122FF3"/>
    <w:rsid w:val="0012339D"/>
    <w:rsid w:val="00123452"/>
    <w:rsid w:val="00123563"/>
    <w:rsid w:val="00123598"/>
    <w:rsid w:val="00123A13"/>
    <w:rsid w:val="00123A1F"/>
    <w:rsid w:val="00123CD6"/>
    <w:rsid w:val="00124F77"/>
    <w:rsid w:val="00125876"/>
    <w:rsid w:val="00125CFA"/>
    <w:rsid w:val="00130A77"/>
    <w:rsid w:val="00130C02"/>
    <w:rsid w:val="00130E4C"/>
    <w:rsid w:val="001316AC"/>
    <w:rsid w:val="00131BE8"/>
    <w:rsid w:val="00131F47"/>
    <w:rsid w:val="00132F77"/>
    <w:rsid w:val="00132FA2"/>
    <w:rsid w:val="001331CC"/>
    <w:rsid w:val="00133420"/>
    <w:rsid w:val="00133455"/>
    <w:rsid w:val="0013371E"/>
    <w:rsid w:val="00134514"/>
    <w:rsid w:val="001346AF"/>
    <w:rsid w:val="0013489E"/>
    <w:rsid w:val="00134BBF"/>
    <w:rsid w:val="00134E84"/>
    <w:rsid w:val="00134EC1"/>
    <w:rsid w:val="0013516C"/>
    <w:rsid w:val="00136C9A"/>
    <w:rsid w:val="00136D2F"/>
    <w:rsid w:val="00136D88"/>
    <w:rsid w:val="00137354"/>
    <w:rsid w:val="00137D1B"/>
    <w:rsid w:val="0014068D"/>
    <w:rsid w:val="00140A93"/>
    <w:rsid w:val="00140AF0"/>
    <w:rsid w:val="0014127C"/>
    <w:rsid w:val="00141A82"/>
    <w:rsid w:val="00141CEF"/>
    <w:rsid w:val="00142A03"/>
    <w:rsid w:val="00142C82"/>
    <w:rsid w:val="0014423F"/>
    <w:rsid w:val="00144FDF"/>
    <w:rsid w:val="001456EB"/>
    <w:rsid w:val="00145F4D"/>
    <w:rsid w:val="001460B8"/>
    <w:rsid w:val="00146A51"/>
    <w:rsid w:val="00146AF7"/>
    <w:rsid w:val="0014703C"/>
    <w:rsid w:val="00147A5F"/>
    <w:rsid w:val="00147E80"/>
    <w:rsid w:val="001509C4"/>
    <w:rsid w:val="00150EBE"/>
    <w:rsid w:val="00151B12"/>
    <w:rsid w:val="00152A0C"/>
    <w:rsid w:val="00153060"/>
    <w:rsid w:val="001537CE"/>
    <w:rsid w:val="00153850"/>
    <w:rsid w:val="001540FD"/>
    <w:rsid w:val="001547CE"/>
    <w:rsid w:val="00154B65"/>
    <w:rsid w:val="00154FF2"/>
    <w:rsid w:val="0015521D"/>
    <w:rsid w:val="0015560E"/>
    <w:rsid w:val="00155809"/>
    <w:rsid w:val="0015596B"/>
    <w:rsid w:val="00155F0C"/>
    <w:rsid w:val="00156362"/>
    <w:rsid w:val="00156FC8"/>
    <w:rsid w:val="001579BE"/>
    <w:rsid w:val="00157C73"/>
    <w:rsid w:val="00157D03"/>
    <w:rsid w:val="00160019"/>
    <w:rsid w:val="00160358"/>
    <w:rsid w:val="00160E4F"/>
    <w:rsid w:val="00161089"/>
    <w:rsid w:val="00161551"/>
    <w:rsid w:val="001615B1"/>
    <w:rsid w:val="001619F9"/>
    <w:rsid w:val="00161A86"/>
    <w:rsid w:val="00161AC7"/>
    <w:rsid w:val="00161E5B"/>
    <w:rsid w:val="001623BE"/>
    <w:rsid w:val="00163A08"/>
    <w:rsid w:val="001644FF"/>
    <w:rsid w:val="00166039"/>
    <w:rsid w:val="001664D1"/>
    <w:rsid w:val="00166F1F"/>
    <w:rsid w:val="001672BE"/>
    <w:rsid w:val="00167E08"/>
    <w:rsid w:val="00170790"/>
    <w:rsid w:val="00171065"/>
    <w:rsid w:val="00171844"/>
    <w:rsid w:val="00171C66"/>
    <w:rsid w:val="0017268B"/>
    <w:rsid w:val="00172E20"/>
    <w:rsid w:val="001736C4"/>
    <w:rsid w:val="0017395F"/>
    <w:rsid w:val="00173DF2"/>
    <w:rsid w:val="00174838"/>
    <w:rsid w:val="00174855"/>
    <w:rsid w:val="00180ED9"/>
    <w:rsid w:val="00181021"/>
    <w:rsid w:val="001821AD"/>
    <w:rsid w:val="001824B9"/>
    <w:rsid w:val="001824C4"/>
    <w:rsid w:val="001834CD"/>
    <w:rsid w:val="0018376B"/>
    <w:rsid w:val="00184B86"/>
    <w:rsid w:val="00185897"/>
    <w:rsid w:val="001858D5"/>
    <w:rsid w:val="00186664"/>
    <w:rsid w:val="00186AC3"/>
    <w:rsid w:val="00190045"/>
    <w:rsid w:val="0019054C"/>
    <w:rsid w:val="001911FF"/>
    <w:rsid w:val="00192126"/>
    <w:rsid w:val="001923D6"/>
    <w:rsid w:val="00192A86"/>
    <w:rsid w:val="00192F3D"/>
    <w:rsid w:val="00193DB7"/>
    <w:rsid w:val="00194748"/>
    <w:rsid w:val="001948DA"/>
    <w:rsid w:val="00194E16"/>
    <w:rsid w:val="001955BB"/>
    <w:rsid w:val="001957FB"/>
    <w:rsid w:val="00195C14"/>
    <w:rsid w:val="0019678F"/>
    <w:rsid w:val="00196B08"/>
    <w:rsid w:val="00197A2A"/>
    <w:rsid w:val="00197BD0"/>
    <w:rsid w:val="001A0249"/>
    <w:rsid w:val="001A0582"/>
    <w:rsid w:val="001A07F8"/>
    <w:rsid w:val="001A0D3E"/>
    <w:rsid w:val="001A0FD7"/>
    <w:rsid w:val="001A11DD"/>
    <w:rsid w:val="001A162F"/>
    <w:rsid w:val="001A1B95"/>
    <w:rsid w:val="001A1F46"/>
    <w:rsid w:val="001A1F85"/>
    <w:rsid w:val="001A201B"/>
    <w:rsid w:val="001A2855"/>
    <w:rsid w:val="001A2DB7"/>
    <w:rsid w:val="001A2E2D"/>
    <w:rsid w:val="001A2E7D"/>
    <w:rsid w:val="001A2FE7"/>
    <w:rsid w:val="001A31F3"/>
    <w:rsid w:val="001A37DF"/>
    <w:rsid w:val="001A43C2"/>
    <w:rsid w:val="001A4995"/>
    <w:rsid w:val="001A5937"/>
    <w:rsid w:val="001A65E6"/>
    <w:rsid w:val="001A6733"/>
    <w:rsid w:val="001A6BE3"/>
    <w:rsid w:val="001B0190"/>
    <w:rsid w:val="001B0C55"/>
    <w:rsid w:val="001B1F9E"/>
    <w:rsid w:val="001B21C5"/>
    <w:rsid w:val="001B2309"/>
    <w:rsid w:val="001B256C"/>
    <w:rsid w:val="001B28FB"/>
    <w:rsid w:val="001B311A"/>
    <w:rsid w:val="001B3662"/>
    <w:rsid w:val="001B3BC3"/>
    <w:rsid w:val="001B4566"/>
    <w:rsid w:val="001B48E8"/>
    <w:rsid w:val="001B4FF6"/>
    <w:rsid w:val="001B5068"/>
    <w:rsid w:val="001B51F9"/>
    <w:rsid w:val="001B57F2"/>
    <w:rsid w:val="001B5A25"/>
    <w:rsid w:val="001B5A5E"/>
    <w:rsid w:val="001B5C75"/>
    <w:rsid w:val="001B719C"/>
    <w:rsid w:val="001B75D5"/>
    <w:rsid w:val="001C0212"/>
    <w:rsid w:val="001C02B8"/>
    <w:rsid w:val="001C0908"/>
    <w:rsid w:val="001C11F1"/>
    <w:rsid w:val="001C1574"/>
    <w:rsid w:val="001C1758"/>
    <w:rsid w:val="001C20CA"/>
    <w:rsid w:val="001C22AF"/>
    <w:rsid w:val="001C248E"/>
    <w:rsid w:val="001C43BB"/>
    <w:rsid w:val="001C46EB"/>
    <w:rsid w:val="001C513D"/>
    <w:rsid w:val="001C5BED"/>
    <w:rsid w:val="001C61A4"/>
    <w:rsid w:val="001C6421"/>
    <w:rsid w:val="001C66D4"/>
    <w:rsid w:val="001C721A"/>
    <w:rsid w:val="001C7500"/>
    <w:rsid w:val="001C783B"/>
    <w:rsid w:val="001C799F"/>
    <w:rsid w:val="001C7A06"/>
    <w:rsid w:val="001D045D"/>
    <w:rsid w:val="001D0E49"/>
    <w:rsid w:val="001D1560"/>
    <w:rsid w:val="001D2354"/>
    <w:rsid w:val="001D31AE"/>
    <w:rsid w:val="001D40F5"/>
    <w:rsid w:val="001D4D46"/>
    <w:rsid w:val="001D4EBF"/>
    <w:rsid w:val="001D50D5"/>
    <w:rsid w:val="001D53CC"/>
    <w:rsid w:val="001D572B"/>
    <w:rsid w:val="001D60FE"/>
    <w:rsid w:val="001D65A6"/>
    <w:rsid w:val="001D6731"/>
    <w:rsid w:val="001D6BDE"/>
    <w:rsid w:val="001E03C8"/>
    <w:rsid w:val="001E062F"/>
    <w:rsid w:val="001E330F"/>
    <w:rsid w:val="001E3321"/>
    <w:rsid w:val="001E3A81"/>
    <w:rsid w:val="001E49AF"/>
    <w:rsid w:val="001E4ACC"/>
    <w:rsid w:val="001E4C92"/>
    <w:rsid w:val="001E57C9"/>
    <w:rsid w:val="001E5B3D"/>
    <w:rsid w:val="001E6D19"/>
    <w:rsid w:val="001E73DA"/>
    <w:rsid w:val="001F05ED"/>
    <w:rsid w:val="001F113E"/>
    <w:rsid w:val="001F1B36"/>
    <w:rsid w:val="001F29C9"/>
    <w:rsid w:val="001F2D0B"/>
    <w:rsid w:val="001F31D0"/>
    <w:rsid w:val="001F32F6"/>
    <w:rsid w:val="001F4277"/>
    <w:rsid w:val="001F4F46"/>
    <w:rsid w:val="001F5C92"/>
    <w:rsid w:val="001F5ECA"/>
    <w:rsid w:val="001F65E9"/>
    <w:rsid w:val="001F67B0"/>
    <w:rsid w:val="001F6A57"/>
    <w:rsid w:val="001F6E5A"/>
    <w:rsid w:val="001F6E7A"/>
    <w:rsid w:val="001F70B7"/>
    <w:rsid w:val="001F7134"/>
    <w:rsid w:val="001F75C3"/>
    <w:rsid w:val="001F78F5"/>
    <w:rsid w:val="002001BB"/>
    <w:rsid w:val="002018A9"/>
    <w:rsid w:val="002020BF"/>
    <w:rsid w:val="00202C6C"/>
    <w:rsid w:val="0020368D"/>
    <w:rsid w:val="00204DA4"/>
    <w:rsid w:val="00204E7E"/>
    <w:rsid w:val="00205542"/>
    <w:rsid w:val="00205E40"/>
    <w:rsid w:val="002065BF"/>
    <w:rsid w:val="0020678E"/>
    <w:rsid w:val="002074F3"/>
    <w:rsid w:val="0021015E"/>
    <w:rsid w:val="002107FD"/>
    <w:rsid w:val="00210C72"/>
    <w:rsid w:val="00212225"/>
    <w:rsid w:val="002122C1"/>
    <w:rsid w:val="00212587"/>
    <w:rsid w:val="002136B7"/>
    <w:rsid w:val="00213A46"/>
    <w:rsid w:val="00213C2E"/>
    <w:rsid w:val="00213EBA"/>
    <w:rsid w:val="0021425D"/>
    <w:rsid w:val="00214CB2"/>
    <w:rsid w:val="002154AB"/>
    <w:rsid w:val="00216BB0"/>
    <w:rsid w:val="00216ED4"/>
    <w:rsid w:val="0022194A"/>
    <w:rsid w:val="00221B54"/>
    <w:rsid w:val="002240CD"/>
    <w:rsid w:val="00225612"/>
    <w:rsid w:val="00225960"/>
    <w:rsid w:val="002263E0"/>
    <w:rsid w:val="002264C4"/>
    <w:rsid w:val="002268B9"/>
    <w:rsid w:val="00226AC8"/>
    <w:rsid w:val="00226DDC"/>
    <w:rsid w:val="00226FFF"/>
    <w:rsid w:val="002279E8"/>
    <w:rsid w:val="00231265"/>
    <w:rsid w:val="0023331F"/>
    <w:rsid w:val="002340E4"/>
    <w:rsid w:val="0023463D"/>
    <w:rsid w:val="00234F66"/>
    <w:rsid w:val="002357BA"/>
    <w:rsid w:val="002358BA"/>
    <w:rsid w:val="00236617"/>
    <w:rsid w:val="00236672"/>
    <w:rsid w:val="00236B96"/>
    <w:rsid w:val="002376A4"/>
    <w:rsid w:val="00237802"/>
    <w:rsid w:val="00237A70"/>
    <w:rsid w:val="00240022"/>
    <w:rsid w:val="00240082"/>
    <w:rsid w:val="002410D9"/>
    <w:rsid w:val="002415FA"/>
    <w:rsid w:val="00241870"/>
    <w:rsid w:val="00241E4E"/>
    <w:rsid w:val="002428CA"/>
    <w:rsid w:val="00242B7A"/>
    <w:rsid w:val="00243057"/>
    <w:rsid w:val="0024369E"/>
    <w:rsid w:val="00243C68"/>
    <w:rsid w:val="00243E9D"/>
    <w:rsid w:val="0024412F"/>
    <w:rsid w:val="00244F0D"/>
    <w:rsid w:val="0024536F"/>
    <w:rsid w:val="00245F67"/>
    <w:rsid w:val="00247223"/>
    <w:rsid w:val="002474FB"/>
    <w:rsid w:val="002475D8"/>
    <w:rsid w:val="00247B16"/>
    <w:rsid w:val="002504FA"/>
    <w:rsid w:val="0025070A"/>
    <w:rsid w:val="00250B8E"/>
    <w:rsid w:val="00250D3D"/>
    <w:rsid w:val="00250D95"/>
    <w:rsid w:val="00251EAE"/>
    <w:rsid w:val="00252EF2"/>
    <w:rsid w:val="00253631"/>
    <w:rsid w:val="00253714"/>
    <w:rsid w:val="00253882"/>
    <w:rsid w:val="00254060"/>
    <w:rsid w:val="002544F8"/>
    <w:rsid w:val="00254742"/>
    <w:rsid w:val="002548E9"/>
    <w:rsid w:val="0025496E"/>
    <w:rsid w:val="00254995"/>
    <w:rsid w:val="00254D0E"/>
    <w:rsid w:val="00254EC4"/>
    <w:rsid w:val="00255182"/>
    <w:rsid w:val="00255605"/>
    <w:rsid w:val="0025575A"/>
    <w:rsid w:val="00255943"/>
    <w:rsid w:val="0025598B"/>
    <w:rsid w:val="00256597"/>
    <w:rsid w:val="00256D3A"/>
    <w:rsid w:val="00257D96"/>
    <w:rsid w:val="00260317"/>
    <w:rsid w:val="00261F8F"/>
    <w:rsid w:val="00263D21"/>
    <w:rsid w:val="00263E4E"/>
    <w:rsid w:val="00264273"/>
    <w:rsid w:val="00264670"/>
    <w:rsid w:val="00264852"/>
    <w:rsid w:val="00264B8D"/>
    <w:rsid w:val="00265BEC"/>
    <w:rsid w:val="0026759C"/>
    <w:rsid w:val="002701C3"/>
    <w:rsid w:val="00270E5E"/>
    <w:rsid w:val="002725A8"/>
    <w:rsid w:val="00272B05"/>
    <w:rsid w:val="0027317F"/>
    <w:rsid w:val="0027357F"/>
    <w:rsid w:val="0027382F"/>
    <w:rsid w:val="00273A9A"/>
    <w:rsid w:val="00274300"/>
    <w:rsid w:val="00274564"/>
    <w:rsid w:val="00274D60"/>
    <w:rsid w:val="002754A0"/>
    <w:rsid w:val="00275658"/>
    <w:rsid w:val="00276EDD"/>
    <w:rsid w:val="00277074"/>
    <w:rsid w:val="002774D5"/>
    <w:rsid w:val="00277834"/>
    <w:rsid w:val="0028105C"/>
    <w:rsid w:val="002817A3"/>
    <w:rsid w:val="00281A2D"/>
    <w:rsid w:val="00281BAD"/>
    <w:rsid w:val="00281C0B"/>
    <w:rsid w:val="00282BFC"/>
    <w:rsid w:val="00282E2F"/>
    <w:rsid w:val="00283234"/>
    <w:rsid w:val="0028368C"/>
    <w:rsid w:val="00283B8E"/>
    <w:rsid w:val="00284241"/>
    <w:rsid w:val="002842FA"/>
    <w:rsid w:val="00284620"/>
    <w:rsid w:val="002855B3"/>
    <w:rsid w:val="002875EC"/>
    <w:rsid w:val="00287C2E"/>
    <w:rsid w:val="00290E2D"/>
    <w:rsid w:val="00291653"/>
    <w:rsid w:val="00291807"/>
    <w:rsid w:val="0029218C"/>
    <w:rsid w:val="00292860"/>
    <w:rsid w:val="00292EB3"/>
    <w:rsid w:val="00292F27"/>
    <w:rsid w:val="002933CD"/>
    <w:rsid w:val="00293E31"/>
    <w:rsid w:val="00294C4A"/>
    <w:rsid w:val="00295028"/>
    <w:rsid w:val="0029502B"/>
    <w:rsid w:val="00295C91"/>
    <w:rsid w:val="0029684A"/>
    <w:rsid w:val="002974DD"/>
    <w:rsid w:val="0029754D"/>
    <w:rsid w:val="00297745"/>
    <w:rsid w:val="00297BFB"/>
    <w:rsid w:val="00297E7F"/>
    <w:rsid w:val="002A02E7"/>
    <w:rsid w:val="002A0E78"/>
    <w:rsid w:val="002A105B"/>
    <w:rsid w:val="002A168F"/>
    <w:rsid w:val="002A1B39"/>
    <w:rsid w:val="002A1DF3"/>
    <w:rsid w:val="002A21FA"/>
    <w:rsid w:val="002A29B2"/>
    <w:rsid w:val="002A2D96"/>
    <w:rsid w:val="002A3233"/>
    <w:rsid w:val="002A3F09"/>
    <w:rsid w:val="002A4997"/>
    <w:rsid w:val="002A52D4"/>
    <w:rsid w:val="002A5598"/>
    <w:rsid w:val="002A57E0"/>
    <w:rsid w:val="002A5886"/>
    <w:rsid w:val="002A59B3"/>
    <w:rsid w:val="002A5B05"/>
    <w:rsid w:val="002A63B9"/>
    <w:rsid w:val="002A67B6"/>
    <w:rsid w:val="002A7354"/>
    <w:rsid w:val="002A7437"/>
    <w:rsid w:val="002A7BDA"/>
    <w:rsid w:val="002A7EEB"/>
    <w:rsid w:val="002A7EF4"/>
    <w:rsid w:val="002A7FE1"/>
    <w:rsid w:val="002B0928"/>
    <w:rsid w:val="002B09C5"/>
    <w:rsid w:val="002B0E77"/>
    <w:rsid w:val="002B462C"/>
    <w:rsid w:val="002B51E9"/>
    <w:rsid w:val="002B5ADF"/>
    <w:rsid w:val="002B5E04"/>
    <w:rsid w:val="002B5E87"/>
    <w:rsid w:val="002B610A"/>
    <w:rsid w:val="002B6788"/>
    <w:rsid w:val="002B67D2"/>
    <w:rsid w:val="002B6CB3"/>
    <w:rsid w:val="002C027D"/>
    <w:rsid w:val="002C0D08"/>
    <w:rsid w:val="002C1035"/>
    <w:rsid w:val="002C10AA"/>
    <w:rsid w:val="002C114B"/>
    <w:rsid w:val="002C1DE4"/>
    <w:rsid w:val="002C2E69"/>
    <w:rsid w:val="002C39DC"/>
    <w:rsid w:val="002C3B08"/>
    <w:rsid w:val="002C56D4"/>
    <w:rsid w:val="002C5982"/>
    <w:rsid w:val="002C5C3D"/>
    <w:rsid w:val="002C64B3"/>
    <w:rsid w:val="002C7119"/>
    <w:rsid w:val="002C7330"/>
    <w:rsid w:val="002C74FE"/>
    <w:rsid w:val="002C7661"/>
    <w:rsid w:val="002D0436"/>
    <w:rsid w:val="002D0D0C"/>
    <w:rsid w:val="002D0E18"/>
    <w:rsid w:val="002D1655"/>
    <w:rsid w:val="002D18ED"/>
    <w:rsid w:val="002D34C5"/>
    <w:rsid w:val="002D3583"/>
    <w:rsid w:val="002D3611"/>
    <w:rsid w:val="002D3B40"/>
    <w:rsid w:val="002D42A2"/>
    <w:rsid w:val="002D42D4"/>
    <w:rsid w:val="002D5517"/>
    <w:rsid w:val="002D5975"/>
    <w:rsid w:val="002D6533"/>
    <w:rsid w:val="002D6600"/>
    <w:rsid w:val="002D66BF"/>
    <w:rsid w:val="002D6AB2"/>
    <w:rsid w:val="002D7A4F"/>
    <w:rsid w:val="002E004A"/>
    <w:rsid w:val="002E0314"/>
    <w:rsid w:val="002E07AF"/>
    <w:rsid w:val="002E0B0D"/>
    <w:rsid w:val="002E1431"/>
    <w:rsid w:val="002E246D"/>
    <w:rsid w:val="002E3020"/>
    <w:rsid w:val="002E382C"/>
    <w:rsid w:val="002E3ADE"/>
    <w:rsid w:val="002E3DE2"/>
    <w:rsid w:val="002E3F58"/>
    <w:rsid w:val="002E4271"/>
    <w:rsid w:val="002E43F6"/>
    <w:rsid w:val="002E4FC6"/>
    <w:rsid w:val="002E5736"/>
    <w:rsid w:val="002E625A"/>
    <w:rsid w:val="002E697B"/>
    <w:rsid w:val="002E7094"/>
    <w:rsid w:val="002E7122"/>
    <w:rsid w:val="002E7AEF"/>
    <w:rsid w:val="002E7CC3"/>
    <w:rsid w:val="002F0678"/>
    <w:rsid w:val="002F069B"/>
    <w:rsid w:val="002F1039"/>
    <w:rsid w:val="002F168A"/>
    <w:rsid w:val="002F195E"/>
    <w:rsid w:val="002F1A3C"/>
    <w:rsid w:val="002F1D29"/>
    <w:rsid w:val="002F2179"/>
    <w:rsid w:val="002F2B97"/>
    <w:rsid w:val="002F4074"/>
    <w:rsid w:val="002F481E"/>
    <w:rsid w:val="002F48E8"/>
    <w:rsid w:val="002F5543"/>
    <w:rsid w:val="002F59CA"/>
    <w:rsid w:val="002F636E"/>
    <w:rsid w:val="002F6714"/>
    <w:rsid w:val="002F7A68"/>
    <w:rsid w:val="002F7E1D"/>
    <w:rsid w:val="0030081D"/>
    <w:rsid w:val="0030106D"/>
    <w:rsid w:val="003014D2"/>
    <w:rsid w:val="00302439"/>
    <w:rsid w:val="0030274C"/>
    <w:rsid w:val="00302DCF"/>
    <w:rsid w:val="00303039"/>
    <w:rsid w:val="00303932"/>
    <w:rsid w:val="00303A94"/>
    <w:rsid w:val="00303BE0"/>
    <w:rsid w:val="00304B81"/>
    <w:rsid w:val="003053E8"/>
    <w:rsid w:val="003056DA"/>
    <w:rsid w:val="0030593E"/>
    <w:rsid w:val="00305CCD"/>
    <w:rsid w:val="003060E7"/>
    <w:rsid w:val="0030626F"/>
    <w:rsid w:val="00306464"/>
    <w:rsid w:val="00306C4D"/>
    <w:rsid w:val="00310ECA"/>
    <w:rsid w:val="00310F90"/>
    <w:rsid w:val="003114D4"/>
    <w:rsid w:val="0031288F"/>
    <w:rsid w:val="00312D69"/>
    <w:rsid w:val="00312FCF"/>
    <w:rsid w:val="0031350D"/>
    <w:rsid w:val="0031384E"/>
    <w:rsid w:val="00313A37"/>
    <w:rsid w:val="00313BF3"/>
    <w:rsid w:val="00313DCD"/>
    <w:rsid w:val="0031485D"/>
    <w:rsid w:val="00314C5C"/>
    <w:rsid w:val="00315094"/>
    <w:rsid w:val="003153A9"/>
    <w:rsid w:val="00315444"/>
    <w:rsid w:val="003155EC"/>
    <w:rsid w:val="003159FA"/>
    <w:rsid w:val="00315AC4"/>
    <w:rsid w:val="003174E2"/>
    <w:rsid w:val="00317D5F"/>
    <w:rsid w:val="00320408"/>
    <w:rsid w:val="0032093A"/>
    <w:rsid w:val="00321302"/>
    <w:rsid w:val="003215A8"/>
    <w:rsid w:val="00321FE3"/>
    <w:rsid w:val="00322234"/>
    <w:rsid w:val="00322509"/>
    <w:rsid w:val="00322C4F"/>
    <w:rsid w:val="00323E27"/>
    <w:rsid w:val="0032460E"/>
    <w:rsid w:val="003248FF"/>
    <w:rsid w:val="00325559"/>
    <w:rsid w:val="00325740"/>
    <w:rsid w:val="00325AAE"/>
    <w:rsid w:val="00326480"/>
    <w:rsid w:val="00326686"/>
    <w:rsid w:val="00327043"/>
    <w:rsid w:val="003274B8"/>
    <w:rsid w:val="00327A71"/>
    <w:rsid w:val="00330572"/>
    <w:rsid w:val="003306A8"/>
    <w:rsid w:val="0033230F"/>
    <w:rsid w:val="00332669"/>
    <w:rsid w:val="00332730"/>
    <w:rsid w:val="00332E9B"/>
    <w:rsid w:val="00334102"/>
    <w:rsid w:val="00334C13"/>
    <w:rsid w:val="00334CD7"/>
    <w:rsid w:val="003359D0"/>
    <w:rsid w:val="003363F7"/>
    <w:rsid w:val="0033676B"/>
    <w:rsid w:val="00340B04"/>
    <w:rsid w:val="00340CA6"/>
    <w:rsid w:val="00341162"/>
    <w:rsid w:val="0034216C"/>
    <w:rsid w:val="00342609"/>
    <w:rsid w:val="00342C28"/>
    <w:rsid w:val="003439CE"/>
    <w:rsid w:val="00343F23"/>
    <w:rsid w:val="00343FB4"/>
    <w:rsid w:val="003450E7"/>
    <w:rsid w:val="00345111"/>
    <w:rsid w:val="003457B3"/>
    <w:rsid w:val="003463F9"/>
    <w:rsid w:val="00346958"/>
    <w:rsid w:val="0034699F"/>
    <w:rsid w:val="00347061"/>
    <w:rsid w:val="00347524"/>
    <w:rsid w:val="00347A18"/>
    <w:rsid w:val="00347FB5"/>
    <w:rsid w:val="003507E9"/>
    <w:rsid w:val="00350CF4"/>
    <w:rsid w:val="00351793"/>
    <w:rsid w:val="0035185B"/>
    <w:rsid w:val="00351F06"/>
    <w:rsid w:val="00351F2B"/>
    <w:rsid w:val="0035280A"/>
    <w:rsid w:val="003528B8"/>
    <w:rsid w:val="00352C48"/>
    <w:rsid w:val="00353A2D"/>
    <w:rsid w:val="00353AF8"/>
    <w:rsid w:val="00353C96"/>
    <w:rsid w:val="00353CD5"/>
    <w:rsid w:val="00353E40"/>
    <w:rsid w:val="00353F1E"/>
    <w:rsid w:val="00353FAB"/>
    <w:rsid w:val="003555A9"/>
    <w:rsid w:val="00355A89"/>
    <w:rsid w:val="00356422"/>
    <w:rsid w:val="00356BBC"/>
    <w:rsid w:val="00356CA7"/>
    <w:rsid w:val="00356FF8"/>
    <w:rsid w:val="00357FEA"/>
    <w:rsid w:val="003607B4"/>
    <w:rsid w:val="003607B6"/>
    <w:rsid w:val="00360CFF"/>
    <w:rsid w:val="00361279"/>
    <w:rsid w:val="003613E5"/>
    <w:rsid w:val="0036156A"/>
    <w:rsid w:val="00361F87"/>
    <w:rsid w:val="0036216A"/>
    <w:rsid w:val="003621E9"/>
    <w:rsid w:val="00362549"/>
    <w:rsid w:val="00363DFF"/>
    <w:rsid w:val="0036410C"/>
    <w:rsid w:val="003643CA"/>
    <w:rsid w:val="003645C9"/>
    <w:rsid w:val="0036476C"/>
    <w:rsid w:val="00364C04"/>
    <w:rsid w:val="00364E86"/>
    <w:rsid w:val="003659A4"/>
    <w:rsid w:val="00366D9A"/>
    <w:rsid w:val="00367421"/>
    <w:rsid w:val="00367759"/>
    <w:rsid w:val="00367D71"/>
    <w:rsid w:val="003704C3"/>
    <w:rsid w:val="003706F7"/>
    <w:rsid w:val="00370C9C"/>
    <w:rsid w:val="00371DA5"/>
    <w:rsid w:val="00372569"/>
    <w:rsid w:val="00373151"/>
    <w:rsid w:val="003739C4"/>
    <w:rsid w:val="00374364"/>
    <w:rsid w:val="003744D9"/>
    <w:rsid w:val="0037483C"/>
    <w:rsid w:val="00375224"/>
    <w:rsid w:val="00375DBB"/>
    <w:rsid w:val="00375FA1"/>
    <w:rsid w:val="0037610B"/>
    <w:rsid w:val="00376157"/>
    <w:rsid w:val="00376D06"/>
    <w:rsid w:val="003770FF"/>
    <w:rsid w:val="00377287"/>
    <w:rsid w:val="00377694"/>
    <w:rsid w:val="003779F9"/>
    <w:rsid w:val="00380050"/>
    <w:rsid w:val="003801AD"/>
    <w:rsid w:val="0038032D"/>
    <w:rsid w:val="00380332"/>
    <w:rsid w:val="00381B5D"/>
    <w:rsid w:val="00381F40"/>
    <w:rsid w:val="00382552"/>
    <w:rsid w:val="003826FC"/>
    <w:rsid w:val="0038295D"/>
    <w:rsid w:val="00382BA2"/>
    <w:rsid w:val="00382BF4"/>
    <w:rsid w:val="0038330A"/>
    <w:rsid w:val="0038346C"/>
    <w:rsid w:val="003846AD"/>
    <w:rsid w:val="00384F8B"/>
    <w:rsid w:val="0038576B"/>
    <w:rsid w:val="00385932"/>
    <w:rsid w:val="00385AED"/>
    <w:rsid w:val="00385D84"/>
    <w:rsid w:val="00385E82"/>
    <w:rsid w:val="003863CF"/>
    <w:rsid w:val="00386DCA"/>
    <w:rsid w:val="0038790F"/>
    <w:rsid w:val="0038798A"/>
    <w:rsid w:val="003900EB"/>
    <w:rsid w:val="00390A25"/>
    <w:rsid w:val="00390D83"/>
    <w:rsid w:val="0039145B"/>
    <w:rsid w:val="003919BA"/>
    <w:rsid w:val="00393453"/>
    <w:rsid w:val="00393473"/>
    <w:rsid w:val="00393B68"/>
    <w:rsid w:val="0039586C"/>
    <w:rsid w:val="003962E8"/>
    <w:rsid w:val="003967CD"/>
    <w:rsid w:val="003974BA"/>
    <w:rsid w:val="00397B99"/>
    <w:rsid w:val="00397F8F"/>
    <w:rsid w:val="003A03C3"/>
    <w:rsid w:val="003A0D8B"/>
    <w:rsid w:val="003A14F9"/>
    <w:rsid w:val="003A2782"/>
    <w:rsid w:val="003A291B"/>
    <w:rsid w:val="003A30CF"/>
    <w:rsid w:val="003A4219"/>
    <w:rsid w:val="003A45A8"/>
    <w:rsid w:val="003A481C"/>
    <w:rsid w:val="003A508B"/>
    <w:rsid w:val="003A5439"/>
    <w:rsid w:val="003A5823"/>
    <w:rsid w:val="003A5F7C"/>
    <w:rsid w:val="003A613F"/>
    <w:rsid w:val="003A6601"/>
    <w:rsid w:val="003A6703"/>
    <w:rsid w:val="003A7392"/>
    <w:rsid w:val="003B0264"/>
    <w:rsid w:val="003B0A17"/>
    <w:rsid w:val="003B0E82"/>
    <w:rsid w:val="003B12B9"/>
    <w:rsid w:val="003B169A"/>
    <w:rsid w:val="003B1AC8"/>
    <w:rsid w:val="003B1BEC"/>
    <w:rsid w:val="003B1DB4"/>
    <w:rsid w:val="003B1FA5"/>
    <w:rsid w:val="003B20F1"/>
    <w:rsid w:val="003B2594"/>
    <w:rsid w:val="003B29A1"/>
    <w:rsid w:val="003B2B42"/>
    <w:rsid w:val="003B2BB5"/>
    <w:rsid w:val="003B4AEC"/>
    <w:rsid w:val="003B4F54"/>
    <w:rsid w:val="003B5309"/>
    <w:rsid w:val="003B542F"/>
    <w:rsid w:val="003B5773"/>
    <w:rsid w:val="003B5D9B"/>
    <w:rsid w:val="003B5E6B"/>
    <w:rsid w:val="003B602F"/>
    <w:rsid w:val="003B62F4"/>
    <w:rsid w:val="003B674F"/>
    <w:rsid w:val="003B6E6E"/>
    <w:rsid w:val="003B7A81"/>
    <w:rsid w:val="003B7F91"/>
    <w:rsid w:val="003C1178"/>
    <w:rsid w:val="003C1D83"/>
    <w:rsid w:val="003C1E90"/>
    <w:rsid w:val="003C3388"/>
    <w:rsid w:val="003C35CA"/>
    <w:rsid w:val="003C3B6A"/>
    <w:rsid w:val="003C3D8B"/>
    <w:rsid w:val="003C40B5"/>
    <w:rsid w:val="003C4235"/>
    <w:rsid w:val="003C4B18"/>
    <w:rsid w:val="003C5120"/>
    <w:rsid w:val="003C56EC"/>
    <w:rsid w:val="003C5BEC"/>
    <w:rsid w:val="003C67D6"/>
    <w:rsid w:val="003C6A3E"/>
    <w:rsid w:val="003C703C"/>
    <w:rsid w:val="003C7339"/>
    <w:rsid w:val="003C739C"/>
    <w:rsid w:val="003C7AD4"/>
    <w:rsid w:val="003C7BDC"/>
    <w:rsid w:val="003D04A1"/>
    <w:rsid w:val="003D06A4"/>
    <w:rsid w:val="003D0B92"/>
    <w:rsid w:val="003D0FB1"/>
    <w:rsid w:val="003D26A1"/>
    <w:rsid w:val="003D2729"/>
    <w:rsid w:val="003D2F72"/>
    <w:rsid w:val="003D38C6"/>
    <w:rsid w:val="003D3B25"/>
    <w:rsid w:val="003D3C46"/>
    <w:rsid w:val="003D3D86"/>
    <w:rsid w:val="003D4210"/>
    <w:rsid w:val="003D436A"/>
    <w:rsid w:val="003D4F69"/>
    <w:rsid w:val="003D4FD7"/>
    <w:rsid w:val="003D5EEF"/>
    <w:rsid w:val="003D61CE"/>
    <w:rsid w:val="003D62C8"/>
    <w:rsid w:val="003D6A23"/>
    <w:rsid w:val="003D6C63"/>
    <w:rsid w:val="003D6D34"/>
    <w:rsid w:val="003D7327"/>
    <w:rsid w:val="003D763E"/>
    <w:rsid w:val="003D7F64"/>
    <w:rsid w:val="003E0364"/>
    <w:rsid w:val="003E0744"/>
    <w:rsid w:val="003E0766"/>
    <w:rsid w:val="003E33BB"/>
    <w:rsid w:val="003E3578"/>
    <w:rsid w:val="003E3884"/>
    <w:rsid w:val="003E3A6F"/>
    <w:rsid w:val="003E48F0"/>
    <w:rsid w:val="003E5669"/>
    <w:rsid w:val="003E599D"/>
    <w:rsid w:val="003E5C2E"/>
    <w:rsid w:val="003E63FD"/>
    <w:rsid w:val="003E683C"/>
    <w:rsid w:val="003E79D2"/>
    <w:rsid w:val="003F0038"/>
    <w:rsid w:val="003F0BB6"/>
    <w:rsid w:val="003F134E"/>
    <w:rsid w:val="003F14BE"/>
    <w:rsid w:val="003F259D"/>
    <w:rsid w:val="003F413E"/>
    <w:rsid w:val="003F4672"/>
    <w:rsid w:val="003F4A4C"/>
    <w:rsid w:val="003F545E"/>
    <w:rsid w:val="003F5F67"/>
    <w:rsid w:val="003F6908"/>
    <w:rsid w:val="003F7019"/>
    <w:rsid w:val="003F73FF"/>
    <w:rsid w:val="003F74D2"/>
    <w:rsid w:val="003F7517"/>
    <w:rsid w:val="003F7BCD"/>
    <w:rsid w:val="00400BFA"/>
    <w:rsid w:val="00401FCE"/>
    <w:rsid w:val="004029D1"/>
    <w:rsid w:val="00402C00"/>
    <w:rsid w:val="00403042"/>
    <w:rsid w:val="00404699"/>
    <w:rsid w:val="00405756"/>
    <w:rsid w:val="00406595"/>
    <w:rsid w:val="00406A7B"/>
    <w:rsid w:val="00406E31"/>
    <w:rsid w:val="00410A89"/>
    <w:rsid w:val="00410E99"/>
    <w:rsid w:val="00411211"/>
    <w:rsid w:val="00411931"/>
    <w:rsid w:val="00411B60"/>
    <w:rsid w:val="00412004"/>
    <w:rsid w:val="0041243D"/>
    <w:rsid w:val="004127F1"/>
    <w:rsid w:val="00412A69"/>
    <w:rsid w:val="00412C21"/>
    <w:rsid w:val="00413DD9"/>
    <w:rsid w:val="004147C4"/>
    <w:rsid w:val="00414B4B"/>
    <w:rsid w:val="004158CA"/>
    <w:rsid w:val="004159DB"/>
    <w:rsid w:val="00415E94"/>
    <w:rsid w:val="004164BC"/>
    <w:rsid w:val="00416817"/>
    <w:rsid w:val="00416BFD"/>
    <w:rsid w:val="0041786B"/>
    <w:rsid w:val="00417975"/>
    <w:rsid w:val="004179CB"/>
    <w:rsid w:val="00417FAB"/>
    <w:rsid w:val="0042024B"/>
    <w:rsid w:val="00420450"/>
    <w:rsid w:val="0042296B"/>
    <w:rsid w:val="0042371A"/>
    <w:rsid w:val="00424E8E"/>
    <w:rsid w:val="004254D9"/>
    <w:rsid w:val="00425D7D"/>
    <w:rsid w:val="004260B1"/>
    <w:rsid w:val="00426447"/>
    <w:rsid w:val="00427016"/>
    <w:rsid w:val="0042727B"/>
    <w:rsid w:val="00427958"/>
    <w:rsid w:val="00430370"/>
    <w:rsid w:val="00430377"/>
    <w:rsid w:val="004305FE"/>
    <w:rsid w:val="0043087F"/>
    <w:rsid w:val="00431520"/>
    <w:rsid w:val="0043152E"/>
    <w:rsid w:val="00431AA1"/>
    <w:rsid w:val="00431B41"/>
    <w:rsid w:val="00432481"/>
    <w:rsid w:val="0043349B"/>
    <w:rsid w:val="00433717"/>
    <w:rsid w:val="0043371E"/>
    <w:rsid w:val="00433B3F"/>
    <w:rsid w:val="00433C69"/>
    <w:rsid w:val="00433CAD"/>
    <w:rsid w:val="00433DD3"/>
    <w:rsid w:val="004348A9"/>
    <w:rsid w:val="0043501A"/>
    <w:rsid w:val="004354B1"/>
    <w:rsid w:val="00435669"/>
    <w:rsid w:val="00435BD3"/>
    <w:rsid w:val="004364CA"/>
    <w:rsid w:val="0043681D"/>
    <w:rsid w:val="00436CEB"/>
    <w:rsid w:val="004370D6"/>
    <w:rsid w:val="0043723E"/>
    <w:rsid w:val="00437B17"/>
    <w:rsid w:val="00437C74"/>
    <w:rsid w:val="00440003"/>
    <w:rsid w:val="00440030"/>
    <w:rsid w:val="00440404"/>
    <w:rsid w:val="00440AB2"/>
    <w:rsid w:val="00440B26"/>
    <w:rsid w:val="00440DF9"/>
    <w:rsid w:val="0044151A"/>
    <w:rsid w:val="004419CE"/>
    <w:rsid w:val="00442320"/>
    <w:rsid w:val="00442450"/>
    <w:rsid w:val="004437DC"/>
    <w:rsid w:val="00444185"/>
    <w:rsid w:val="00445462"/>
    <w:rsid w:val="00445A87"/>
    <w:rsid w:val="00445E22"/>
    <w:rsid w:val="0044610D"/>
    <w:rsid w:val="00447385"/>
    <w:rsid w:val="004503BB"/>
    <w:rsid w:val="00450430"/>
    <w:rsid w:val="00450AE3"/>
    <w:rsid w:val="0045104A"/>
    <w:rsid w:val="00451523"/>
    <w:rsid w:val="004517FF"/>
    <w:rsid w:val="00451EBB"/>
    <w:rsid w:val="00452454"/>
    <w:rsid w:val="00452534"/>
    <w:rsid w:val="00452F95"/>
    <w:rsid w:val="0045348C"/>
    <w:rsid w:val="0045374D"/>
    <w:rsid w:val="00453EE2"/>
    <w:rsid w:val="00453FCC"/>
    <w:rsid w:val="00454565"/>
    <w:rsid w:val="00454984"/>
    <w:rsid w:val="004549DE"/>
    <w:rsid w:val="004557E9"/>
    <w:rsid w:val="0045653E"/>
    <w:rsid w:val="00456A2C"/>
    <w:rsid w:val="00456A9C"/>
    <w:rsid w:val="00457392"/>
    <w:rsid w:val="004603EB"/>
    <w:rsid w:val="0046040A"/>
    <w:rsid w:val="00460506"/>
    <w:rsid w:val="00460D19"/>
    <w:rsid w:val="004612EC"/>
    <w:rsid w:val="004617AD"/>
    <w:rsid w:val="00461A39"/>
    <w:rsid w:val="004625A1"/>
    <w:rsid w:val="0046267B"/>
    <w:rsid w:val="0046316B"/>
    <w:rsid w:val="004631EF"/>
    <w:rsid w:val="0046332A"/>
    <w:rsid w:val="0046356C"/>
    <w:rsid w:val="00463C1E"/>
    <w:rsid w:val="00464813"/>
    <w:rsid w:val="00464E28"/>
    <w:rsid w:val="00465812"/>
    <w:rsid w:val="00466958"/>
    <w:rsid w:val="004669BB"/>
    <w:rsid w:val="004671D7"/>
    <w:rsid w:val="00467573"/>
    <w:rsid w:val="00467A83"/>
    <w:rsid w:val="00467C97"/>
    <w:rsid w:val="00470F75"/>
    <w:rsid w:val="00470FBE"/>
    <w:rsid w:val="004711CB"/>
    <w:rsid w:val="00471663"/>
    <w:rsid w:val="004719AD"/>
    <w:rsid w:val="00471D1D"/>
    <w:rsid w:val="00472287"/>
    <w:rsid w:val="00472B8E"/>
    <w:rsid w:val="004730CC"/>
    <w:rsid w:val="00473138"/>
    <w:rsid w:val="00473142"/>
    <w:rsid w:val="00473631"/>
    <w:rsid w:val="00473A08"/>
    <w:rsid w:val="00473BA6"/>
    <w:rsid w:val="0047439B"/>
    <w:rsid w:val="004746F9"/>
    <w:rsid w:val="00474942"/>
    <w:rsid w:val="00474B5A"/>
    <w:rsid w:val="00474D42"/>
    <w:rsid w:val="004750F6"/>
    <w:rsid w:val="00475883"/>
    <w:rsid w:val="00475E8D"/>
    <w:rsid w:val="00476FE7"/>
    <w:rsid w:val="00477663"/>
    <w:rsid w:val="00477E3B"/>
    <w:rsid w:val="00477E87"/>
    <w:rsid w:val="00480721"/>
    <w:rsid w:val="00480861"/>
    <w:rsid w:val="00481206"/>
    <w:rsid w:val="00481497"/>
    <w:rsid w:val="00481BAC"/>
    <w:rsid w:val="00481C6A"/>
    <w:rsid w:val="0048289B"/>
    <w:rsid w:val="00482BFD"/>
    <w:rsid w:val="00482CE2"/>
    <w:rsid w:val="0048300E"/>
    <w:rsid w:val="004834EF"/>
    <w:rsid w:val="00483F08"/>
    <w:rsid w:val="004846B9"/>
    <w:rsid w:val="00484840"/>
    <w:rsid w:val="00484DDD"/>
    <w:rsid w:val="004867FF"/>
    <w:rsid w:val="004905F1"/>
    <w:rsid w:val="00491821"/>
    <w:rsid w:val="00491953"/>
    <w:rsid w:val="00491B37"/>
    <w:rsid w:val="00491DB3"/>
    <w:rsid w:val="004927C2"/>
    <w:rsid w:val="004931F2"/>
    <w:rsid w:val="004935E1"/>
    <w:rsid w:val="00494F9D"/>
    <w:rsid w:val="00495164"/>
    <w:rsid w:val="00495614"/>
    <w:rsid w:val="004958B2"/>
    <w:rsid w:val="00495E9E"/>
    <w:rsid w:val="004962F3"/>
    <w:rsid w:val="00496C45"/>
    <w:rsid w:val="00497375"/>
    <w:rsid w:val="00497482"/>
    <w:rsid w:val="004A0234"/>
    <w:rsid w:val="004A1675"/>
    <w:rsid w:val="004A212E"/>
    <w:rsid w:val="004A25BD"/>
    <w:rsid w:val="004A2A5B"/>
    <w:rsid w:val="004A2A9C"/>
    <w:rsid w:val="004A2D8A"/>
    <w:rsid w:val="004A42F4"/>
    <w:rsid w:val="004A4D79"/>
    <w:rsid w:val="004A6394"/>
    <w:rsid w:val="004A6691"/>
    <w:rsid w:val="004A6707"/>
    <w:rsid w:val="004A6A90"/>
    <w:rsid w:val="004A6BF9"/>
    <w:rsid w:val="004A6C3E"/>
    <w:rsid w:val="004A7001"/>
    <w:rsid w:val="004A7C99"/>
    <w:rsid w:val="004A7D61"/>
    <w:rsid w:val="004B01E9"/>
    <w:rsid w:val="004B1513"/>
    <w:rsid w:val="004B18C5"/>
    <w:rsid w:val="004B22D6"/>
    <w:rsid w:val="004B25C6"/>
    <w:rsid w:val="004B2FE2"/>
    <w:rsid w:val="004B30DA"/>
    <w:rsid w:val="004B3357"/>
    <w:rsid w:val="004B342E"/>
    <w:rsid w:val="004B38C2"/>
    <w:rsid w:val="004B38E2"/>
    <w:rsid w:val="004B4A2A"/>
    <w:rsid w:val="004B61B0"/>
    <w:rsid w:val="004B61F9"/>
    <w:rsid w:val="004B6969"/>
    <w:rsid w:val="004B6A3A"/>
    <w:rsid w:val="004B6DCD"/>
    <w:rsid w:val="004B6E6F"/>
    <w:rsid w:val="004B743C"/>
    <w:rsid w:val="004B7669"/>
    <w:rsid w:val="004B79A5"/>
    <w:rsid w:val="004C2668"/>
    <w:rsid w:val="004C2CC0"/>
    <w:rsid w:val="004C37F9"/>
    <w:rsid w:val="004C390D"/>
    <w:rsid w:val="004C3DF4"/>
    <w:rsid w:val="004C4C28"/>
    <w:rsid w:val="004C5651"/>
    <w:rsid w:val="004C579B"/>
    <w:rsid w:val="004C589F"/>
    <w:rsid w:val="004C683D"/>
    <w:rsid w:val="004C6E46"/>
    <w:rsid w:val="004D0191"/>
    <w:rsid w:val="004D0BED"/>
    <w:rsid w:val="004D11C7"/>
    <w:rsid w:val="004D1399"/>
    <w:rsid w:val="004D1951"/>
    <w:rsid w:val="004D1F07"/>
    <w:rsid w:val="004D1F24"/>
    <w:rsid w:val="004D1F78"/>
    <w:rsid w:val="004D21A5"/>
    <w:rsid w:val="004D28BA"/>
    <w:rsid w:val="004D2B83"/>
    <w:rsid w:val="004D2C2A"/>
    <w:rsid w:val="004D2C4F"/>
    <w:rsid w:val="004D2FBA"/>
    <w:rsid w:val="004D3647"/>
    <w:rsid w:val="004D3D31"/>
    <w:rsid w:val="004D3E3E"/>
    <w:rsid w:val="004D4B49"/>
    <w:rsid w:val="004D4F72"/>
    <w:rsid w:val="004D5173"/>
    <w:rsid w:val="004D56CA"/>
    <w:rsid w:val="004D56F5"/>
    <w:rsid w:val="004D5845"/>
    <w:rsid w:val="004D5B8E"/>
    <w:rsid w:val="004D69EE"/>
    <w:rsid w:val="004D6C32"/>
    <w:rsid w:val="004D6F32"/>
    <w:rsid w:val="004D71D3"/>
    <w:rsid w:val="004D71ED"/>
    <w:rsid w:val="004D7A78"/>
    <w:rsid w:val="004D7E25"/>
    <w:rsid w:val="004E0891"/>
    <w:rsid w:val="004E0F17"/>
    <w:rsid w:val="004E1094"/>
    <w:rsid w:val="004E1AC0"/>
    <w:rsid w:val="004E208D"/>
    <w:rsid w:val="004E2F17"/>
    <w:rsid w:val="004E39E5"/>
    <w:rsid w:val="004E4AA4"/>
    <w:rsid w:val="004E5116"/>
    <w:rsid w:val="004E5292"/>
    <w:rsid w:val="004E5C7A"/>
    <w:rsid w:val="004E5E34"/>
    <w:rsid w:val="004E5F24"/>
    <w:rsid w:val="004E61E5"/>
    <w:rsid w:val="004E6864"/>
    <w:rsid w:val="004E6D9F"/>
    <w:rsid w:val="004E70BB"/>
    <w:rsid w:val="004E7833"/>
    <w:rsid w:val="004E7994"/>
    <w:rsid w:val="004E79DE"/>
    <w:rsid w:val="004E7B13"/>
    <w:rsid w:val="004E7CAB"/>
    <w:rsid w:val="004E7F9C"/>
    <w:rsid w:val="004F0417"/>
    <w:rsid w:val="004F0982"/>
    <w:rsid w:val="004F252B"/>
    <w:rsid w:val="004F2E47"/>
    <w:rsid w:val="004F30FD"/>
    <w:rsid w:val="004F3574"/>
    <w:rsid w:val="004F383A"/>
    <w:rsid w:val="004F3E68"/>
    <w:rsid w:val="004F4770"/>
    <w:rsid w:val="004F5298"/>
    <w:rsid w:val="004F58A1"/>
    <w:rsid w:val="004F716F"/>
    <w:rsid w:val="004F7C75"/>
    <w:rsid w:val="004F7FD4"/>
    <w:rsid w:val="0050044A"/>
    <w:rsid w:val="005004D0"/>
    <w:rsid w:val="00500DD0"/>
    <w:rsid w:val="00500DF2"/>
    <w:rsid w:val="005011AE"/>
    <w:rsid w:val="0050136A"/>
    <w:rsid w:val="00501CF4"/>
    <w:rsid w:val="00501D21"/>
    <w:rsid w:val="005023E5"/>
    <w:rsid w:val="00502A65"/>
    <w:rsid w:val="00503AE9"/>
    <w:rsid w:val="00503CE9"/>
    <w:rsid w:val="005044F5"/>
    <w:rsid w:val="00504631"/>
    <w:rsid w:val="005054A2"/>
    <w:rsid w:val="00505A6A"/>
    <w:rsid w:val="00505B87"/>
    <w:rsid w:val="00505C33"/>
    <w:rsid w:val="0050607D"/>
    <w:rsid w:val="00506816"/>
    <w:rsid w:val="00506828"/>
    <w:rsid w:val="005072DE"/>
    <w:rsid w:val="0051007E"/>
    <w:rsid w:val="005101F3"/>
    <w:rsid w:val="0051066B"/>
    <w:rsid w:val="00510B4F"/>
    <w:rsid w:val="005110F9"/>
    <w:rsid w:val="00511C23"/>
    <w:rsid w:val="00511F37"/>
    <w:rsid w:val="005134B7"/>
    <w:rsid w:val="00513A34"/>
    <w:rsid w:val="00513B40"/>
    <w:rsid w:val="00513C98"/>
    <w:rsid w:val="0051427D"/>
    <w:rsid w:val="00514EAF"/>
    <w:rsid w:val="0051519A"/>
    <w:rsid w:val="00515E19"/>
    <w:rsid w:val="005168C1"/>
    <w:rsid w:val="00516A0D"/>
    <w:rsid w:val="005177F0"/>
    <w:rsid w:val="00517B92"/>
    <w:rsid w:val="00520287"/>
    <w:rsid w:val="0052187C"/>
    <w:rsid w:val="00521C7B"/>
    <w:rsid w:val="00521DF3"/>
    <w:rsid w:val="005221DB"/>
    <w:rsid w:val="005225B9"/>
    <w:rsid w:val="00522854"/>
    <w:rsid w:val="00522E6F"/>
    <w:rsid w:val="005237E9"/>
    <w:rsid w:val="00523A2E"/>
    <w:rsid w:val="00523E93"/>
    <w:rsid w:val="0052450B"/>
    <w:rsid w:val="005245DB"/>
    <w:rsid w:val="00524788"/>
    <w:rsid w:val="00524BCF"/>
    <w:rsid w:val="005255BC"/>
    <w:rsid w:val="005262CE"/>
    <w:rsid w:val="00530407"/>
    <w:rsid w:val="00530750"/>
    <w:rsid w:val="00530E15"/>
    <w:rsid w:val="00530FCA"/>
    <w:rsid w:val="0053162F"/>
    <w:rsid w:val="005316DE"/>
    <w:rsid w:val="00531A3F"/>
    <w:rsid w:val="00532896"/>
    <w:rsid w:val="00532C61"/>
    <w:rsid w:val="00533DD3"/>
    <w:rsid w:val="00534679"/>
    <w:rsid w:val="0053576B"/>
    <w:rsid w:val="0053661B"/>
    <w:rsid w:val="00536A83"/>
    <w:rsid w:val="00540235"/>
    <w:rsid w:val="0054042E"/>
    <w:rsid w:val="0054058B"/>
    <w:rsid w:val="0054067D"/>
    <w:rsid w:val="00540FC2"/>
    <w:rsid w:val="005410C4"/>
    <w:rsid w:val="0054114E"/>
    <w:rsid w:val="005413DE"/>
    <w:rsid w:val="00541B9A"/>
    <w:rsid w:val="00542076"/>
    <w:rsid w:val="005424A5"/>
    <w:rsid w:val="00542A26"/>
    <w:rsid w:val="00543430"/>
    <w:rsid w:val="00544091"/>
    <w:rsid w:val="005444A3"/>
    <w:rsid w:val="00544EA7"/>
    <w:rsid w:val="0054551E"/>
    <w:rsid w:val="005458EC"/>
    <w:rsid w:val="005460B9"/>
    <w:rsid w:val="005479ED"/>
    <w:rsid w:val="00547EE2"/>
    <w:rsid w:val="00547F0E"/>
    <w:rsid w:val="00550102"/>
    <w:rsid w:val="00550343"/>
    <w:rsid w:val="00550BE7"/>
    <w:rsid w:val="00551267"/>
    <w:rsid w:val="00551706"/>
    <w:rsid w:val="005525E4"/>
    <w:rsid w:val="00552607"/>
    <w:rsid w:val="00552812"/>
    <w:rsid w:val="005530D1"/>
    <w:rsid w:val="00553202"/>
    <w:rsid w:val="00553BC8"/>
    <w:rsid w:val="00554254"/>
    <w:rsid w:val="00554356"/>
    <w:rsid w:val="00555311"/>
    <w:rsid w:val="00555474"/>
    <w:rsid w:val="005571AD"/>
    <w:rsid w:val="005571BC"/>
    <w:rsid w:val="00557502"/>
    <w:rsid w:val="00557AFD"/>
    <w:rsid w:val="00557E65"/>
    <w:rsid w:val="005605BA"/>
    <w:rsid w:val="005618B3"/>
    <w:rsid w:val="00562629"/>
    <w:rsid w:val="00562C11"/>
    <w:rsid w:val="00562F92"/>
    <w:rsid w:val="0056405A"/>
    <w:rsid w:val="0056475D"/>
    <w:rsid w:val="00565CF1"/>
    <w:rsid w:val="00567348"/>
    <w:rsid w:val="00567ACE"/>
    <w:rsid w:val="00567DA4"/>
    <w:rsid w:val="0057025E"/>
    <w:rsid w:val="00570791"/>
    <w:rsid w:val="00570E69"/>
    <w:rsid w:val="00570F7A"/>
    <w:rsid w:val="005710B6"/>
    <w:rsid w:val="0057122B"/>
    <w:rsid w:val="005713B6"/>
    <w:rsid w:val="00571B12"/>
    <w:rsid w:val="00571F16"/>
    <w:rsid w:val="00572497"/>
    <w:rsid w:val="0057250B"/>
    <w:rsid w:val="005725C4"/>
    <w:rsid w:val="005726AA"/>
    <w:rsid w:val="00573482"/>
    <w:rsid w:val="00573AA1"/>
    <w:rsid w:val="00573BC4"/>
    <w:rsid w:val="005743FE"/>
    <w:rsid w:val="00574683"/>
    <w:rsid w:val="005748DD"/>
    <w:rsid w:val="005749DB"/>
    <w:rsid w:val="00574A98"/>
    <w:rsid w:val="0057575C"/>
    <w:rsid w:val="005757C5"/>
    <w:rsid w:val="0057641E"/>
    <w:rsid w:val="00576FC9"/>
    <w:rsid w:val="0057785A"/>
    <w:rsid w:val="00577B1D"/>
    <w:rsid w:val="0058039C"/>
    <w:rsid w:val="005809F5"/>
    <w:rsid w:val="00580BDD"/>
    <w:rsid w:val="00580D54"/>
    <w:rsid w:val="00581743"/>
    <w:rsid w:val="00581747"/>
    <w:rsid w:val="0058191F"/>
    <w:rsid w:val="00581C9D"/>
    <w:rsid w:val="00583198"/>
    <w:rsid w:val="0058334C"/>
    <w:rsid w:val="00583DC6"/>
    <w:rsid w:val="00584AAA"/>
    <w:rsid w:val="0058506E"/>
    <w:rsid w:val="005855AB"/>
    <w:rsid w:val="0058561A"/>
    <w:rsid w:val="00585ACE"/>
    <w:rsid w:val="00586065"/>
    <w:rsid w:val="0058656E"/>
    <w:rsid w:val="00586952"/>
    <w:rsid w:val="00586D20"/>
    <w:rsid w:val="00586F45"/>
    <w:rsid w:val="00587CA5"/>
    <w:rsid w:val="0059014D"/>
    <w:rsid w:val="00590DC1"/>
    <w:rsid w:val="0059170F"/>
    <w:rsid w:val="005920C3"/>
    <w:rsid w:val="005920E3"/>
    <w:rsid w:val="00593C7F"/>
    <w:rsid w:val="00593DBC"/>
    <w:rsid w:val="005945E0"/>
    <w:rsid w:val="005950BE"/>
    <w:rsid w:val="00595458"/>
    <w:rsid w:val="00595624"/>
    <w:rsid w:val="0059589E"/>
    <w:rsid w:val="00595E56"/>
    <w:rsid w:val="00596AB2"/>
    <w:rsid w:val="00596E53"/>
    <w:rsid w:val="00597505"/>
    <w:rsid w:val="0059754E"/>
    <w:rsid w:val="005A0005"/>
    <w:rsid w:val="005A032A"/>
    <w:rsid w:val="005A0E1B"/>
    <w:rsid w:val="005A14FC"/>
    <w:rsid w:val="005A2176"/>
    <w:rsid w:val="005A3108"/>
    <w:rsid w:val="005A3327"/>
    <w:rsid w:val="005A441F"/>
    <w:rsid w:val="005A4BEC"/>
    <w:rsid w:val="005A5DB9"/>
    <w:rsid w:val="005A6670"/>
    <w:rsid w:val="005A69FC"/>
    <w:rsid w:val="005A6F74"/>
    <w:rsid w:val="005A74CD"/>
    <w:rsid w:val="005A7C5A"/>
    <w:rsid w:val="005B094B"/>
    <w:rsid w:val="005B0B55"/>
    <w:rsid w:val="005B1649"/>
    <w:rsid w:val="005B1DD4"/>
    <w:rsid w:val="005B2C9B"/>
    <w:rsid w:val="005B3036"/>
    <w:rsid w:val="005B3394"/>
    <w:rsid w:val="005B33E4"/>
    <w:rsid w:val="005B39E4"/>
    <w:rsid w:val="005B3F3C"/>
    <w:rsid w:val="005B4459"/>
    <w:rsid w:val="005B461C"/>
    <w:rsid w:val="005B511F"/>
    <w:rsid w:val="005B5881"/>
    <w:rsid w:val="005B6413"/>
    <w:rsid w:val="005B6B26"/>
    <w:rsid w:val="005B6C2C"/>
    <w:rsid w:val="005B6E60"/>
    <w:rsid w:val="005C0A79"/>
    <w:rsid w:val="005C11F1"/>
    <w:rsid w:val="005C1D6F"/>
    <w:rsid w:val="005C31EF"/>
    <w:rsid w:val="005C399E"/>
    <w:rsid w:val="005C50F2"/>
    <w:rsid w:val="005C57CC"/>
    <w:rsid w:val="005C5B72"/>
    <w:rsid w:val="005C7399"/>
    <w:rsid w:val="005C7749"/>
    <w:rsid w:val="005C79FF"/>
    <w:rsid w:val="005C7B00"/>
    <w:rsid w:val="005D12E6"/>
    <w:rsid w:val="005D2533"/>
    <w:rsid w:val="005D2D13"/>
    <w:rsid w:val="005D3AA3"/>
    <w:rsid w:val="005D43F7"/>
    <w:rsid w:val="005D451B"/>
    <w:rsid w:val="005D5046"/>
    <w:rsid w:val="005D5AB1"/>
    <w:rsid w:val="005D5C77"/>
    <w:rsid w:val="005D619A"/>
    <w:rsid w:val="005D6231"/>
    <w:rsid w:val="005D6687"/>
    <w:rsid w:val="005E1240"/>
    <w:rsid w:val="005E136D"/>
    <w:rsid w:val="005E277F"/>
    <w:rsid w:val="005E30DC"/>
    <w:rsid w:val="005E31ED"/>
    <w:rsid w:val="005E4774"/>
    <w:rsid w:val="005E4C69"/>
    <w:rsid w:val="005E4EBE"/>
    <w:rsid w:val="005E5239"/>
    <w:rsid w:val="005E5B23"/>
    <w:rsid w:val="005E7400"/>
    <w:rsid w:val="005E790F"/>
    <w:rsid w:val="005E7DD9"/>
    <w:rsid w:val="005F054F"/>
    <w:rsid w:val="005F0863"/>
    <w:rsid w:val="005F09CE"/>
    <w:rsid w:val="005F0D2D"/>
    <w:rsid w:val="005F0E23"/>
    <w:rsid w:val="005F11D1"/>
    <w:rsid w:val="005F298A"/>
    <w:rsid w:val="005F2BB6"/>
    <w:rsid w:val="005F2F03"/>
    <w:rsid w:val="005F34FA"/>
    <w:rsid w:val="005F3873"/>
    <w:rsid w:val="005F3ACC"/>
    <w:rsid w:val="005F3C13"/>
    <w:rsid w:val="005F437A"/>
    <w:rsid w:val="005F4A40"/>
    <w:rsid w:val="005F4D4B"/>
    <w:rsid w:val="005F55C8"/>
    <w:rsid w:val="005F7237"/>
    <w:rsid w:val="005F7937"/>
    <w:rsid w:val="005F7D19"/>
    <w:rsid w:val="005F7D24"/>
    <w:rsid w:val="005F7F21"/>
    <w:rsid w:val="00600A64"/>
    <w:rsid w:val="00601311"/>
    <w:rsid w:val="00601433"/>
    <w:rsid w:val="006016B2"/>
    <w:rsid w:val="006017C8"/>
    <w:rsid w:val="006019A6"/>
    <w:rsid w:val="006019D5"/>
    <w:rsid w:val="00601D63"/>
    <w:rsid w:val="00601FCD"/>
    <w:rsid w:val="00602987"/>
    <w:rsid w:val="00603498"/>
    <w:rsid w:val="0060360A"/>
    <w:rsid w:val="00603DB6"/>
    <w:rsid w:val="00604334"/>
    <w:rsid w:val="00605584"/>
    <w:rsid w:val="00605A66"/>
    <w:rsid w:val="006077F8"/>
    <w:rsid w:val="00607BCE"/>
    <w:rsid w:val="0061131D"/>
    <w:rsid w:val="006116B5"/>
    <w:rsid w:val="00611888"/>
    <w:rsid w:val="00611FB7"/>
    <w:rsid w:val="006121E2"/>
    <w:rsid w:val="0061270A"/>
    <w:rsid w:val="00612930"/>
    <w:rsid w:val="00612BBF"/>
    <w:rsid w:val="00613281"/>
    <w:rsid w:val="006133CE"/>
    <w:rsid w:val="006133D0"/>
    <w:rsid w:val="006136F4"/>
    <w:rsid w:val="006139B2"/>
    <w:rsid w:val="006143AF"/>
    <w:rsid w:val="00614914"/>
    <w:rsid w:val="00615026"/>
    <w:rsid w:val="00615068"/>
    <w:rsid w:val="00615D6F"/>
    <w:rsid w:val="006160B3"/>
    <w:rsid w:val="00616989"/>
    <w:rsid w:val="00616EDE"/>
    <w:rsid w:val="0062004C"/>
    <w:rsid w:val="0062032B"/>
    <w:rsid w:val="006206A6"/>
    <w:rsid w:val="00620836"/>
    <w:rsid w:val="00620DFE"/>
    <w:rsid w:val="00620E48"/>
    <w:rsid w:val="006219FF"/>
    <w:rsid w:val="00622323"/>
    <w:rsid w:val="006230A5"/>
    <w:rsid w:val="00623258"/>
    <w:rsid w:val="00623633"/>
    <w:rsid w:val="00623CE8"/>
    <w:rsid w:val="00624377"/>
    <w:rsid w:val="006246FD"/>
    <w:rsid w:val="00624B57"/>
    <w:rsid w:val="00624F65"/>
    <w:rsid w:val="006252B3"/>
    <w:rsid w:val="00625D19"/>
    <w:rsid w:val="006268EB"/>
    <w:rsid w:val="00626C36"/>
    <w:rsid w:val="006270B3"/>
    <w:rsid w:val="0062749C"/>
    <w:rsid w:val="00627569"/>
    <w:rsid w:val="0062778F"/>
    <w:rsid w:val="0062785E"/>
    <w:rsid w:val="0063128F"/>
    <w:rsid w:val="006314B8"/>
    <w:rsid w:val="006318CC"/>
    <w:rsid w:val="0063212F"/>
    <w:rsid w:val="00632186"/>
    <w:rsid w:val="00632451"/>
    <w:rsid w:val="0063290C"/>
    <w:rsid w:val="00632CCF"/>
    <w:rsid w:val="0063426A"/>
    <w:rsid w:val="006344A5"/>
    <w:rsid w:val="0063467F"/>
    <w:rsid w:val="00635887"/>
    <w:rsid w:val="00635DA1"/>
    <w:rsid w:val="0063613D"/>
    <w:rsid w:val="006370D5"/>
    <w:rsid w:val="00640957"/>
    <w:rsid w:val="00640A88"/>
    <w:rsid w:val="0064153D"/>
    <w:rsid w:val="006415A0"/>
    <w:rsid w:val="00641A35"/>
    <w:rsid w:val="0064214E"/>
    <w:rsid w:val="00642F04"/>
    <w:rsid w:val="00643846"/>
    <w:rsid w:val="006441A7"/>
    <w:rsid w:val="0064521D"/>
    <w:rsid w:val="006452C8"/>
    <w:rsid w:val="00645421"/>
    <w:rsid w:val="00645DBB"/>
    <w:rsid w:val="00647925"/>
    <w:rsid w:val="0065061C"/>
    <w:rsid w:val="0065094F"/>
    <w:rsid w:val="00650B80"/>
    <w:rsid w:val="00651CDB"/>
    <w:rsid w:val="006532E6"/>
    <w:rsid w:val="006546E9"/>
    <w:rsid w:val="0065616F"/>
    <w:rsid w:val="006563F1"/>
    <w:rsid w:val="00656554"/>
    <w:rsid w:val="00656E17"/>
    <w:rsid w:val="00657536"/>
    <w:rsid w:val="00657762"/>
    <w:rsid w:val="006578F1"/>
    <w:rsid w:val="00660640"/>
    <w:rsid w:val="00661604"/>
    <w:rsid w:val="00661735"/>
    <w:rsid w:val="00662C8E"/>
    <w:rsid w:val="0066311A"/>
    <w:rsid w:val="0066315E"/>
    <w:rsid w:val="00663B8B"/>
    <w:rsid w:val="00663F12"/>
    <w:rsid w:val="006646E7"/>
    <w:rsid w:val="00664C7B"/>
    <w:rsid w:val="00664E6E"/>
    <w:rsid w:val="00664FB2"/>
    <w:rsid w:val="006651A0"/>
    <w:rsid w:val="00666289"/>
    <w:rsid w:val="00666C87"/>
    <w:rsid w:val="00666E23"/>
    <w:rsid w:val="00666F2F"/>
    <w:rsid w:val="00667978"/>
    <w:rsid w:val="006714AF"/>
    <w:rsid w:val="00671A19"/>
    <w:rsid w:val="00671B13"/>
    <w:rsid w:val="0067204A"/>
    <w:rsid w:val="0067212C"/>
    <w:rsid w:val="0067286F"/>
    <w:rsid w:val="00672D51"/>
    <w:rsid w:val="00673B77"/>
    <w:rsid w:val="00673FA6"/>
    <w:rsid w:val="006744CA"/>
    <w:rsid w:val="00674F50"/>
    <w:rsid w:val="00675955"/>
    <w:rsid w:val="00675AEB"/>
    <w:rsid w:val="00675D51"/>
    <w:rsid w:val="0067609B"/>
    <w:rsid w:val="00676504"/>
    <w:rsid w:val="00676654"/>
    <w:rsid w:val="00676AA6"/>
    <w:rsid w:val="00677019"/>
    <w:rsid w:val="00677520"/>
    <w:rsid w:val="0068018D"/>
    <w:rsid w:val="0068024A"/>
    <w:rsid w:val="00681264"/>
    <w:rsid w:val="0068214D"/>
    <w:rsid w:val="00682FB3"/>
    <w:rsid w:val="00682FB9"/>
    <w:rsid w:val="006833AD"/>
    <w:rsid w:val="006833D2"/>
    <w:rsid w:val="00683A63"/>
    <w:rsid w:val="00683D1D"/>
    <w:rsid w:val="0068400B"/>
    <w:rsid w:val="0068477B"/>
    <w:rsid w:val="00684B56"/>
    <w:rsid w:val="006851DD"/>
    <w:rsid w:val="0068559F"/>
    <w:rsid w:val="006875B6"/>
    <w:rsid w:val="00687C8B"/>
    <w:rsid w:val="006900D9"/>
    <w:rsid w:val="0069100D"/>
    <w:rsid w:val="006916A3"/>
    <w:rsid w:val="006916DA"/>
    <w:rsid w:val="00691F8B"/>
    <w:rsid w:val="006921DC"/>
    <w:rsid w:val="00692C24"/>
    <w:rsid w:val="00693919"/>
    <w:rsid w:val="00693BA5"/>
    <w:rsid w:val="00694490"/>
    <w:rsid w:val="006945F5"/>
    <w:rsid w:val="006949A8"/>
    <w:rsid w:val="00694A22"/>
    <w:rsid w:val="00694D4E"/>
    <w:rsid w:val="00694DA5"/>
    <w:rsid w:val="00695316"/>
    <w:rsid w:val="006953A7"/>
    <w:rsid w:val="0069551F"/>
    <w:rsid w:val="0069559A"/>
    <w:rsid w:val="00697D81"/>
    <w:rsid w:val="006A045F"/>
    <w:rsid w:val="006A0A85"/>
    <w:rsid w:val="006A14B1"/>
    <w:rsid w:val="006A1954"/>
    <w:rsid w:val="006A1B0B"/>
    <w:rsid w:val="006A1D3B"/>
    <w:rsid w:val="006A1D48"/>
    <w:rsid w:val="006A1FF0"/>
    <w:rsid w:val="006A2A1A"/>
    <w:rsid w:val="006A4526"/>
    <w:rsid w:val="006A48F6"/>
    <w:rsid w:val="006A4E08"/>
    <w:rsid w:val="006A52A1"/>
    <w:rsid w:val="006A6A00"/>
    <w:rsid w:val="006A6B3E"/>
    <w:rsid w:val="006A73E7"/>
    <w:rsid w:val="006A7779"/>
    <w:rsid w:val="006B01F0"/>
    <w:rsid w:val="006B0818"/>
    <w:rsid w:val="006B09F0"/>
    <w:rsid w:val="006B0C55"/>
    <w:rsid w:val="006B0CF0"/>
    <w:rsid w:val="006B15D4"/>
    <w:rsid w:val="006B16D2"/>
    <w:rsid w:val="006B1BB4"/>
    <w:rsid w:val="006B2EB1"/>
    <w:rsid w:val="006B31D4"/>
    <w:rsid w:val="006B3305"/>
    <w:rsid w:val="006B3ED1"/>
    <w:rsid w:val="006B446C"/>
    <w:rsid w:val="006B4EC2"/>
    <w:rsid w:val="006B57B2"/>
    <w:rsid w:val="006B5AC6"/>
    <w:rsid w:val="006B5E5C"/>
    <w:rsid w:val="006B5E77"/>
    <w:rsid w:val="006B5F77"/>
    <w:rsid w:val="006B65E1"/>
    <w:rsid w:val="006B67C1"/>
    <w:rsid w:val="006B6AB6"/>
    <w:rsid w:val="006B7801"/>
    <w:rsid w:val="006C0483"/>
    <w:rsid w:val="006C04EF"/>
    <w:rsid w:val="006C0594"/>
    <w:rsid w:val="006C08D3"/>
    <w:rsid w:val="006C2D86"/>
    <w:rsid w:val="006C3473"/>
    <w:rsid w:val="006C348C"/>
    <w:rsid w:val="006C491A"/>
    <w:rsid w:val="006C550F"/>
    <w:rsid w:val="006C5840"/>
    <w:rsid w:val="006C594A"/>
    <w:rsid w:val="006C5E42"/>
    <w:rsid w:val="006C64CE"/>
    <w:rsid w:val="006C7C74"/>
    <w:rsid w:val="006C7E8A"/>
    <w:rsid w:val="006C7EA9"/>
    <w:rsid w:val="006D1A47"/>
    <w:rsid w:val="006D2F4A"/>
    <w:rsid w:val="006D4193"/>
    <w:rsid w:val="006D4EB2"/>
    <w:rsid w:val="006D51D1"/>
    <w:rsid w:val="006D5887"/>
    <w:rsid w:val="006D5932"/>
    <w:rsid w:val="006D59E8"/>
    <w:rsid w:val="006D5B41"/>
    <w:rsid w:val="006D5F38"/>
    <w:rsid w:val="006D631E"/>
    <w:rsid w:val="006D6447"/>
    <w:rsid w:val="006D6EFD"/>
    <w:rsid w:val="006D6F3A"/>
    <w:rsid w:val="006D7259"/>
    <w:rsid w:val="006D7604"/>
    <w:rsid w:val="006E0DBA"/>
    <w:rsid w:val="006E0EA4"/>
    <w:rsid w:val="006E1AD2"/>
    <w:rsid w:val="006E2BA6"/>
    <w:rsid w:val="006E51B4"/>
    <w:rsid w:val="006E576D"/>
    <w:rsid w:val="006E592B"/>
    <w:rsid w:val="006E5E4D"/>
    <w:rsid w:val="006E60FF"/>
    <w:rsid w:val="006E67B7"/>
    <w:rsid w:val="006E6CBB"/>
    <w:rsid w:val="006E7E52"/>
    <w:rsid w:val="006F05FC"/>
    <w:rsid w:val="006F06FA"/>
    <w:rsid w:val="006F0822"/>
    <w:rsid w:val="006F1C04"/>
    <w:rsid w:val="006F1CC1"/>
    <w:rsid w:val="006F1DD7"/>
    <w:rsid w:val="006F4058"/>
    <w:rsid w:val="006F48CF"/>
    <w:rsid w:val="006F49DD"/>
    <w:rsid w:val="006F4F6F"/>
    <w:rsid w:val="006F54E3"/>
    <w:rsid w:val="006F5D00"/>
    <w:rsid w:val="006F5F1C"/>
    <w:rsid w:val="006F6DFA"/>
    <w:rsid w:val="006F702D"/>
    <w:rsid w:val="006F763F"/>
    <w:rsid w:val="006F7A26"/>
    <w:rsid w:val="00701F7E"/>
    <w:rsid w:val="00702354"/>
    <w:rsid w:val="0070235B"/>
    <w:rsid w:val="00702569"/>
    <w:rsid w:val="0070288F"/>
    <w:rsid w:val="00703C3D"/>
    <w:rsid w:val="00704346"/>
    <w:rsid w:val="007046A6"/>
    <w:rsid w:val="0070611A"/>
    <w:rsid w:val="00706FC1"/>
    <w:rsid w:val="007077A6"/>
    <w:rsid w:val="0071069C"/>
    <w:rsid w:val="007109F0"/>
    <w:rsid w:val="00710C81"/>
    <w:rsid w:val="00710F73"/>
    <w:rsid w:val="00711BD8"/>
    <w:rsid w:val="00711D37"/>
    <w:rsid w:val="00712224"/>
    <w:rsid w:val="00712434"/>
    <w:rsid w:val="00712D17"/>
    <w:rsid w:val="00713C44"/>
    <w:rsid w:val="00713DAE"/>
    <w:rsid w:val="007148B9"/>
    <w:rsid w:val="00715877"/>
    <w:rsid w:val="00715D12"/>
    <w:rsid w:val="007164B0"/>
    <w:rsid w:val="0071678C"/>
    <w:rsid w:val="00716AC7"/>
    <w:rsid w:val="007170AA"/>
    <w:rsid w:val="007202DF"/>
    <w:rsid w:val="00720B8B"/>
    <w:rsid w:val="0072168B"/>
    <w:rsid w:val="00722145"/>
    <w:rsid w:val="0072214B"/>
    <w:rsid w:val="007222F3"/>
    <w:rsid w:val="00722D36"/>
    <w:rsid w:val="007232B0"/>
    <w:rsid w:val="007236F3"/>
    <w:rsid w:val="007237BA"/>
    <w:rsid w:val="00723EC0"/>
    <w:rsid w:val="00724186"/>
    <w:rsid w:val="007246E2"/>
    <w:rsid w:val="00724E07"/>
    <w:rsid w:val="007252D7"/>
    <w:rsid w:val="00725DB1"/>
    <w:rsid w:val="00726944"/>
    <w:rsid w:val="00726BFB"/>
    <w:rsid w:val="0072783A"/>
    <w:rsid w:val="00727F07"/>
    <w:rsid w:val="0073072C"/>
    <w:rsid w:val="00730809"/>
    <w:rsid w:val="00731C11"/>
    <w:rsid w:val="00731DBE"/>
    <w:rsid w:val="007320C4"/>
    <w:rsid w:val="0073277C"/>
    <w:rsid w:val="00733680"/>
    <w:rsid w:val="007339B9"/>
    <w:rsid w:val="00733A44"/>
    <w:rsid w:val="00733BA2"/>
    <w:rsid w:val="0073409A"/>
    <w:rsid w:val="00734F4F"/>
    <w:rsid w:val="0073593A"/>
    <w:rsid w:val="00735D24"/>
    <w:rsid w:val="00736379"/>
    <w:rsid w:val="007377C1"/>
    <w:rsid w:val="00741F11"/>
    <w:rsid w:val="007425C6"/>
    <w:rsid w:val="0074291E"/>
    <w:rsid w:val="00742922"/>
    <w:rsid w:val="00743BB6"/>
    <w:rsid w:val="0074491B"/>
    <w:rsid w:val="0074591A"/>
    <w:rsid w:val="00746146"/>
    <w:rsid w:val="007462EE"/>
    <w:rsid w:val="00746A2F"/>
    <w:rsid w:val="00746B1F"/>
    <w:rsid w:val="0074769D"/>
    <w:rsid w:val="00747A3A"/>
    <w:rsid w:val="00747C0E"/>
    <w:rsid w:val="00747D76"/>
    <w:rsid w:val="00750C61"/>
    <w:rsid w:val="0075126E"/>
    <w:rsid w:val="00751609"/>
    <w:rsid w:val="00751665"/>
    <w:rsid w:val="00753DEC"/>
    <w:rsid w:val="00755D68"/>
    <w:rsid w:val="00755DD8"/>
    <w:rsid w:val="00756760"/>
    <w:rsid w:val="00756784"/>
    <w:rsid w:val="00757D5F"/>
    <w:rsid w:val="0076014F"/>
    <w:rsid w:val="007608AB"/>
    <w:rsid w:val="00760D41"/>
    <w:rsid w:val="007616DE"/>
    <w:rsid w:val="00761752"/>
    <w:rsid w:val="007619BC"/>
    <w:rsid w:val="00761A6A"/>
    <w:rsid w:val="00761BB5"/>
    <w:rsid w:val="00761D97"/>
    <w:rsid w:val="00762278"/>
    <w:rsid w:val="007624FE"/>
    <w:rsid w:val="007627C6"/>
    <w:rsid w:val="00763372"/>
    <w:rsid w:val="0076358A"/>
    <w:rsid w:val="00763FEB"/>
    <w:rsid w:val="007643BF"/>
    <w:rsid w:val="00764552"/>
    <w:rsid w:val="0076472F"/>
    <w:rsid w:val="00764787"/>
    <w:rsid w:val="00764EB0"/>
    <w:rsid w:val="007655B5"/>
    <w:rsid w:val="007659D3"/>
    <w:rsid w:val="007660C1"/>
    <w:rsid w:val="00766587"/>
    <w:rsid w:val="007668CF"/>
    <w:rsid w:val="00766943"/>
    <w:rsid w:val="00766A5A"/>
    <w:rsid w:val="0076792D"/>
    <w:rsid w:val="00767FBC"/>
    <w:rsid w:val="00770C82"/>
    <w:rsid w:val="00771C02"/>
    <w:rsid w:val="00772F7C"/>
    <w:rsid w:val="00773697"/>
    <w:rsid w:val="007741C5"/>
    <w:rsid w:val="00774491"/>
    <w:rsid w:val="00774AAE"/>
    <w:rsid w:val="00775322"/>
    <w:rsid w:val="007756CA"/>
    <w:rsid w:val="00775C0F"/>
    <w:rsid w:val="00775EEF"/>
    <w:rsid w:val="007764A5"/>
    <w:rsid w:val="0077681F"/>
    <w:rsid w:val="00776C51"/>
    <w:rsid w:val="00776DF0"/>
    <w:rsid w:val="00780422"/>
    <w:rsid w:val="00781272"/>
    <w:rsid w:val="007812DC"/>
    <w:rsid w:val="007817D4"/>
    <w:rsid w:val="00782FE8"/>
    <w:rsid w:val="00783034"/>
    <w:rsid w:val="00783957"/>
    <w:rsid w:val="00784185"/>
    <w:rsid w:val="00785415"/>
    <w:rsid w:val="00785872"/>
    <w:rsid w:val="00786C87"/>
    <w:rsid w:val="00787A16"/>
    <w:rsid w:val="00787B4D"/>
    <w:rsid w:val="007900CD"/>
    <w:rsid w:val="00790334"/>
    <w:rsid w:val="00790EE4"/>
    <w:rsid w:val="0079197F"/>
    <w:rsid w:val="00791C4F"/>
    <w:rsid w:val="00792570"/>
    <w:rsid w:val="00792EB7"/>
    <w:rsid w:val="00792F9F"/>
    <w:rsid w:val="007930BE"/>
    <w:rsid w:val="00793206"/>
    <w:rsid w:val="00793240"/>
    <w:rsid w:val="007932C5"/>
    <w:rsid w:val="007936A0"/>
    <w:rsid w:val="00794801"/>
    <w:rsid w:val="00794A0C"/>
    <w:rsid w:val="007961B8"/>
    <w:rsid w:val="00796A1C"/>
    <w:rsid w:val="00796CFF"/>
    <w:rsid w:val="00796F7A"/>
    <w:rsid w:val="007A0897"/>
    <w:rsid w:val="007A0E0A"/>
    <w:rsid w:val="007A1C85"/>
    <w:rsid w:val="007A2011"/>
    <w:rsid w:val="007A2C46"/>
    <w:rsid w:val="007A2CF4"/>
    <w:rsid w:val="007A3363"/>
    <w:rsid w:val="007A33F5"/>
    <w:rsid w:val="007A3685"/>
    <w:rsid w:val="007A3AB6"/>
    <w:rsid w:val="007A3E0A"/>
    <w:rsid w:val="007A3FEE"/>
    <w:rsid w:val="007A4323"/>
    <w:rsid w:val="007A4C25"/>
    <w:rsid w:val="007A50FE"/>
    <w:rsid w:val="007A5797"/>
    <w:rsid w:val="007A5D9C"/>
    <w:rsid w:val="007A6106"/>
    <w:rsid w:val="007A6598"/>
    <w:rsid w:val="007A65FB"/>
    <w:rsid w:val="007A6722"/>
    <w:rsid w:val="007A6993"/>
    <w:rsid w:val="007A6C5A"/>
    <w:rsid w:val="007A6FA7"/>
    <w:rsid w:val="007A7D3E"/>
    <w:rsid w:val="007A7FE5"/>
    <w:rsid w:val="007B080C"/>
    <w:rsid w:val="007B0FE8"/>
    <w:rsid w:val="007B1518"/>
    <w:rsid w:val="007B177E"/>
    <w:rsid w:val="007B1D29"/>
    <w:rsid w:val="007B208B"/>
    <w:rsid w:val="007B217F"/>
    <w:rsid w:val="007B38F4"/>
    <w:rsid w:val="007B3C4E"/>
    <w:rsid w:val="007B45AD"/>
    <w:rsid w:val="007B4DEC"/>
    <w:rsid w:val="007B4F65"/>
    <w:rsid w:val="007B5387"/>
    <w:rsid w:val="007B5563"/>
    <w:rsid w:val="007B5845"/>
    <w:rsid w:val="007B600F"/>
    <w:rsid w:val="007B60F1"/>
    <w:rsid w:val="007B61CD"/>
    <w:rsid w:val="007B71AF"/>
    <w:rsid w:val="007C02CB"/>
    <w:rsid w:val="007C149A"/>
    <w:rsid w:val="007C1C33"/>
    <w:rsid w:val="007C1D6F"/>
    <w:rsid w:val="007C1F85"/>
    <w:rsid w:val="007C24A0"/>
    <w:rsid w:val="007C31B9"/>
    <w:rsid w:val="007C4030"/>
    <w:rsid w:val="007C4533"/>
    <w:rsid w:val="007C455B"/>
    <w:rsid w:val="007C4643"/>
    <w:rsid w:val="007C4813"/>
    <w:rsid w:val="007C5FDC"/>
    <w:rsid w:val="007C631A"/>
    <w:rsid w:val="007C68AA"/>
    <w:rsid w:val="007C6D6F"/>
    <w:rsid w:val="007C7276"/>
    <w:rsid w:val="007C7C45"/>
    <w:rsid w:val="007C7CE7"/>
    <w:rsid w:val="007C7E39"/>
    <w:rsid w:val="007D01BB"/>
    <w:rsid w:val="007D0525"/>
    <w:rsid w:val="007D1C85"/>
    <w:rsid w:val="007D1D16"/>
    <w:rsid w:val="007D329E"/>
    <w:rsid w:val="007D33A7"/>
    <w:rsid w:val="007D3531"/>
    <w:rsid w:val="007D3C99"/>
    <w:rsid w:val="007D3D24"/>
    <w:rsid w:val="007D4467"/>
    <w:rsid w:val="007D47FE"/>
    <w:rsid w:val="007D4819"/>
    <w:rsid w:val="007D5028"/>
    <w:rsid w:val="007D5388"/>
    <w:rsid w:val="007D6643"/>
    <w:rsid w:val="007D674E"/>
    <w:rsid w:val="007D6C17"/>
    <w:rsid w:val="007D72FC"/>
    <w:rsid w:val="007D7CBE"/>
    <w:rsid w:val="007E1936"/>
    <w:rsid w:val="007E29F2"/>
    <w:rsid w:val="007E2C21"/>
    <w:rsid w:val="007E3721"/>
    <w:rsid w:val="007E3CDC"/>
    <w:rsid w:val="007E4BAD"/>
    <w:rsid w:val="007E4BC4"/>
    <w:rsid w:val="007E5665"/>
    <w:rsid w:val="007E677E"/>
    <w:rsid w:val="007E6F0B"/>
    <w:rsid w:val="007E765A"/>
    <w:rsid w:val="007E7B4D"/>
    <w:rsid w:val="007F0093"/>
    <w:rsid w:val="007F05D5"/>
    <w:rsid w:val="007F12A4"/>
    <w:rsid w:val="007F13DC"/>
    <w:rsid w:val="007F1595"/>
    <w:rsid w:val="007F1ECD"/>
    <w:rsid w:val="007F2022"/>
    <w:rsid w:val="007F2122"/>
    <w:rsid w:val="007F21DC"/>
    <w:rsid w:val="007F2851"/>
    <w:rsid w:val="007F2E17"/>
    <w:rsid w:val="007F3A0A"/>
    <w:rsid w:val="007F3AD9"/>
    <w:rsid w:val="007F3E10"/>
    <w:rsid w:val="007F4B61"/>
    <w:rsid w:val="007F4BD1"/>
    <w:rsid w:val="007F4F9B"/>
    <w:rsid w:val="007F51FE"/>
    <w:rsid w:val="007F5AFE"/>
    <w:rsid w:val="007F69C6"/>
    <w:rsid w:val="007F6D56"/>
    <w:rsid w:val="007F6FAF"/>
    <w:rsid w:val="00800519"/>
    <w:rsid w:val="008009F3"/>
    <w:rsid w:val="008026E1"/>
    <w:rsid w:val="00802906"/>
    <w:rsid w:val="00802E9A"/>
    <w:rsid w:val="00803958"/>
    <w:rsid w:val="00804CFA"/>
    <w:rsid w:val="00804E79"/>
    <w:rsid w:val="008057D4"/>
    <w:rsid w:val="008062CF"/>
    <w:rsid w:val="00806428"/>
    <w:rsid w:val="008072BC"/>
    <w:rsid w:val="00807D13"/>
    <w:rsid w:val="00807D3A"/>
    <w:rsid w:val="00810A7B"/>
    <w:rsid w:val="008111FA"/>
    <w:rsid w:val="008118F7"/>
    <w:rsid w:val="00811968"/>
    <w:rsid w:val="008119A3"/>
    <w:rsid w:val="0081481C"/>
    <w:rsid w:val="0081528A"/>
    <w:rsid w:val="00815EDC"/>
    <w:rsid w:val="008169BA"/>
    <w:rsid w:val="00816E35"/>
    <w:rsid w:val="0081759D"/>
    <w:rsid w:val="008177B0"/>
    <w:rsid w:val="00817DE4"/>
    <w:rsid w:val="00817DFD"/>
    <w:rsid w:val="008209E8"/>
    <w:rsid w:val="00820DEA"/>
    <w:rsid w:val="00820E16"/>
    <w:rsid w:val="00821159"/>
    <w:rsid w:val="008212B1"/>
    <w:rsid w:val="008223C3"/>
    <w:rsid w:val="00822EE5"/>
    <w:rsid w:val="00823391"/>
    <w:rsid w:val="0082359D"/>
    <w:rsid w:val="00823952"/>
    <w:rsid w:val="00823B20"/>
    <w:rsid w:val="0082430F"/>
    <w:rsid w:val="00824C61"/>
    <w:rsid w:val="008251DD"/>
    <w:rsid w:val="008256B4"/>
    <w:rsid w:val="0082573C"/>
    <w:rsid w:val="0082575D"/>
    <w:rsid w:val="00826132"/>
    <w:rsid w:val="0082752D"/>
    <w:rsid w:val="008276E9"/>
    <w:rsid w:val="00830735"/>
    <w:rsid w:val="00830D14"/>
    <w:rsid w:val="008316F8"/>
    <w:rsid w:val="0083279A"/>
    <w:rsid w:val="0083322C"/>
    <w:rsid w:val="00833CE4"/>
    <w:rsid w:val="00833D2F"/>
    <w:rsid w:val="00833DA2"/>
    <w:rsid w:val="00834086"/>
    <w:rsid w:val="00834B93"/>
    <w:rsid w:val="0083566F"/>
    <w:rsid w:val="00835B71"/>
    <w:rsid w:val="00835E62"/>
    <w:rsid w:val="00836109"/>
    <w:rsid w:val="00836298"/>
    <w:rsid w:val="008403FE"/>
    <w:rsid w:val="00840A12"/>
    <w:rsid w:val="00841AD4"/>
    <w:rsid w:val="00841BCD"/>
    <w:rsid w:val="00841C2B"/>
    <w:rsid w:val="00842F7E"/>
    <w:rsid w:val="0084362A"/>
    <w:rsid w:val="00843F24"/>
    <w:rsid w:val="00844003"/>
    <w:rsid w:val="00844679"/>
    <w:rsid w:val="00845248"/>
    <w:rsid w:val="0084579E"/>
    <w:rsid w:val="008458D4"/>
    <w:rsid w:val="00845E40"/>
    <w:rsid w:val="008471E0"/>
    <w:rsid w:val="00847FBF"/>
    <w:rsid w:val="00850531"/>
    <w:rsid w:val="0085086B"/>
    <w:rsid w:val="0085108D"/>
    <w:rsid w:val="0085237D"/>
    <w:rsid w:val="008525B1"/>
    <w:rsid w:val="008550EF"/>
    <w:rsid w:val="008554AC"/>
    <w:rsid w:val="008565CD"/>
    <w:rsid w:val="00856A69"/>
    <w:rsid w:val="00857022"/>
    <w:rsid w:val="00857666"/>
    <w:rsid w:val="0085771C"/>
    <w:rsid w:val="00860685"/>
    <w:rsid w:val="00861EF4"/>
    <w:rsid w:val="008623A6"/>
    <w:rsid w:val="00862A51"/>
    <w:rsid w:val="00863836"/>
    <w:rsid w:val="00863D54"/>
    <w:rsid w:val="00864AE5"/>
    <w:rsid w:val="00864B63"/>
    <w:rsid w:val="00864C4D"/>
    <w:rsid w:val="00865071"/>
    <w:rsid w:val="008650CD"/>
    <w:rsid w:val="00867941"/>
    <w:rsid w:val="00867E1C"/>
    <w:rsid w:val="00870DAF"/>
    <w:rsid w:val="0087165F"/>
    <w:rsid w:val="008718C1"/>
    <w:rsid w:val="008724FD"/>
    <w:rsid w:val="00872BF0"/>
    <w:rsid w:val="00872C7B"/>
    <w:rsid w:val="0087357E"/>
    <w:rsid w:val="00873A05"/>
    <w:rsid w:val="00873F6B"/>
    <w:rsid w:val="00874068"/>
    <w:rsid w:val="00874716"/>
    <w:rsid w:val="00874DCC"/>
    <w:rsid w:val="00875257"/>
    <w:rsid w:val="008758EF"/>
    <w:rsid w:val="00875C0A"/>
    <w:rsid w:val="008762FD"/>
    <w:rsid w:val="00876C1D"/>
    <w:rsid w:val="00877904"/>
    <w:rsid w:val="008805B4"/>
    <w:rsid w:val="0088072A"/>
    <w:rsid w:val="00880ADF"/>
    <w:rsid w:val="00880D53"/>
    <w:rsid w:val="00881AAE"/>
    <w:rsid w:val="00881B35"/>
    <w:rsid w:val="00881D28"/>
    <w:rsid w:val="008822D9"/>
    <w:rsid w:val="008850C7"/>
    <w:rsid w:val="00885B54"/>
    <w:rsid w:val="00885C25"/>
    <w:rsid w:val="00885CAC"/>
    <w:rsid w:val="00885D6D"/>
    <w:rsid w:val="00885D76"/>
    <w:rsid w:val="00886562"/>
    <w:rsid w:val="00886662"/>
    <w:rsid w:val="008869B0"/>
    <w:rsid w:val="00886A29"/>
    <w:rsid w:val="00887B56"/>
    <w:rsid w:val="00887F13"/>
    <w:rsid w:val="0089029F"/>
    <w:rsid w:val="0089050B"/>
    <w:rsid w:val="0089065E"/>
    <w:rsid w:val="00890770"/>
    <w:rsid w:val="00890C1B"/>
    <w:rsid w:val="0089172D"/>
    <w:rsid w:val="0089193F"/>
    <w:rsid w:val="008929DA"/>
    <w:rsid w:val="0089315C"/>
    <w:rsid w:val="008931AF"/>
    <w:rsid w:val="008932AF"/>
    <w:rsid w:val="00894B1A"/>
    <w:rsid w:val="00894DD6"/>
    <w:rsid w:val="0089533B"/>
    <w:rsid w:val="008954CD"/>
    <w:rsid w:val="008955B3"/>
    <w:rsid w:val="00896BFF"/>
    <w:rsid w:val="008977ED"/>
    <w:rsid w:val="00897D8B"/>
    <w:rsid w:val="008A09BC"/>
    <w:rsid w:val="008A110A"/>
    <w:rsid w:val="008A1C87"/>
    <w:rsid w:val="008A226D"/>
    <w:rsid w:val="008A332B"/>
    <w:rsid w:val="008A33C1"/>
    <w:rsid w:val="008A3437"/>
    <w:rsid w:val="008A3514"/>
    <w:rsid w:val="008A3734"/>
    <w:rsid w:val="008A45D3"/>
    <w:rsid w:val="008A4B00"/>
    <w:rsid w:val="008A541F"/>
    <w:rsid w:val="008A5511"/>
    <w:rsid w:val="008A6117"/>
    <w:rsid w:val="008A6737"/>
    <w:rsid w:val="008A6838"/>
    <w:rsid w:val="008A68DE"/>
    <w:rsid w:val="008A7194"/>
    <w:rsid w:val="008A759E"/>
    <w:rsid w:val="008A75C2"/>
    <w:rsid w:val="008A7FF7"/>
    <w:rsid w:val="008B0C77"/>
    <w:rsid w:val="008B1454"/>
    <w:rsid w:val="008B1553"/>
    <w:rsid w:val="008B17CA"/>
    <w:rsid w:val="008B21A9"/>
    <w:rsid w:val="008B2422"/>
    <w:rsid w:val="008B24F2"/>
    <w:rsid w:val="008B2D9E"/>
    <w:rsid w:val="008B344E"/>
    <w:rsid w:val="008B4152"/>
    <w:rsid w:val="008B4810"/>
    <w:rsid w:val="008B4B0B"/>
    <w:rsid w:val="008B51FA"/>
    <w:rsid w:val="008B6102"/>
    <w:rsid w:val="008B61CA"/>
    <w:rsid w:val="008B6872"/>
    <w:rsid w:val="008B7806"/>
    <w:rsid w:val="008C0144"/>
    <w:rsid w:val="008C024C"/>
    <w:rsid w:val="008C05FE"/>
    <w:rsid w:val="008C0DC7"/>
    <w:rsid w:val="008C1551"/>
    <w:rsid w:val="008C15F1"/>
    <w:rsid w:val="008C19E7"/>
    <w:rsid w:val="008C20AC"/>
    <w:rsid w:val="008C2982"/>
    <w:rsid w:val="008C2F96"/>
    <w:rsid w:val="008C2F9A"/>
    <w:rsid w:val="008C3133"/>
    <w:rsid w:val="008C3CC9"/>
    <w:rsid w:val="008C4847"/>
    <w:rsid w:val="008C4B15"/>
    <w:rsid w:val="008C50CC"/>
    <w:rsid w:val="008C51FA"/>
    <w:rsid w:val="008C5394"/>
    <w:rsid w:val="008C725B"/>
    <w:rsid w:val="008C7280"/>
    <w:rsid w:val="008C7746"/>
    <w:rsid w:val="008C7ADF"/>
    <w:rsid w:val="008C7C38"/>
    <w:rsid w:val="008D01FB"/>
    <w:rsid w:val="008D088C"/>
    <w:rsid w:val="008D09E1"/>
    <w:rsid w:val="008D12DD"/>
    <w:rsid w:val="008D17D3"/>
    <w:rsid w:val="008D2504"/>
    <w:rsid w:val="008D253D"/>
    <w:rsid w:val="008D2BAF"/>
    <w:rsid w:val="008D2FE5"/>
    <w:rsid w:val="008D33B9"/>
    <w:rsid w:val="008D3C90"/>
    <w:rsid w:val="008D425B"/>
    <w:rsid w:val="008D4F74"/>
    <w:rsid w:val="008D5925"/>
    <w:rsid w:val="008D5962"/>
    <w:rsid w:val="008D7ACE"/>
    <w:rsid w:val="008D7F80"/>
    <w:rsid w:val="008E07FF"/>
    <w:rsid w:val="008E0ADC"/>
    <w:rsid w:val="008E0C8C"/>
    <w:rsid w:val="008E0FB8"/>
    <w:rsid w:val="008E2243"/>
    <w:rsid w:val="008E224A"/>
    <w:rsid w:val="008E277C"/>
    <w:rsid w:val="008E2BDA"/>
    <w:rsid w:val="008E2F2E"/>
    <w:rsid w:val="008E2FEA"/>
    <w:rsid w:val="008E30EA"/>
    <w:rsid w:val="008E3492"/>
    <w:rsid w:val="008E39CA"/>
    <w:rsid w:val="008E4134"/>
    <w:rsid w:val="008E4A5F"/>
    <w:rsid w:val="008E4EAD"/>
    <w:rsid w:val="008E54DB"/>
    <w:rsid w:val="008E58DB"/>
    <w:rsid w:val="008E6158"/>
    <w:rsid w:val="008E6230"/>
    <w:rsid w:val="008E679A"/>
    <w:rsid w:val="008E6A36"/>
    <w:rsid w:val="008E7FE3"/>
    <w:rsid w:val="008F002F"/>
    <w:rsid w:val="008F0062"/>
    <w:rsid w:val="008F0EDD"/>
    <w:rsid w:val="008F10BE"/>
    <w:rsid w:val="008F2020"/>
    <w:rsid w:val="008F2052"/>
    <w:rsid w:val="008F24F4"/>
    <w:rsid w:val="008F2D17"/>
    <w:rsid w:val="008F2F3A"/>
    <w:rsid w:val="008F3755"/>
    <w:rsid w:val="008F3DD3"/>
    <w:rsid w:val="008F3F85"/>
    <w:rsid w:val="008F4314"/>
    <w:rsid w:val="008F4816"/>
    <w:rsid w:val="008F5468"/>
    <w:rsid w:val="008F5515"/>
    <w:rsid w:val="008F59D1"/>
    <w:rsid w:val="008F6899"/>
    <w:rsid w:val="008F6FE1"/>
    <w:rsid w:val="008F799E"/>
    <w:rsid w:val="009000BA"/>
    <w:rsid w:val="00900252"/>
    <w:rsid w:val="009007CF"/>
    <w:rsid w:val="00900E5C"/>
    <w:rsid w:val="00901212"/>
    <w:rsid w:val="00901E35"/>
    <w:rsid w:val="009020B2"/>
    <w:rsid w:val="00904051"/>
    <w:rsid w:val="00904605"/>
    <w:rsid w:val="009048A1"/>
    <w:rsid w:val="00904F6E"/>
    <w:rsid w:val="009051BC"/>
    <w:rsid w:val="00906719"/>
    <w:rsid w:val="00906C3E"/>
    <w:rsid w:val="00907021"/>
    <w:rsid w:val="0090729F"/>
    <w:rsid w:val="00907980"/>
    <w:rsid w:val="0090798D"/>
    <w:rsid w:val="00910514"/>
    <w:rsid w:val="0091055F"/>
    <w:rsid w:val="009105F0"/>
    <w:rsid w:val="009108BF"/>
    <w:rsid w:val="0091130C"/>
    <w:rsid w:val="00911AE5"/>
    <w:rsid w:val="00911C24"/>
    <w:rsid w:val="00912ABB"/>
    <w:rsid w:val="00912E87"/>
    <w:rsid w:val="00912F02"/>
    <w:rsid w:val="009136E1"/>
    <w:rsid w:val="00913A0C"/>
    <w:rsid w:val="00914BCD"/>
    <w:rsid w:val="00914C40"/>
    <w:rsid w:val="009152BF"/>
    <w:rsid w:val="00916060"/>
    <w:rsid w:val="0091613D"/>
    <w:rsid w:val="00917E59"/>
    <w:rsid w:val="00917FA2"/>
    <w:rsid w:val="0092022A"/>
    <w:rsid w:val="00921901"/>
    <w:rsid w:val="00921B10"/>
    <w:rsid w:val="00921BFA"/>
    <w:rsid w:val="00921E07"/>
    <w:rsid w:val="0092299C"/>
    <w:rsid w:val="00922E03"/>
    <w:rsid w:val="00923C08"/>
    <w:rsid w:val="00923C22"/>
    <w:rsid w:val="00924089"/>
    <w:rsid w:val="00924305"/>
    <w:rsid w:val="00924396"/>
    <w:rsid w:val="009243F5"/>
    <w:rsid w:val="009245C2"/>
    <w:rsid w:val="00924C73"/>
    <w:rsid w:val="00924EB9"/>
    <w:rsid w:val="009252E2"/>
    <w:rsid w:val="009255F5"/>
    <w:rsid w:val="009259DD"/>
    <w:rsid w:val="0092654F"/>
    <w:rsid w:val="0092676F"/>
    <w:rsid w:val="00926DD1"/>
    <w:rsid w:val="009275B3"/>
    <w:rsid w:val="00927885"/>
    <w:rsid w:val="009278D2"/>
    <w:rsid w:val="00927A55"/>
    <w:rsid w:val="00930663"/>
    <w:rsid w:val="009306A4"/>
    <w:rsid w:val="009306D0"/>
    <w:rsid w:val="00930740"/>
    <w:rsid w:val="00930E3C"/>
    <w:rsid w:val="009317A2"/>
    <w:rsid w:val="00931919"/>
    <w:rsid w:val="00931BF3"/>
    <w:rsid w:val="0093227C"/>
    <w:rsid w:val="009325A8"/>
    <w:rsid w:val="009327D9"/>
    <w:rsid w:val="00933074"/>
    <w:rsid w:val="009332F4"/>
    <w:rsid w:val="00933510"/>
    <w:rsid w:val="009339B8"/>
    <w:rsid w:val="00933CF6"/>
    <w:rsid w:val="00933F19"/>
    <w:rsid w:val="0093419F"/>
    <w:rsid w:val="00934273"/>
    <w:rsid w:val="009345C0"/>
    <w:rsid w:val="00934CA1"/>
    <w:rsid w:val="00934E62"/>
    <w:rsid w:val="00935C9B"/>
    <w:rsid w:val="00936441"/>
    <w:rsid w:val="00937113"/>
    <w:rsid w:val="00937788"/>
    <w:rsid w:val="009402D4"/>
    <w:rsid w:val="009403E4"/>
    <w:rsid w:val="00940742"/>
    <w:rsid w:val="00940DC8"/>
    <w:rsid w:val="00941515"/>
    <w:rsid w:val="009415FB"/>
    <w:rsid w:val="00941626"/>
    <w:rsid w:val="009419E5"/>
    <w:rsid w:val="009431F1"/>
    <w:rsid w:val="0094341C"/>
    <w:rsid w:val="00943A29"/>
    <w:rsid w:val="00943C83"/>
    <w:rsid w:val="00944CED"/>
    <w:rsid w:val="00944F0D"/>
    <w:rsid w:val="009450ED"/>
    <w:rsid w:val="00945A19"/>
    <w:rsid w:val="009460F0"/>
    <w:rsid w:val="00946109"/>
    <w:rsid w:val="009465B2"/>
    <w:rsid w:val="00946A90"/>
    <w:rsid w:val="00946FE7"/>
    <w:rsid w:val="00947EF7"/>
    <w:rsid w:val="009501DC"/>
    <w:rsid w:val="00950C5A"/>
    <w:rsid w:val="0095116C"/>
    <w:rsid w:val="009513BD"/>
    <w:rsid w:val="009514D4"/>
    <w:rsid w:val="009523F7"/>
    <w:rsid w:val="00953236"/>
    <w:rsid w:val="00953665"/>
    <w:rsid w:val="00953679"/>
    <w:rsid w:val="00953CF9"/>
    <w:rsid w:val="00953E70"/>
    <w:rsid w:val="00953E8B"/>
    <w:rsid w:val="00954A44"/>
    <w:rsid w:val="00955B7C"/>
    <w:rsid w:val="00955F90"/>
    <w:rsid w:val="0095683F"/>
    <w:rsid w:val="00956DE1"/>
    <w:rsid w:val="00956FC4"/>
    <w:rsid w:val="009572FA"/>
    <w:rsid w:val="00960776"/>
    <w:rsid w:val="00960E87"/>
    <w:rsid w:val="0096124B"/>
    <w:rsid w:val="009612DB"/>
    <w:rsid w:val="00961DDC"/>
    <w:rsid w:val="0096320C"/>
    <w:rsid w:val="009635BA"/>
    <w:rsid w:val="0096457A"/>
    <w:rsid w:val="00964C06"/>
    <w:rsid w:val="009657CF"/>
    <w:rsid w:val="009660D4"/>
    <w:rsid w:val="009668F8"/>
    <w:rsid w:val="009669BC"/>
    <w:rsid w:val="00966BA8"/>
    <w:rsid w:val="0096731F"/>
    <w:rsid w:val="0096772A"/>
    <w:rsid w:val="00967D61"/>
    <w:rsid w:val="00970245"/>
    <w:rsid w:val="00970314"/>
    <w:rsid w:val="00971A10"/>
    <w:rsid w:val="00971DDC"/>
    <w:rsid w:val="00972552"/>
    <w:rsid w:val="009726D2"/>
    <w:rsid w:val="009728B4"/>
    <w:rsid w:val="0097342B"/>
    <w:rsid w:val="00973D87"/>
    <w:rsid w:val="00974095"/>
    <w:rsid w:val="00974765"/>
    <w:rsid w:val="00974BC4"/>
    <w:rsid w:val="00974D9A"/>
    <w:rsid w:val="00974DD0"/>
    <w:rsid w:val="00974DF5"/>
    <w:rsid w:val="00975262"/>
    <w:rsid w:val="009765BA"/>
    <w:rsid w:val="00976BD5"/>
    <w:rsid w:val="009772C6"/>
    <w:rsid w:val="009777AA"/>
    <w:rsid w:val="009809E4"/>
    <w:rsid w:val="00981501"/>
    <w:rsid w:val="0098163B"/>
    <w:rsid w:val="009819E5"/>
    <w:rsid w:val="0098238D"/>
    <w:rsid w:val="009823CB"/>
    <w:rsid w:val="009826B0"/>
    <w:rsid w:val="00982734"/>
    <w:rsid w:val="00982CD9"/>
    <w:rsid w:val="00982DDE"/>
    <w:rsid w:val="00983752"/>
    <w:rsid w:val="0098380A"/>
    <w:rsid w:val="00983FFB"/>
    <w:rsid w:val="00985143"/>
    <w:rsid w:val="00985679"/>
    <w:rsid w:val="00985696"/>
    <w:rsid w:val="0098584D"/>
    <w:rsid w:val="00985A7E"/>
    <w:rsid w:val="0098634C"/>
    <w:rsid w:val="00986451"/>
    <w:rsid w:val="009870BD"/>
    <w:rsid w:val="00987289"/>
    <w:rsid w:val="009872CA"/>
    <w:rsid w:val="00987552"/>
    <w:rsid w:val="00987AF8"/>
    <w:rsid w:val="009905E4"/>
    <w:rsid w:val="00990783"/>
    <w:rsid w:val="0099099A"/>
    <w:rsid w:val="00990B0B"/>
    <w:rsid w:val="00991079"/>
    <w:rsid w:val="00992685"/>
    <w:rsid w:val="00992C93"/>
    <w:rsid w:val="00992ED2"/>
    <w:rsid w:val="009936C1"/>
    <w:rsid w:val="00995AB7"/>
    <w:rsid w:val="00995BC8"/>
    <w:rsid w:val="00995F21"/>
    <w:rsid w:val="00996F91"/>
    <w:rsid w:val="00997A11"/>
    <w:rsid w:val="00997C9D"/>
    <w:rsid w:val="009A1054"/>
    <w:rsid w:val="009A1427"/>
    <w:rsid w:val="009A14B7"/>
    <w:rsid w:val="009A177C"/>
    <w:rsid w:val="009A17A3"/>
    <w:rsid w:val="009A2634"/>
    <w:rsid w:val="009A2C24"/>
    <w:rsid w:val="009A2D57"/>
    <w:rsid w:val="009A41C3"/>
    <w:rsid w:val="009A453D"/>
    <w:rsid w:val="009A458F"/>
    <w:rsid w:val="009A48AE"/>
    <w:rsid w:val="009A4CF1"/>
    <w:rsid w:val="009A4F18"/>
    <w:rsid w:val="009A4FED"/>
    <w:rsid w:val="009A5AE6"/>
    <w:rsid w:val="009A60E6"/>
    <w:rsid w:val="009A634D"/>
    <w:rsid w:val="009A6372"/>
    <w:rsid w:val="009A666F"/>
    <w:rsid w:val="009A6855"/>
    <w:rsid w:val="009A6A97"/>
    <w:rsid w:val="009A6C59"/>
    <w:rsid w:val="009A72C5"/>
    <w:rsid w:val="009A7EF6"/>
    <w:rsid w:val="009B0D58"/>
    <w:rsid w:val="009B0FD0"/>
    <w:rsid w:val="009B15E0"/>
    <w:rsid w:val="009B20F6"/>
    <w:rsid w:val="009B2DF0"/>
    <w:rsid w:val="009B3902"/>
    <w:rsid w:val="009B3B6B"/>
    <w:rsid w:val="009B3CEA"/>
    <w:rsid w:val="009B3E21"/>
    <w:rsid w:val="009B3F2A"/>
    <w:rsid w:val="009B4856"/>
    <w:rsid w:val="009B4C14"/>
    <w:rsid w:val="009B4E8F"/>
    <w:rsid w:val="009B50E9"/>
    <w:rsid w:val="009B5216"/>
    <w:rsid w:val="009B6772"/>
    <w:rsid w:val="009B682F"/>
    <w:rsid w:val="009B6FA5"/>
    <w:rsid w:val="009B72B0"/>
    <w:rsid w:val="009C01E6"/>
    <w:rsid w:val="009C044B"/>
    <w:rsid w:val="009C09A8"/>
    <w:rsid w:val="009C196A"/>
    <w:rsid w:val="009C242B"/>
    <w:rsid w:val="009C2960"/>
    <w:rsid w:val="009C3656"/>
    <w:rsid w:val="009C3F2F"/>
    <w:rsid w:val="009C3F58"/>
    <w:rsid w:val="009C421E"/>
    <w:rsid w:val="009C495D"/>
    <w:rsid w:val="009C4AF0"/>
    <w:rsid w:val="009C4CF6"/>
    <w:rsid w:val="009C502A"/>
    <w:rsid w:val="009C5033"/>
    <w:rsid w:val="009C5987"/>
    <w:rsid w:val="009C5AF2"/>
    <w:rsid w:val="009C5B16"/>
    <w:rsid w:val="009C71D9"/>
    <w:rsid w:val="009C7B3E"/>
    <w:rsid w:val="009D1176"/>
    <w:rsid w:val="009D14E5"/>
    <w:rsid w:val="009D1FDE"/>
    <w:rsid w:val="009D4702"/>
    <w:rsid w:val="009D5BF8"/>
    <w:rsid w:val="009D61E0"/>
    <w:rsid w:val="009D6963"/>
    <w:rsid w:val="009D6BAE"/>
    <w:rsid w:val="009D6F7E"/>
    <w:rsid w:val="009E1952"/>
    <w:rsid w:val="009E221B"/>
    <w:rsid w:val="009E26B8"/>
    <w:rsid w:val="009E26DB"/>
    <w:rsid w:val="009E28AA"/>
    <w:rsid w:val="009E2D2B"/>
    <w:rsid w:val="009E319D"/>
    <w:rsid w:val="009E3422"/>
    <w:rsid w:val="009E3540"/>
    <w:rsid w:val="009E4897"/>
    <w:rsid w:val="009E4BC3"/>
    <w:rsid w:val="009E4DF6"/>
    <w:rsid w:val="009E4DFB"/>
    <w:rsid w:val="009E501E"/>
    <w:rsid w:val="009E507A"/>
    <w:rsid w:val="009E6284"/>
    <w:rsid w:val="009E6335"/>
    <w:rsid w:val="009E6C1D"/>
    <w:rsid w:val="009E7DD0"/>
    <w:rsid w:val="009F08B3"/>
    <w:rsid w:val="009F0B33"/>
    <w:rsid w:val="009F0F65"/>
    <w:rsid w:val="009F1833"/>
    <w:rsid w:val="009F1EE0"/>
    <w:rsid w:val="009F2E62"/>
    <w:rsid w:val="009F2E8F"/>
    <w:rsid w:val="009F35D0"/>
    <w:rsid w:val="009F41C8"/>
    <w:rsid w:val="009F4439"/>
    <w:rsid w:val="009F4F76"/>
    <w:rsid w:val="009F4FED"/>
    <w:rsid w:val="009F5A00"/>
    <w:rsid w:val="009F5C6A"/>
    <w:rsid w:val="009F5EE3"/>
    <w:rsid w:val="009F6722"/>
    <w:rsid w:val="009F67F1"/>
    <w:rsid w:val="009F6CBD"/>
    <w:rsid w:val="009F7E10"/>
    <w:rsid w:val="00A001ED"/>
    <w:rsid w:val="00A00B85"/>
    <w:rsid w:val="00A017D8"/>
    <w:rsid w:val="00A021BF"/>
    <w:rsid w:val="00A02BB3"/>
    <w:rsid w:val="00A02E3B"/>
    <w:rsid w:val="00A039C0"/>
    <w:rsid w:val="00A0434B"/>
    <w:rsid w:val="00A0480C"/>
    <w:rsid w:val="00A06955"/>
    <w:rsid w:val="00A06B89"/>
    <w:rsid w:val="00A072E0"/>
    <w:rsid w:val="00A07A4A"/>
    <w:rsid w:val="00A07B31"/>
    <w:rsid w:val="00A10112"/>
    <w:rsid w:val="00A10CF4"/>
    <w:rsid w:val="00A10F49"/>
    <w:rsid w:val="00A115D3"/>
    <w:rsid w:val="00A119E7"/>
    <w:rsid w:val="00A12288"/>
    <w:rsid w:val="00A12374"/>
    <w:rsid w:val="00A1322C"/>
    <w:rsid w:val="00A14464"/>
    <w:rsid w:val="00A1604D"/>
    <w:rsid w:val="00A16686"/>
    <w:rsid w:val="00A16FE3"/>
    <w:rsid w:val="00A17D33"/>
    <w:rsid w:val="00A205BB"/>
    <w:rsid w:val="00A20CFC"/>
    <w:rsid w:val="00A21796"/>
    <w:rsid w:val="00A223EE"/>
    <w:rsid w:val="00A2302D"/>
    <w:rsid w:val="00A233E4"/>
    <w:rsid w:val="00A236C8"/>
    <w:rsid w:val="00A2387B"/>
    <w:rsid w:val="00A23BEE"/>
    <w:rsid w:val="00A242C5"/>
    <w:rsid w:val="00A2445C"/>
    <w:rsid w:val="00A2447D"/>
    <w:rsid w:val="00A24E65"/>
    <w:rsid w:val="00A26477"/>
    <w:rsid w:val="00A26D0A"/>
    <w:rsid w:val="00A26D93"/>
    <w:rsid w:val="00A26E48"/>
    <w:rsid w:val="00A26F88"/>
    <w:rsid w:val="00A27C68"/>
    <w:rsid w:val="00A3217C"/>
    <w:rsid w:val="00A326FD"/>
    <w:rsid w:val="00A32BEB"/>
    <w:rsid w:val="00A32E7F"/>
    <w:rsid w:val="00A3370B"/>
    <w:rsid w:val="00A33946"/>
    <w:rsid w:val="00A33D61"/>
    <w:rsid w:val="00A33E32"/>
    <w:rsid w:val="00A35007"/>
    <w:rsid w:val="00A35835"/>
    <w:rsid w:val="00A358A1"/>
    <w:rsid w:val="00A36812"/>
    <w:rsid w:val="00A36853"/>
    <w:rsid w:val="00A37894"/>
    <w:rsid w:val="00A40703"/>
    <w:rsid w:val="00A408F4"/>
    <w:rsid w:val="00A40DD3"/>
    <w:rsid w:val="00A41122"/>
    <w:rsid w:val="00A414E6"/>
    <w:rsid w:val="00A41B58"/>
    <w:rsid w:val="00A41EEE"/>
    <w:rsid w:val="00A42548"/>
    <w:rsid w:val="00A4272C"/>
    <w:rsid w:val="00A42B5C"/>
    <w:rsid w:val="00A432A9"/>
    <w:rsid w:val="00A4563F"/>
    <w:rsid w:val="00A46395"/>
    <w:rsid w:val="00A46406"/>
    <w:rsid w:val="00A46458"/>
    <w:rsid w:val="00A47861"/>
    <w:rsid w:val="00A47E08"/>
    <w:rsid w:val="00A50C7B"/>
    <w:rsid w:val="00A50DCE"/>
    <w:rsid w:val="00A52EB3"/>
    <w:rsid w:val="00A530B2"/>
    <w:rsid w:val="00A531B2"/>
    <w:rsid w:val="00A534D1"/>
    <w:rsid w:val="00A53B43"/>
    <w:rsid w:val="00A555A0"/>
    <w:rsid w:val="00A559CE"/>
    <w:rsid w:val="00A55F3D"/>
    <w:rsid w:val="00A560B6"/>
    <w:rsid w:val="00A566BC"/>
    <w:rsid w:val="00A56774"/>
    <w:rsid w:val="00A5694A"/>
    <w:rsid w:val="00A57656"/>
    <w:rsid w:val="00A5797C"/>
    <w:rsid w:val="00A57C30"/>
    <w:rsid w:val="00A6000B"/>
    <w:rsid w:val="00A606D3"/>
    <w:rsid w:val="00A60FF3"/>
    <w:rsid w:val="00A61763"/>
    <w:rsid w:val="00A61C70"/>
    <w:rsid w:val="00A61FE1"/>
    <w:rsid w:val="00A62C6A"/>
    <w:rsid w:val="00A63490"/>
    <w:rsid w:val="00A6413E"/>
    <w:rsid w:val="00A64D86"/>
    <w:rsid w:val="00A65540"/>
    <w:rsid w:val="00A658EF"/>
    <w:rsid w:val="00A66C3B"/>
    <w:rsid w:val="00A67B6B"/>
    <w:rsid w:val="00A67F35"/>
    <w:rsid w:val="00A71008"/>
    <w:rsid w:val="00A7174F"/>
    <w:rsid w:val="00A71F5A"/>
    <w:rsid w:val="00A734D1"/>
    <w:rsid w:val="00A744BD"/>
    <w:rsid w:val="00A74E4B"/>
    <w:rsid w:val="00A75277"/>
    <w:rsid w:val="00A75826"/>
    <w:rsid w:val="00A75ED9"/>
    <w:rsid w:val="00A76069"/>
    <w:rsid w:val="00A762F4"/>
    <w:rsid w:val="00A7695A"/>
    <w:rsid w:val="00A77168"/>
    <w:rsid w:val="00A77192"/>
    <w:rsid w:val="00A776AE"/>
    <w:rsid w:val="00A776D9"/>
    <w:rsid w:val="00A77EC8"/>
    <w:rsid w:val="00A826BB"/>
    <w:rsid w:val="00A82875"/>
    <w:rsid w:val="00A831A7"/>
    <w:rsid w:val="00A845FE"/>
    <w:rsid w:val="00A84E02"/>
    <w:rsid w:val="00A8551B"/>
    <w:rsid w:val="00A8677D"/>
    <w:rsid w:val="00A90524"/>
    <w:rsid w:val="00A90A1C"/>
    <w:rsid w:val="00A90D44"/>
    <w:rsid w:val="00A91248"/>
    <w:rsid w:val="00A917DC"/>
    <w:rsid w:val="00A918E5"/>
    <w:rsid w:val="00A919F6"/>
    <w:rsid w:val="00A9228D"/>
    <w:rsid w:val="00A926F6"/>
    <w:rsid w:val="00A92A6D"/>
    <w:rsid w:val="00A9303E"/>
    <w:rsid w:val="00A93599"/>
    <w:rsid w:val="00A954FF"/>
    <w:rsid w:val="00A96023"/>
    <w:rsid w:val="00A96632"/>
    <w:rsid w:val="00A96D5B"/>
    <w:rsid w:val="00A97032"/>
    <w:rsid w:val="00A97530"/>
    <w:rsid w:val="00A97E57"/>
    <w:rsid w:val="00AA083F"/>
    <w:rsid w:val="00AA08CA"/>
    <w:rsid w:val="00AA0C95"/>
    <w:rsid w:val="00AA18B6"/>
    <w:rsid w:val="00AA223A"/>
    <w:rsid w:val="00AA250B"/>
    <w:rsid w:val="00AA29A7"/>
    <w:rsid w:val="00AA2FEB"/>
    <w:rsid w:val="00AA36E0"/>
    <w:rsid w:val="00AA3F14"/>
    <w:rsid w:val="00AA42CF"/>
    <w:rsid w:val="00AA49A9"/>
    <w:rsid w:val="00AA4ADF"/>
    <w:rsid w:val="00AA4B39"/>
    <w:rsid w:val="00AA4D76"/>
    <w:rsid w:val="00AA5357"/>
    <w:rsid w:val="00AA5827"/>
    <w:rsid w:val="00AA59B6"/>
    <w:rsid w:val="00AA5D59"/>
    <w:rsid w:val="00AA64A8"/>
    <w:rsid w:val="00AA6CD3"/>
    <w:rsid w:val="00AA731D"/>
    <w:rsid w:val="00AA7381"/>
    <w:rsid w:val="00AA7B99"/>
    <w:rsid w:val="00AB08DB"/>
    <w:rsid w:val="00AB0C7D"/>
    <w:rsid w:val="00AB17DA"/>
    <w:rsid w:val="00AB1980"/>
    <w:rsid w:val="00AB2967"/>
    <w:rsid w:val="00AB297E"/>
    <w:rsid w:val="00AB3C07"/>
    <w:rsid w:val="00AB4C95"/>
    <w:rsid w:val="00AB4F1F"/>
    <w:rsid w:val="00AB5964"/>
    <w:rsid w:val="00AB5C02"/>
    <w:rsid w:val="00AB5F1B"/>
    <w:rsid w:val="00AB6A55"/>
    <w:rsid w:val="00AB6DA1"/>
    <w:rsid w:val="00AB722E"/>
    <w:rsid w:val="00AB7317"/>
    <w:rsid w:val="00AC0376"/>
    <w:rsid w:val="00AC2280"/>
    <w:rsid w:val="00AC27DE"/>
    <w:rsid w:val="00AC3164"/>
    <w:rsid w:val="00AC319B"/>
    <w:rsid w:val="00AC3547"/>
    <w:rsid w:val="00AC3F0B"/>
    <w:rsid w:val="00AC44AF"/>
    <w:rsid w:val="00AC5111"/>
    <w:rsid w:val="00AC58BD"/>
    <w:rsid w:val="00AC5ACC"/>
    <w:rsid w:val="00AC5BC3"/>
    <w:rsid w:val="00AC6DE1"/>
    <w:rsid w:val="00AC72E9"/>
    <w:rsid w:val="00AC77F9"/>
    <w:rsid w:val="00AC7820"/>
    <w:rsid w:val="00AD0208"/>
    <w:rsid w:val="00AD09EC"/>
    <w:rsid w:val="00AD0A01"/>
    <w:rsid w:val="00AD1127"/>
    <w:rsid w:val="00AD2444"/>
    <w:rsid w:val="00AD277E"/>
    <w:rsid w:val="00AD2B7F"/>
    <w:rsid w:val="00AD341A"/>
    <w:rsid w:val="00AD3F5D"/>
    <w:rsid w:val="00AD484F"/>
    <w:rsid w:val="00AD608E"/>
    <w:rsid w:val="00AD64E0"/>
    <w:rsid w:val="00AD681C"/>
    <w:rsid w:val="00AD6DB9"/>
    <w:rsid w:val="00AD6FBE"/>
    <w:rsid w:val="00AD7AE0"/>
    <w:rsid w:val="00AE0557"/>
    <w:rsid w:val="00AE095F"/>
    <w:rsid w:val="00AE0E3D"/>
    <w:rsid w:val="00AE116F"/>
    <w:rsid w:val="00AE1249"/>
    <w:rsid w:val="00AE1934"/>
    <w:rsid w:val="00AE2082"/>
    <w:rsid w:val="00AE21A1"/>
    <w:rsid w:val="00AE342E"/>
    <w:rsid w:val="00AE3D2B"/>
    <w:rsid w:val="00AE3E78"/>
    <w:rsid w:val="00AE48FA"/>
    <w:rsid w:val="00AE648D"/>
    <w:rsid w:val="00AE6FED"/>
    <w:rsid w:val="00AE73DF"/>
    <w:rsid w:val="00AF09A9"/>
    <w:rsid w:val="00AF1A76"/>
    <w:rsid w:val="00AF1CD2"/>
    <w:rsid w:val="00AF1E6A"/>
    <w:rsid w:val="00AF2211"/>
    <w:rsid w:val="00AF2C25"/>
    <w:rsid w:val="00AF38D1"/>
    <w:rsid w:val="00AF3A7C"/>
    <w:rsid w:val="00AF51ED"/>
    <w:rsid w:val="00AF55D0"/>
    <w:rsid w:val="00AF57A6"/>
    <w:rsid w:val="00AF5B40"/>
    <w:rsid w:val="00AF5BFA"/>
    <w:rsid w:val="00AF684C"/>
    <w:rsid w:val="00AF72E5"/>
    <w:rsid w:val="00AF740B"/>
    <w:rsid w:val="00B00058"/>
    <w:rsid w:val="00B000A7"/>
    <w:rsid w:val="00B00105"/>
    <w:rsid w:val="00B001D4"/>
    <w:rsid w:val="00B002C1"/>
    <w:rsid w:val="00B01154"/>
    <w:rsid w:val="00B021B3"/>
    <w:rsid w:val="00B03163"/>
    <w:rsid w:val="00B03562"/>
    <w:rsid w:val="00B035DF"/>
    <w:rsid w:val="00B04443"/>
    <w:rsid w:val="00B049EC"/>
    <w:rsid w:val="00B061DA"/>
    <w:rsid w:val="00B06A66"/>
    <w:rsid w:val="00B07EEE"/>
    <w:rsid w:val="00B07F64"/>
    <w:rsid w:val="00B11929"/>
    <w:rsid w:val="00B11A56"/>
    <w:rsid w:val="00B11B17"/>
    <w:rsid w:val="00B11F59"/>
    <w:rsid w:val="00B120C4"/>
    <w:rsid w:val="00B12122"/>
    <w:rsid w:val="00B1244F"/>
    <w:rsid w:val="00B1305A"/>
    <w:rsid w:val="00B13AF4"/>
    <w:rsid w:val="00B14C8F"/>
    <w:rsid w:val="00B15711"/>
    <w:rsid w:val="00B159D9"/>
    <w:rsid w:val="00B15B60"/>
    <w:rsid w:val="00B15CA4"/>
    <w:rsid w:val="00B16133"/>
    <w:rsid w:val="00B1652E"/>
    <w:rsid w:val="00B175C3"/>
    <w:rsid w:val="00B1771F"/>
    <w:rsid w:val="00B17872"/>
    <w:rsid w:val="00B178DE"/>
    <w:rsid w:val="00B17A40"/>
    <w:rsid w:val="00B17F17"/>
    <w:rsid w:val="00B2049C"/>
    <w:rsid w:val="00B20A38"/>
    <w:rsid w:val="00B20AB7"/>
    <w:rsid w:val="00B20DC0"/>
    <w:rsid w:val="00B2107B"/>
    <w:rsid w:val="00B21AF7"/>
    <w:rsid w:val="00B22276"/>
    <w:rsid w:val="00B2227B"/>
    <w:rsid w:val="00B22839"/>
    <w:rsid w:val="00B229D0"/>
    <w:rsid w:val="00B2317F"/>
    <w:rsid w:val="00B23265"/>
    <w:rsid w:val="00B237E1"/>
    <w:rsid w:val="00B239AC"/>
    <w:rsid w:val="00B2412E"/>
    <w:rsid w:val="00B245DA"/>
    <w:rsid w:val="00B24670"/>
    <w:rsid w:val="00B26E27"/>
    <w:rsid w:val="00B27770"/>
    <w:rsid w:val="00B27A4E"/>
    <w:rsid w:val="00B27AEC"/>
    <w:rsid w:val="00B300DC"/>
    <w:rsid w:val="00B302CD"/>
    <w:rsid w:val="00B302F6"/>
    <w:rsid w:val="00B303DF"/>
    <w:rsid w:val="00B305F1"/>
    <w:rsid w:val="00B30744"/>
    <w:rsid w:val="00B32E39"/>
    <w:rsid w:val="00B336FB"/>
    <w:rsid w:val="00B33DB8"/>
    <w:rsid w:val="00B33F37"/>
    <w:rsid w:val="00B34407"/>
    <w:rsid w:val="00B345C2"/>
    <w:rsid w:val="00B35380"/>
    <w:rsid w:val="00B35573"/>
    <w:rsid w:val="00B355BB"/>
    <w:rsid w:val="00B359F5"/>
    <w:rsid w:val="00B37892"/>
    <w:rsid w:val="00B4012F"/>
    <w:rsid w:val="00B407E4"/>
    <w:rsid w:val="00B40861"/>
    <w:rsid w:val="00B40991"/>
    <w:rsid w:val="00B41039"/>
    <w:rsid w:val="00B4109C"/>
    <w:rsid w:val="00B41143"/>
    <w:rsid w:val="00B42BE2"/>
    <w:rsid w:val="00B42E9B"/>
    <w:rsid w:val="00B4313D"/>
    <w:rsid w:val="00B4438E"/>
    <w:rsid w:val="00B4459E"/>
    <w:rsid w:val="00B4481F"/>
    <w:rsid w:val="00B45683"/>
    <w:rsid w:val="00B45AA6"/>
    <w:rsid w:val="00B45FEE"/>
    <w:rsid w:val="00B460FF"/>
    <w:rsid w:val="00B463A0"/>
    <w:rsid w:val="00B4692C"/>
    <w:rsid w:val="00B46EA6"/>
    <w:rsid w:val="00B500AC"/>
    <w:rsid w:val="00B50203"/>
    <w:rsid w:val="00B51E39"/>
    <w:rsid w:val="00B51E56"/>
    <w:rsid w:val="00B52B2F"/>
    <w:rsid w:val="00B5341B"/>
    <w:rsid w:val="00B53BBF"/>
    <w:rsid w:val="00B53DB6"/>
    <w:rsid w:val="00B54BB2"/>
    <w:rsid w:val="00B54C12"/>
    <w:rsid w:val="00B55914"/>
    <w:rsid w:val="00B56103"/>
    <w:rsid w:val="00B5650D"/>
    <w:rsid w:val="00B56CDA"/>
    <w:rsid w:val="00B57103"/>
    <w:rsid w:val="00B576B8"/>
    <w:rsid w:val="00B576EC"/>
    <w:rsid w:val="00B600BA"/>
    <w:rsid w:val="00B60104"/>
    <w:rsid w:val="00B60224"/>
    <w:rsid w:val="00B60B52"/>
    <w:rsid w:val="00B60E08"/>
    <w:rsid w:val="00B61475"/>
    <w:rsid w:val="00B61A90"/>
    <w:rsid w:val="00B61D6A"/>
    <w:rsid w:val="00B63053"/>
    <w:rsid w:val="00B6323B"/>
    <w:rsid w:val="00B6337D"/>
    <w:rsid w:val="00B63732"/>
    <w:rsid w:val="00B63AB5"/>
    <w:rsid w:val="00B63B3B"/>
    <w:rsid w:val="00B64697"/>
    <w:rsid w:val="00B65300"/>
    <w:rsid w:val="00B65411"/>
    <w:rsid w:val="00B6555A"/>
    <w:rsid w:val="00B65740"/>
    <w:rsid w:val="00B66555"/>
    <w:rsid w:val="00B66B30"/>
    <w:rsid w:val="00B66D5E"/>
    <w:rsid w:val="00B709C8"/>
    <w:rsid w:val="00B70BEF"/>
    <w:rsid w:val="00B70C45"/>
    <w:rsid w:val="00B71393"/>
    <w:rsid w:val="00B713E2"/>
    <w:rsid w:val="00B71886"/>
    <w:rsid w:val="00B71A05"/>
    <w:rsid w:val="00B72103"/>
    <w:rsid w:val="00B7214F"/>
    <w:rsid w:val="00B724C2"/>
    <w:rsid w:val="00B73323"/>
    <w:rsid w:val="00B73924"/>
    <w:rsid w:val="00B73C6E"/>
    <w:rsid w:val="00B73E3D"/>
    <w:rsid w:val="00B74BF3"/>
    <w:rsid w:val="00B75013"/>
    <w:rsid w:val="00B75179"/>
    <w:rsid w:val="00B7537D"/>
    <w:rsid w:val="00B75C9C"/>
    <w:rsid w:val="00B762BF"/>
    <w:rsid w:val="00B76419"/>
    <w:rsid w:val="00B768FF"/>
    <w:rsid w:val="00B76CA6"/>
    <w:rsid w:val="00B77F10"/>
    <w:rsid w:val="00B803B5"/>
    <w:rsid w:val="00B804E2"/>
    <w:rsid w:val="00B806A3"/>
    <w:rsid w:val="00B808B3"/>
    <w:rsid w:val="00B8130C"/>
    <w:rsid w:val="00B82826"/>
    <w:rsid w:val="00B82EC3"/>
    <w:rsid w:val="00B831FF"/>
    <w:rsid w:val="00B83582"/>
    <w:rsid w:val="00B839AC"/>
    <w:rsid w:val="00B83DBC"/>
    <w:rsid w:val="00B845B2"/>
    <w:rsid w:val="00B849D2"/>
    <w:rsid w:val="00B84F0B"/>
    <w:rsid w:val="00B8515F"/>
    <w:rsid w:val="00B868E0"/>
    <w:rsid w:val="00B86CC8"/>
    <w:rsid w:val="00B87E1A"/>
    <w:rsid w:val="00B91169"/>
    <w:rsid w:val="00B91291"/>
    <w:rsid w:val="00B915D3"/>
    <w:rsid w:val="00B91A22"/>
    <w:rsid w:val="00B9247F"/>
    <w:rsid w:val="00B9259A"/>
    <w:rsid w:val="00B92B22"/>
    <w:rsid w:val="00B93788"/>
    <w:rsid w:val="00B9401D"/>
    <w:rsid w:val="00B94B12"/>
    <w:rsid w:val="00B951DA"/>
    <w:rsid w:val="00B95685"/>
    <w:rsid w:val="00B95AE1"/>
    <w:rsid w:val="00B96BB8"/>
    <w:rsid w:val="00B96D14"/>
    <w:rsid w:val="00B97792"/>
    <w:rsid w:val="00B97E54"/>
    <w:rsid w:val="00BA06B4"/>
    <w:rsid w:val="00BA07D2"/>
    <w:rsid w:val="00BA14C4"/>
    <w:rsid w:val="00BA1616"/>
    <w:rsid w:val="00BA18B4"/>
    <w:rsid w:val="00BA24E7"/>
    <w:rsid w:val="00BA3030"/>
    <w:rsid w:val="00BA41D0"/>
    <w:rsid w:val="00BA446B"/>
    <w:rsid w:val="00BA45C7"/>
    <w:rsid w:val="00BA6031"/>
    <w:rsid w:val="00BA6053"/>
    <w:rsid w:val="00BA6836"/>
    <w:rsid w:val="00BA6B12"/>
    <w:rsid w:val="00BA72F5"/>
    <w:rsid w:val="00BA77F6"/>
    <w:rsid w:val="00BA7CA7"/>
    <w:rsid w:val="00BB10EC"/>
    <w:rsid w:val="00BB1194"/>
    <w:rsid w:val="00BB1CA9"/>
    <w:rsid w:val="00BB1E4E"/>
    <w:rsid w:val="00BB21CC"/>
    <w:rsid w:val="00BB2301"/>
    <w:rsid w:val="00BB2DFB"/>
    <w:rsid w:val="00BB30DA"/>
    <w:rsid w:val="00BB3162"/>
    <w:rsid w:val="00BB34DD"/>
    <w:rsid w:val="00BB35D1"/>
    <w:rsid w:val="00BB374C"/>
    <w:rsid w:val="00BB4044"/>
    <w:rsid w:val="00BB429E"/>
    <w:rsid w:val="00BB458F"/>
    <w:rsid w:val="00BB4845"/>
    <w:rsid w:val="00BB540B"/>
    <w:rsid w:val="00BB63E3"/>
    <w:rsid w:val="00BB7966"/>
    <w:rsid w:val="00BB7C5B"/>
    <w:rsid w:val="00BC18A3"/>
    <w:rsid w:val="00BC19A0"/>
    <w:rsid w:val="00BC2650"/>
    <w:rsid w:val="00BC3504"/>
    <w:rsid w:val="00BC3573"/>
    <w:rsid w:val="00BC37DE"/>
    <w:rsid w:val="00BC37F5"/>
    <w:rsid w:val="00BC3B8C"/>
    <w:rsid w:val="00BC3F4B"/>
    <w:rsid w:val="00BC4408"/>
    <w:rsid w:val="00BC4DAB"/>
    <w:rsid w:val="00BC4EC0"/>
    <w:rsid w:val="00BC51EE"/>
    <w:rsid w:val="00BC5C71"/>
    <w:rsid w:val="00BC5DD4"/>
    <w:rsid w:val="00BC5FEC"/>
    <w:rsid w:val="00BC720D"/>
    <w:rsid w:val="00BC798D"/>
    <w:rsid w:val="00BD077D"/>
    <w:rsid w:val="00BD0B36"/>
    <w:rsid w:val="00BD0C83"/>
    <w:rsid w:val="00BD11F0"/>
    <w:rsid w:val="00BD237E"/>
    <w:rsid w:val="00BD2471"/>
    <w:rsid w:val="00BD2DFA"/>
    <w:rsid w:val="00BD32C9"/>
    <w:rsid w:val="00BD3409"/>
    <w:rsid w:val="00BD4022"/>
    <w:rsid w:val="00BD40DC"/>
    <w:rsid w:val="00BD48F6"/>
    <w:rsid w:val="00BD509D"/>
    <w:rsid w:val="00BD5831"/>
    <w:rsid w:val="00BD59FA"/>
    <w:rsid w:val="00BD6899"/>
    <w:rsid w:val="00BD6AA7"/>
    <w:rsid w:val="00BD703E"/>
    <w:rsid w:val="00BD72D0"/>
    <w:rsid w:val="00BD778E"/>
    <w:rsid w:val="00BE07AE"/>
    <w:rsid w:val="00BE0846"/>
    <w:rsid w:val="00BE0DB4"/>
    <w:rsid w:val="00BE122F"/>
    <w:rsid w:val="00BE15E8"/>
    <w:rsid w:val="00BE19D0"/>
    <w:rsid w:val="00BE24F1"/>
    <w:rsid w:val="00BE335C"/>
    <w:rsid w:val="00BE3C91"/>
    <w:rsid w:val="00BE3D1D"/>
    <w:rsid w:val="00BE42FC"/>
    <w:rsid w:val="00BE489D"/>
    <w:rsid w:val="00BE4D60"/>
    <w:rsid w:val="00BE5137"/>
    <w:rsid w:val="00BE5368"/>
    <w:rsid w:val="00BE611C"/>
    <w:rsid w:val="00BE6890"/>
    <w:rsid w:val="00BE68C1"/>
    <w:rsid w:val="00BE69A3"/>
    <w:rsid w:val="00BE6A6C"/>
    <w:rsid w:val="00BE72D6"/>
    <w:rsid w:val="00BE7F4A"/>
    <w:rsid w:val="00BF05A7"/>
    <w:rsid w:val="00BF06F6"/>
    <w:rsid w:val="00BF0A3B"/>
    <w:rsid w:val="00BF0B90"/>
    <w:rsid w:val="00BF0E15"/>
    <w:rsid w:val="00BF1F2B"/>
    <w:rsid w:val="00BF246E"/>
    <w:rsid w:val="00BF2816"/>
    <w:rsid w:val="00BF2D31"/>
    <w:rsid w:val="00BF3517"/>
    <w:rsid w:val="00BF40CF"/>
    <w:rsid w:val="00BF43DB"/>
    <w:rsid w:val="00BF44B8"/>
    <w:rsid w:val="00BF531F"/>
    <w:rsid w:val="00BF5AB8"/>
    <w:rsid w:val="00BF5C41"/>
    <w:rsid w:val="00BF6045"/>
    <w:rsid w:val="00BF6603"/>
    <w:rsid w:val="00BF6F20"/>
    <w:rsid w:val="00BF70D1"/>
    <w:rsid w:val="00BF7474"/>
    <w:rsid w:val="00BF7BEF"/>
    <w:rsid w:val="00C000F9"/>
    <w:rsid w:val="00C00C5C"/>
    <w:rsid w:val="00C0151E"/>
    <w:rsid w:val="00C018B0"/>
    <w:rsid w:val="00C01FE0"/>
    <w:rsid w:val="00C021B7"/>
    <w:rsid w:val="00C02381"/>
    <w:rsid w:val="00C027AB"/>
    <w:rsid w:val="00C047B2"/>
    <w:rsid w:val="00C0525C"/>
    <w:rsid w:val="00C059AD"/>
    <w:rsid w:val="00C05B70"/>
    <w:rsid w:val="00C05B96"/>
    <w:rsid w:val="00C06857"/>
    <w:rsid w:val="00C06C75"/>
    <w:rsid w:val="00C06E80"/>
    <w:rsid w:val="00C07245"/>
    <w:rsid w:val="00C07279"/>
    <w:rsid w:val="00C0743A"/>
    <w:rsid w:val="00C077EB"/>
    <w:rsid w:val="00C10594"/>
    <w:rsid w:val="00C10AA8"/>
    <w:rsid w:val="00C11153"/>
    <w:rsid w:val="00C116C8"/>
    <w:rsid w:val="00C120CC"/>
    <w:rsid w:val="00C12D3D"/>
    <w:rsid w:val="00C13F21"/>
    <w:rsid w:val="00C14416"/>
    <w:rsid w:val="00C14B2A"/>
    <w:rsid w:val="00C14CEF"/>
    <w:rsid w:val="00C14D10"/>
    <w:rsid w:val="00C159C0"/>
    <w:rsid w:val="00C15C9A"/>
    <w:rsid w:val="00C17684"/>
    <w:rsid w:val="00C176EE"/>
    <w:rsid w:val="00C20130"/>
    <w:rsid w:val="00C207E0"/>
    <w:rsid w:val="00C20A43"/>
    <w:rsid w:val="00C212C9"/>
    <w:rsid w:val="00C21A01"/>
    <w:rsid w:val="00C21AC9"/>
    <w:rsid w:val="00C21F4B"/>
    <w:rsid w:val="00C22460"/>
    <w:rsid w:val="00C22D99"/>
    <w:rsid w:val="00C22FBF"/>
    <w:rsid w:val="00C23580"/>
    <w:rsid w:val="00C23881"/>
    <w:rsid w:val="00C238C4"/>
    <w:rsid w:val="00C2443E"/>
    <w:rsid w:val="00C2506C"/>
    <w:rsid w:val="00C25D30"/>
    <w:rsid w:val="00C26074"/>
    <w:rsid w:val="00C277AE"/>
    <w:rsid w:val="00C27DA9"/>
    <w:rsid w:val="00C27F76"/>
    <w:rsid w:val="00C30590"/>
    <w:rsid w:val="00C3178B"/>
    <w:rsid w:val="00C329A6"/>
    <w:rsid w:val="00C3365D"/>
    <w:rsid w:val="00C336BE"/>
    <w:rsid w:val="00C33F8A"/>
    <w:rsid w:val="00C3469B"/>
    <w:rsid w:val="00C34AEA"/>
    <w:rsid w:val="00C34BFA"/>
    <w:rsid w:val="00C34E3C"/>
    <w:rsid w:val="00C3597B"/>
    <w:rsid w:val="00C35DF2"/>
    <w:rsid w:val="00C363EF"/>
    <w:rsid w:val="00C370A7"/>
    <w:rsid w:val="00C37E3C"/>
    <w:rsid w:val="00C40350"/>
    <w:rsid w:val="00C40E22"/>
    <w:rsid w:val="00C41179"/>
    <w:rsid w:val="00C42109"/>
    <w:rsid w:val="00C421FE"/>
    <w:rsid w:val="00C42370"/>
    <w:rsid w:val="00C43429"/>
    <w:rsid w:val="00C437FB"/>
    <w:rsid w:val="00C44260"/>
    <w:rsid w:val="00C4449D"/>
    <w:rsid w:val="00C4479E"/>
    <w:rsid w:val="00C448CB"/>
    <w:rsid w:val="00C45647"/>
    <w:rsid w:val="00C458F4"/>
    <w:rsid w:val="00C4789B"/>
    <w:rsid w:val="00C47922"/>
    <w:rsid w:val="00C50322"/>
    <w:rsid w:val="00C50660"/>
    <w:rsid w:val="00C509B3"/>
    <w:rsid w:val="00C51673"/>
    <w:rsid w:val="00C516BE"/>
    <w:rsid w:val="00C5182C"/>
    <w:rsid w:val="00C523BD"/>
    <w:rsid w:val="00C52415"/>
    <w:rsid w:val="00C5247C"/>
    <w:rsid w:val="00C5297A"/>
    <w:rsid w:val="00C52CDD"/>
    <w:rsid w:val="00C5369E"/>
    <w:rsid w:val="00C53B5B"/>
    <w:rsid w:val="00C5498F"/>
    <w:rsid w:val="00C55381"/>
    <w:rsid w:val="00C5544A"/>
    <w:rsid w:val="00C55504"/>
    <w:rsid w:val="00C55673"/>
    <w:rsid w:val="00C56413"/>
    <w:rsid w:val="00C56B5E"/>
    <w:rsid w:val="00C57377"/>
    <w:rsid w:val="00C577F2"/>
    <w:rsid w:val="00C578AD"/>
    <w:rsid w:val="00C57B8A"/>
    <w:rsid w:val="00C57F6F"/>
    <w:rsid w:val="00C60532"/>
    <w:rsid w:val="00C60A07"/>
    <w:rsid w:val="00C60CBA"/>
    <w:rsid w:val="00C610B6"/>
    <w:rsid w:val="00C61321"/>
    <w:rsid w:val="00C61E8C"/>
    <w:rsid w:val="00C621A2"/>
    <w:rsid w:val="00C62BDA"/>
    <w:rsid w:val="00C635EB"/>
    <w:rsid w:val="00C649B2"/>
    <w:rsid w:val="00C6553C"/>
    <w:rsid w:val="00C65B67"/>
    <w:rsid w:val="00C65F41"/>
    <w:rsid w:val="00C66717"/>
    <w:rsid w:val="00C6697B"/>
    <w:rsid w:val="00C66A6A"/>
    <w:rsid w:val="00C66CFB"/>
    <w:rsid w:val="00C670DA"/>
    <w:rsid w:val="00C700F8"/>
    <w:rsid w:val="00C7050A"/>
    <w:rsid w:val="00C70C42"/>
    <w:rsid w:val="00C70E19"/>
    <w:rsid w:val="00C71138"/>
    <w:rsid w:val="00C71EC3"/>
    <w:rsid w:val="00C7294C"/>
    <w:rsid w:val="00C72B17"/>
    <w:rsid w:val="00C72F88"/>
    <w:rsid w:val="00C730D2"/>
    <w:rsid w:val="00C734FF"/>
    <w:rsid w:val="00C74A34"/>
    <w:rsid w:val="00C752E9"/>
    <w:rsid w:val="00C75A4A"/>
    <w:rsid w:val="00C75D97"/>
    <w:rsid w:val="00C75F12"/>
    <w:rsid w:val="00C76D67"/>
    <w:rsid w:val="00C77174"/>
    <w:rsid w:val="00C7722B"/>
    <w:rsid w:val="00C77B9F"/>
    <w:rsid w:val="00C80246"/>
    <w:rsid w:val="00C802E3"/>
    <w:rsid w:val="00C8066D"/>
    <w:rsid w:val="00C808A5"/>
    <w:rsid w:val="00C81706"/>
    <w:rsid w:val="00C82204"/>
    <w:rsid w:val="00C822E3"/>
    <w:rsid w:val="00C8237E"/>
    <w:rsid w:val="00C82867"/>
    <w:rsid w:val="00C82EF9"/>
    <w:rsid w:val="00C835BC"/>
    <w:rsid w:val="00C84196"/>
    <w:rsid w:val="00C85198"/>
    <w:rsid w:val="00C85353"/>
    <w:rsid w:val="00C87199"/>
    <w:rsid w:val="00C87939"/>
    <w:rsid w:val="00C90736"/>
    <w:rsid w:val="00C907D3"/>
    <w:rsid w:val="00C9097A"/>
    <w:rsid w:val="00C909BA"/>
    <w:rsid w:val="00C915E5"/>
    <w:rsid w:val="00C9166F"/>
    <w:rsid w:val="00C91EAF"/>
    <w:rsid w:val="00C924B1"/>
    <w:rsid w:val="00C92697"/>
    <w:rsid w:val="00C93C79"/>
    <w:rsid w:val="00C94583"/>
    <w:rsid w:val="00C945B5"/>
    <w:rsid w:val="00C947C0"/>
    <w:rsid w:val="00C94A80"/>
    <w:rsid w:val="00C95D2E"/>
    <w:rsid w:val="00C95E71"/>
    <w:rsid w:val="00C95F82"/>
    <w:rsid w:val="00C96640"/>
    <w:rsid w:val="00C967C5"/>
    <w:rsid w:val="00C967D4"/>
    <w:rsid w:val="00C96857"/>
    <w:rsid w:val="00C97963"/>
    <w:rsid w:val="00C97C06"/>
    <w:rsid w:val="00C97D0A"/>
    <w:rsid w:val="00CA0768"/>
    <w:rsid w:val="00CA1945"/>
    <w:rsid w:val="00CA25CF"/>
    <w:rsid w:val="00CA2F36"/>
    <w:rsid w:val="00CA2FC8"/>
    <w:rsid w:val="00CA30F3"/>
    <w:rsid w:val="00CA322A"/>
    <w:rsid w:val="00CA44FE"/>
    <w:rsid w:val="00CA4BAD"/>
    <w:rsid w:val="00CA4EF5"/>
    <w:rsid w:val="00CA4EF8"/>
    <w:rsid w:val="00CA5857"/>
    <w:rsid w:val="00CA5860"/>
    <w:rsid w:val="00CA5FD0"/>
    <w:rsid w:val="00CA63EB"/>
    <w:rsid w:val="00CA6DFC"/>
    <w:rsid w:val="00CA7137"/>
    <w:rsid w:val="00CA7178"/>
    <w:rsid w:val="00CA72E0"/>
    <w:rsid w:val="00CB0562"/>
    <w:rsid w:val="00CB0D61"/>
    <w:rsid w:val="00CB0FA6"/>
    <w:rsid w:val="00CB1285"/>
    <w:rsid w:val="00CB13C8"/>
    <w:rsid w:val="00CB190E"/>
    <w:rsid w:val="00CB2A90"/>
    <w:rsid w:val="00CB3246"/>
    <w:rsid w:val="00CB33D2"/>
    <w:rsid w:val="00CB4A87"/>
    <w:rsid w:val="00CB4EF2"/>
    <w:rsid w:val="00CB6270"/>
    <w:rsid w:val="00CB636B"/>
    <w:rsid w:val="00CB6382"/>
    <w:rsid w:val="00CB661F"/>
    <w:rsid w:val="00CB6980"/>
    <w:rsid w:val="00CB6FBC"/>
    <w:rsid w:val="00CC07D3"/>
    <w:rsid w:val="00CC1916"/>
    <w:rsid w:val="00CC1DAC"/>
    <w:rsid w:val="00CC1EC1"/>
    <w:rsid w:val="00CC2193"/>
    <w:rsid w:val="00CC2261"/>
    <w:rsid w:val="00CC279A"/>
    <w:rsid w:val="00CC2A29"/>
    <w:rsid w:val="00CC2C46"/>
    <w:rsid w:val="00CC3491"/>
    <w:rsid w:val="00CC3728"/>
    <w:rsid w:val="00CC3E1E"/>
    <w:rsid w:val="00CC4409"/>
    <w:rsid w:val="00CC4DC2"/>
    <w:rsid w:val="00CC4E13"/>
    <w:rsid w:val="00CC516A"/>
    <w:rsid w:val="00CC5399"/>
    <w:rsid w:val="00CC6316"/>
    <w:rsid w:val="00CC6DB5"/>
    <w:rsid w:val="00CC6E14"/>
    <w:rsid w:val="00CC784C"/>
    <w:rsid w:val="00CC7AE7"/>
    <w:rsid w:val="00CD00DC"/>
    <w:rsid w:val="00CD04BA"/>
    <w:rsid w:val="00CD26BA"/>
    <w:rsid w:val="00CD33B6"/>
    <w:rsid w:val="00CD45D6"/>
    <w:rsid w:val="00CD69BC"/>
    <w:rsid w:val="00CD6BF3"/>
    <w:rsid w:val="00CD70D5"/>
    <w:rsid w:val="00CE0052"/>
    <w:rsid w:val="00CE0AC6"/>
    <w:rsid w:val="00CE14BE"/>
    <w:rsid w:val="00CE1579"/>
    <w:rsid w:val="00CE1616"/>
    <w:rsid w:val="00CE180D"/>
    <w:rsid w:val="00CE1B13"/>
    <w:rsid w:val="00CE296C"/>
    <w:rsid w:val="00CE2ACD"/>
    <w:rsid w:val="00CE421E"/>
    <w:rsid w:val="00CE4FD6"/>
    <w:rsid w:val="00CE524E"/>
    <w:rsid w:val="00CE57CD"/>
    <w:rsid w:val="00CE72F0"/>
    <w:rsid w:val="00CE73DE"/>
    <w:rsid w:val="00CE7753"/>
    <w:rsid w:val="00CE77E0"/>
    <w:rsid w:val="00CE7D1A"/>
    <w:rsid w:val="00CF0B88"/>
    <w:rsid w:val="00CF148A"/>
    <w:rsid w:val="00CF1752"/>
    <w:rsid w:val="00CF18A7"/>
    <w:rsid w:val="00CF1A24"/>
    <w:rsid w:val="00CF1A58"/>
    <w:rsid w:val="00CF2C06"/>
    <w:rsid w:val="00CF3CD5"/>
    <w:rsid w:val="00CF5839"/>
    <w:rsid w:val="00CF5CDE"/>
    <w:rsid w:val="00CF663F"/>
    <w:rsid w:val="00CF7568"/>
    <w:rsid w:val="00CF75F9"/>
    <w:rsid w:val="00CF7850"/>
    <w:rsid w:val="00CF7C93"/>
    <w:rsid w:val="00D006E9"/>
    <w:rsid w:val="00D00796"/>
    <w:rsid w:val="00D01D03"/>
    <w:rsid w:val="00D028C6"/>
    <w:rsid w:val="00D03277"/>
    <w:rsid w:val="00D04298"/>
    <w:rsid w:val="00D043EE"/>
    <w:rsid w:val="00D04D96"/>
    <w:rsid w:val="00D04DFE"/>
    <w:rsid w:val="00D052B4"/>
    <w:rsid w:val="00D0586A"/>
    <w:rsid w:val="00D05A07"/>
    <w:rsid w:val="00D05C69"/>
    <w:rsid w:val="00D05CF9"/>
    <w:rsid w:val="00D063B7"/>
    <w:rsid w:val="00D06403"/>
    <w:rsid w:val="00D06944"/>
    <w:rsid w:val="00D069EB"/>
    <w:rsid w:val="00D07600"/>
    <w:rsid w:val="00D126AA"/>
    <w:rsid w:val="00D1274F"/>
    <w:rsid w:val="00D1286A"/>
    <w:rsid w:val="00D12B10"/>
    <w:rsid w:val="00D12CDA"/>
    <w:rsid w:val="00D13281"/>
    <w:rsid w:val="00D13AFA"/>
    <w:rsid w:val="00D13B80"/>
    <w:rsid w:val="00D143A3"/>
    <w:rsid w:val="00D14621"/>
    <w:rsid w:val="00D15315"/>
    <w:rsid w:val="00D15519"/>
    <w:rsid w:val="00D15D3D"/>
    <w:rsid w:val="00D16F06"/>
    <w:rsid w:val="00D17CAB"/>
    <w:rsid w:val="00D20C74"/>
    <w:rsid w:val="00D21182"/>
    <w:rsid w:val="00D2194E"/>
    <w:rsid w:val="00D2265F"/>
    <w:rsid w:val="00D23001"/>
    <w:rsid w:val="00D234DF"/>
    <w:rsid w:val="00D23EF4"/>
    <w:rsid w:val="00D255A0"/>
    <w:rsid w:val="00D25978"/>
    <w:rsid w:val="00D25BFE"/>
    <w:rsid w:val="00D25F3C"/>
    <w:rsid w:val="00D26184"/>
    <w:rsid w:val="00D26594"/>
    <w:rsid w:val="00D26C83"/>
    <w:rsid w:val="00D276D5"/>
    <w:rsid w:val="00D2777B"/>
    <w:rsid w:val="00D27DBF"/>
    <w:rsid w:val="00D3081D"/>
    <w:rsid w:val="00D3095A"/>
    <w:rsid w:val="00D30B3A"/>
    <w:rsid w:val="00D3106A"/>
    <w:rsid w:val="00D3191C"/>
    <w:rsid w:val="00D31D56"/>
    <w:rsid w:val="00D32375"/>
    <w:rsid w:val="00D32AD4"/>
    <w:rsid w:val="00D33DF9"/>
    <w:rsid w:val="00D34DBC"/>
    <w:rsid w:val="00D34E0E"/>
    <w:rsid w:val="00D34EC4"/>
    <w:rsid w:val="00D357AA"/>
    <w:rsid w:val="00D35C42"/>
    <w:rsid w:val="00D3685C"/>
    <w:rsid w:val="00D36CAE"/>
    <w:rsid w:val="00D37114"/>
    <w:rsid w:val="00D371E1"/>
    <w:rsid w:val="00D373D1"/>
    <w:rsid w:val="00D37EB6"/>
    <w:rsid w:val="00D404FE"/>
    <w:rsid w:val="00D42404"/>
    <w:rsid w:val="00D42698"/>
    <w:rsid w:val="00D42F0D"/>
    <w:rsid w:val="00D43102"/>
    <w:rsid w:val="00D43D92"/>
    <w:rsid w:val="00D441CD"/>
    <w:rsid w:val="00D44766"/>
    <w:rsid w:val="00D44F5E"/>
    <w:rsid w:val="00D456D3"/>
    <w:rsid w:val="00D466C6"/>
    <w:rsid w:val="00D47013"/>
    <w:rsid w:val="00D4703B"/>
    <w:rsid w:val="00D471CD"/>
    <w:rsid w:val="00D472A4"/>
    <w:rsid w:val="00D472C0"/>
    <w:rsid w:val="00D47A2D"/>
    <w:rsid w:val="00D51497"/>
    <w:rsid w:val="00D5178E"/>
    <w:rsid w:val="00D51900"/>
    <w:rsid w:val="00D51C1E"/>
    <w:rsid w:val="00D521C2"/>
    <w:rsid w:val="00D52615"/>
    <w:rsid w:val="00D5301D"/>
    <w:rsid w:val="00D532F7"/>
    <w:rsid w:val="00D5343A"/>
    <w:rsid w:val="00D53AB2"/>
    <w:rsid w:val="00D53BDD"/>
    <w:rsid w:val="00D54C35"/>
    <w:rsid w:val="00D550CC"/>
    <w:rsid w:val="00D55DCF"/>
    <w:rsid w:val="00D5663E"/>
    <w:rsid w:val="00D5674C"/>
    <w:rsid w:val="00D56C20"/>
    <w:rsid w:val="00D56D2C"/>
    <w:rsid w:val="00D56D42"/>
    <w:rsid w:val="00D574DB"/>
    <w:rsid w:val="00D57BBF"/>
    <w:rsid w:val="00D57BCB"/>
    <w:rsid w:val="00D57CB0"/>
    <w:rsid w:val="00D57CD4"/>
    <w:rsid w:val="00D57E09"/>
    <w:rsid w:val="00D604FD"/>
    <w:rsid w:val="00D60DEB"/>
    <w:rsid w:val="00D61051"/>
    <w:rsid w:val="00D6175A"/>
    <w:rsid w:val="00D62152"/>
    <w:rsid w:val="00D6218C"/>
    <w:rsid w:val="00D621F0"/>
    <w:rsid w:val="00D6368C"/>
    <w:rsid w:val="00D63AB2"/>
    <w:rsid w:val="00D65187"/>
    <w:rsid w:val="00D65516"/>
    <w:rsid w:val="00D658B9"/>
    <w:rsid w:val="00D66258"/>
    <w:rsid w:val="00D66984"/>
    <w:rsid w:val="00D66D2D"/>
    <w:rsid w:val="00D66DCF"/>
    <w:rsid w:val="00D70128"/>
    <w:rsid w:val="00D70154"/>
    <w:rsid w:val="00D701FF"/>
    <w:rsid w:val="00D70ADA"/>
    <w:rsid w:val="00D70ED4"/>
    <w:rsid w:val="00D724BD"/>
    <w:rsid w:val="00D72507"/>
    <w:rsid w:val="00D72989"/>
    <w:rsid w:val="00D72D18"/>
    <w:rsid w:val="00D73E5E"/>
    <w:rsid w:val="00D74420"/>
    <w:rsid w:val="00D744E0"/>
    <w:rsid w:val="00D74A6B"/>
    <w:rsid w:val="00D753C5"/>
    <w:rsid w:val="00D7593E"/>
    <w:rsid w:val="00D75E12"/>
    <w:rsid w:val="00D762A9"/>
    <w:rsid w:val="00D766DB"/>
    <w:rsid w:val="00D76944"/>
    <w:rsid w:val="00D76F83"/>
    <w:rsid w:val="00D773A8"/>
    <w:rsid w:val="00D7753E"/>
    <w:rsid w:val="00D77625"/>
    <w:rsid w:val="00D77B23"/>
    <w:rsid w:val="00D80246"/>
    <w:rsid w:val="00D809ED"/>
    <w:rsid w:val="00D81593"/>
    <w:rsid w:val="00D8169E"/>
    <w:rsid w:val="00D8182D"/>
    <w:rsid w:val="00D81914"/>
    <w:rsid w:val="00D81998"/>
    <w:rsid w:val="00D81F24"/>
    <w:rsid w:val="00D827E3"/>
    <w:rsid w:val="00D828A5"/>
    <w:rsid w:val="00D83C53"/>
    <w:rsid w:val="00D840ED"/>
    <w:rsid w:val="00D843A1"/>
    <w:rsid w:val="00D845B4"/>
    <w:rsid w:val="00D84FD2"/>
    <w:rsid w:val="00D85118"/>
    <w:rsid w:val="00D85AD4"/>
    <w:rsid w:val="00D879C9"/>
    <w:rsid w:val="00D90344"/>
    <w:rsid w:val="00D9054F"/>
    <w:rsid w:val="00D908B1"/>
    <w:rsid w:val="00D91250"/>
    <w:rsid w:val="00D917C9"/>
    <w:rsid w:val="00D91D98"/>
    <w:rsid w:val="00D9204F"/>
    <w:rsid w:val="00D921AF"/>
    <w:rsid w:val="00D93485"/>
    <w:rsid w:val="00D93B2A"/>
    <w:rsid w:val="00D9417B"/>
    <w:rsid w:val="00D9571E"/>
    <w:rsid w:val="00D959D1"/>
    <w:rsid w:val="00D959F6"/>
    <w:rsid w:val="00D96464"/>
    <w:rsid w:val="00D97343"/>
    <w:rsid w:val="00D97CB4"/>
    <w:rsid w:val="00DA0E65"/>
    <w:rsid w:val="00DA0E76"/>
    <w:rsid w:val="00DA1A4B"/>
    <w:rsid w:val="00DA1BAB"/>
    <w:rsid w:val="00DA2CA8"/>
    <w:rsid w:val="00DA2DC5"/>
    <w:rsid w:val="00DA2EC5"/>
    <w:rsid w:val="00DA36E8"/>
    <w:rsid w:val="00DA40A4"/>
    <w:rsid w:val="00DA4243"/>
    <w:rsid w:val="00DA4C7B"/>
    <w:rsid w:val="00DA53DF"/>
    <w:rsid w:val="00DA57CD"/>
    <w:rsid w:val="00DA6F3B"/>
    <w:rsid w:val="00DA776A"/>
    <w:rsid w:val="00DB0C57"/>
    <w:rsid w:val="00DB1063"/>
    <w:rsid w:val="00DB15E6"/>
    <w:rsid w:val="00DB1B92"/>
    <w:rsid w:val="00DB2531"/>
    <w:rsid w:val="00DB2B18"/>
    <w:rsid w:val="00DB2ED5"/>
    <w:rsid w:val="00DB34E6"/>
    <w:rsid w:val="00DB3EBC"/>
    <w:rsid w:val="00DB401C"/>
    <w:rsid w:val="00DB42F5"/>
    <w:rsid w:val="00DB4647"/>
    <w:rsid w:val="00DB4DEE"/>
    <w:rsid w:val="00DB52DC"/>
    <w:rsid w:val="00DB5A19"/>
    <w:rsid w:val="00DB642B"/>
    <w:rsid w:val="00DB64A4"/>
    <w:rsid w:val="00DB6FD6"/>
    <w:rsid w:val="00DB755B"/>
    <w:rsid w:val="00DB7AA7"/>
    <w:rsid w:val="00DC02F5"/>
    <w:rsid w:val="00DC0D84"/>
    <w:rsid w:val="00DC0FD2"/>
    <w:rsid w:val="00DC1799"/>
    <w:rsid w:val="00DC23AB"/>
    <w:rsid w:val="00DC2958"/>
    <w:rsid w:val="00DC3515"/>
    <w:rsid w:val="00DC388C"/>
    <w:rsid w:val="00DC3B41"/>
    <w:rsid w:val="00DC3B45"/>
    <w:rsid w:val="00DC3E3B"/>
    <w:rsid w:val="00DC3E6D"/>
    <w:rsid w:val="00DC3FCA"/>
    <w:rsid w:val="00DC4F21"/>
    <w:rsid w:val="00DC5881"/>
    <w:rsid w:val="00DC5F8B"/>
    <w:rsid w:val="00DC61C0"/>
    <w:rsid w:val="00DC6C69"/>
    <w:rsid w:val="00DC76DC"/>
    <w:rsid w:val="00DC7D6F"/>
    <w:rsid w:val="00DD0632"/>
    <w:rsid w:val="00DD0BB6"/>
    <w:rsid w:val="00DD11E4"/>
    <w:rsid w:val="00DD1A2D"/>
    <w:rsid w:val="00DD1C72"/>
    <w:rsid w:val="00DD2008"/>
    <w:rsid w:val="00DD249C"/>
    <w:rsid w:val="00DD26CF"/>
    <w:rsid w:val="00DD27AD"/>
    <w:rsid w:val="00DD2E74"/>
    <w:rsid w:val="00DD304B"/>
    <w:rsid w:val="00DD3A80"/>
    <w:rsid w:val="00DD3D37"/>
    <w:rsid w:val="00DD5AEC"/>
    <w:rsid w:val="00DD62B1"/>
    <w:rsid w:val="00DD69C7"/>
    <w:rsid w:val="00DD7081"/>
    <w:rsid w:val="00DD756C"/>
    <w:rsid w:val="00DD7934"/>
    <w:rsid w:val="00DE0326"/>
    <w:rsid w:val="00DE0471"/>
    <w:rsid w:val="00DE0698"/>
    <w:rsid w:val="00DE0B81"/>
    <w:rsid w:val="00DE143D"/>
    <w:rsid w:val="00DE1887"/>
    <w:rsid w:val="00DE20FA"/>
    <w:rsid w:val="00DE2397"/>
    <w:rsid w:val="00DE290E"/>
    <w:rsid w:val="00DE2BED"/>
    <w:rsid w:val="00DE2C1B"/>
    <w:rsid w:val="00DE2E7E"/>
    <w:rsid w:val="00DE349E"/>
    <w:rsid w:val="00DE3914"/>
    <w:rsid w:val="00DE3A75"/>
    <w:rsid w:val="00DE4BD8"/>
    <w:rsid w:val="00DE4CDE"/>
    <w:rsid w:val="00DE6519"/>
    <w:rsid w:val="00DE6E8C"/>
    <w:rsid w:val="00DE6EE7"/>
    <w:rsid w:val="00DE7449"/>
    <w:rsid w:val="00DE7610"/>
    <w:rsid w:val="00DF0064"/>
    <w:rsid w:val="00DF02E5"/>
    <w:rsid w:val="00DF0527"/>
    <w:rsid w:val="00DF0B5C"/>
    <w:rsid w:val="00DF18FD"/>
    <w:rsid w:val="00DF1FF7"/>
    <w:rsid w:val="00DF2502"/>
    <w:rsid w:val="00DF2FD3"/>
    <w:rsid w:val="00DF4A05"/>
    <w:rsid w:val="00DF4C47"/>
    <w:rsid w:val="00DF614C"/>
    <w:rsid w:val="00DF69B0"/>
    <w:rsid w:val="00DF7090"/>
    <w:rsid w:val="00DF7301"/>
    <w:rsid w:val="00DF7311"/>
    <w:rsid w:val="00DF7E7B"/>
    <w:rsid w:val="00E02C90"/>
    <w:rsid w:val="00E03168"/>
    <w:rsid w:val="00E03B9F"/>
    <w:rsid w:val="00E04414"/>
    <w:rsid w:val="00E049B8"/>
    <w:rsid w:val="00E04FCB"/>
    <w:rsid w:val="00E05A29"/>
    <w:rsid w:val="00E05F89"/>
    <w:rsid w:val="00E05FC1"/>
    <w:rsid w:val="00E060F0"/>
    <w:rsid w:val="00E06218"/>
    <w:rsid w:val="00E07339"/>
    <w:rsid w:val="00E07704"/>
    <w:rsid w:val="00E07A83"/>
    <w:rsid w:val="00E07B30"/>
    <w:rsid w:val="00E07E06"/>
    <w:rsid w:val="00E1066D"/>
    <w:rsid w:val="00E110EB"/>
    <w:rsid w:val="00E11553"/>
    <w:rsid w:val="00E11A06"/>
    <w:rsid w:val="00E12054"/>
    <w:rsid w:val="00E1205D"/>
    <w:rsid w:val="00E1316D"/>
    <w:rsid w:val="00E13170"/>
    <w:rsid w:val="00E13D7B"/>
    <w:rsid w:val="00E142A0"/>
    <w:rsid w:val="00E14538"/>
    <w:rsid w:val="00E14C53"/>
    <w:rsid w:val="00E14D3A"/>
    <w:rsid w:val="00E14F34"/>
    <w:rsid w:val="00E15F47"/>
    <w:rsid w:val="00E1605B"/>
    <w:rsid w:val="00E16B81"/>
    <w:rsid w:val="00E16C12"/>
    <w:rsid w:val="00E16DEF"/>
    <w:rsid w:val="00E16E30"/>
    <w:rsid w:val="00E16EE2"/>
    <w:rsid w:val="00E1793C"/>
    <w:rsid w:val="00E17B86"/>
    <w:rsid w:val="00E20C4E"/>
    <w:rsid w:val="00E211E6"/>
    <w:rsid w:val="00E213EF"/>
    <w:rsid w:val="00E21A07"/>
    <w:rsid w:val="00E2200E"/>
    <w:rsid w:val="00E22620"/>
    <w:rsid w:val="00E2294B"/>
    <w:rsid w:val="00E22C3E"/>
    <w:rsid w:val="00E22FA8"/>
    <w:rsid w:val="00E242DA"/>
    <w:rsid w:val="00E24AC7"/>
    <w:rsid w:val="00E2520F"/>
    <w:rsid w:val="00E25877"/>
    <w:rsid w:val="00E26178"/>
    <w:rsid w:val="00E26308"/>
    <w:rsid w:val="00E26FDD"/>
    <w:rsid w:val="00E27262"/>
    <w:rsid w:val="00E27514"/>
    <w:rsid w:val="00E308F5"/>
    <w:rsid w:val="00E30AD4"/>
    <w:rsid w:val="00E31283"/>
    <w:rsid w:val="00E31645"/>
    <w:rsid w:val="00E319EF"/>
    <w:rsid w:val="00E322DB"/>
    <w:rsid w:val="00E33176"/>
    <w:rsid w:val="00E33AB3"/>
    <w:rsid w:val="00E33F01"/>
    <w:rsid w:val="00E35ABF"/>
    <w:rsid w:val="00E35C6E"/>
    <w:rsid w:val="00E35FED"/>
    <w:rsid w:val="00E36506"/>
    <w:rsid w:val="00E3658C"/>
    <w:rsid w:val="00E37195"/>
    <w:rsid w:val="00E37339"/>
    <w:rsid w:val="00E37436"/>
    <w:rsid w:val="00E37A08"/>
    <w:rsid w:val="00E37B7D"/>
    <w:rsid w:val="00E4045C"/>
    <w:rsid w:val="00E40D73"/>
    <w:rsid w:val="00E41621"/>
    <w:rsid w:val="00E41982"/>
    <w:rsid w:val="00E41F3B"/>
    <w:rsid w:val="00E42389"/>
    <w:rsid w:val="00E4312F"/>
    <w:rsid w:val="00E43B8C"/>
    <w:rsid w:val="00E44A68"/>
    <w:rsid w:val="00E44C57"/>
    <w:rsid w:val="00E44D03"/>
    <w:rsid w:val="00E44EBC"/>
    <w:rsid w:val="00E44FF5"/>
    <w:rsid w:val="00E4552C"/>
    <w:rsid w:val="00E45995"/>
    <w:rsid w:val="00E45C73"/>
    <w:rsid w:val="00E46482"/>
    <w:rsid w:val="00E4703C"/>
    <w:rsid w:val="00E47480"/>
    <w:rsid w:val="00E4760E"/>
    <w:rsid w:val="00E47A7C"/>
    <w:rsid w:val="00E47F1D"/>
    <w:rsid w:val="00E50504"/>
    <w:rsid w:val="00E50B50"/>
    <w:rsid w:val="00E50CB2"/>
    <w:rsid w:val="00E50D3E"/>
    <w:rsid w:val="00E510B8"/>
    <w:rsid w:val="00E516CF"/>
    <w:rsid w:val="00E517E0"/>
    <w:rsid w:val="00E517F5"/>
    <w:rsid w:val="00E51914"/>
    <w:rsid w:val="00E5207F"/>
    <w:rsid w:val="00E52231"/>
    <w:rsid w:val="00E52AD1"/>
    <w:rsid w:val="00E52D29"/>
    <w:rsid w:val="00E5303F"/>
    <w:rsid w:val="00E533EA"/>
    <w:rsid w:val="00E5359F"/>
    <w:rsid w:val="00E53D8E"/>
    <w:rsid w:val="00E542B2"/>
    <w:rsid w:val="00E549C7"/>
    <w:rsid w:val="00E55070"/>
    <w:rsid w:val="00E55EE1"/>
    <w:rsid w:val="00E56367"/>
    <w:rsid w:val="00E57112"/>
    <w:rsid w:val="00E602AC"/>
    <w:rsid w:val="00E61DE9"/>
    <w:rsid w:val="00E6200E"/>
    <w:rsid w:val="00E628B0"/>
    <w:rsid w:val="00E62FE3"/>
    <w:rsid w:val="00E63693"/>
    <w:rsid w:val="00E640B4"/>
    <w:rsid w:val="00E64422"/>
    <w:rsid w:val="00E649AF"/>
    <w:rsid w:val="00E6544C"/>
    <w:rsid w:val="00E655A2"/>
    <w:rsid w:val="00E65832"/>
    <w:rsid w:val="00E658CE"/>
    <w:rsid w:val="00E66A9E"/>
    <w:rsid w:val="00E671A2"/>
    <w:rsid w:val="00E675A0"/>
    <w:rsid w:val="00E6779F"/>
    <w:rsid w:val="00E7045C"/>
    <w:rsid w:val="00E70BCF"/>
    <w:rsid w:val="00E7145C"/>
    <w:rsid w:val="00E71AD6"/>
    <w:rsid w:val="00E71F1D"/>
    <w:rsid w:val="00E72A50"/>
    <w:rsid w:val="00E72BC6"/>
    <w:rsid w:val="00E73915"/>
    <w:rsid w:val="00E73A11"/>
    <w:rsid w:val="00E73AF1"/>
    <w:rsid w:val="00E73D62"/>
    <w:rsid w:val="00E74036"/>
    <w:rsid w:val="00E74133"/>
    <w:rsid w:val="00E74E4B"/>
    <w:rsid w:val="00E74F46"/>
    <w:rsid w:val="00E7567B"/>
    <w:rsid w:val="00E757F5"/>
    <w:rsid w:val="00E76CE2"/>
    <w:rsid w:val="00E77137"/>
    <w:rsid w:val="00E775BF"/>
    <w:rsid w:val="00E77EE3"/>
    <w:rsid w:val="00E80A50"/>
    <w:rsid w:val="00E8144C"/>
    <w:rsid w:val="00E817DB"/>
    <w:rsid w:val="00E822AD"/>
    <w:rsid w:val="00E82587"/>
    <w:rsid w:val="00E83636"/>
    <w:rsid w:val="00E83E6E"/>
    <w:rsid w:val="00E84D09"/>
    <w:rsid w:val="00E85B36"/>
    <w:rsid w:val="00E86276"/>
    <w:rsid w:val="00E86354"/>
    <w:rsid w:val="00E86620"/>
    <w:rsid w:val="00E87D0B"/>
    <w:rsid w:val="00E87EB0"/>
    <w:rsid w:val="00E87EDB"/>
    <w:rsid w:val="00E90052"/>
    <w:rsid w:val="00E902FE"/>
    <w:rsid w:val="00E916DD"/>
    <w:rsid w:val="00E91776"/>
    <w:rsid w:val="00E929A4"/>
    <w:rsid w:val="00E9402A"/>
    <w:rsid w:val="00E940F9"/>
    <w:rsid w:val="00E94129"/>
    <w:rsid w:val="00E94972"/>
    <w:rsid w:val="00E94D5E"/>
    <w:rsid w:val="00E955E8"/>
    <w:rsid w:val="00E96310"/>
    <w:rsid w:val="00E96FB6"/>
    <w:rsid w:val="00EA0178"/>
    <w:rsid w:val="00EA0B0C"/>
    <w:rsid w:val="00EA218A"/>
    <w:rsid w:val="00EA3262"/>
    <w:rsid w:val="00EA3765"/>
    <w:rsid w:val="00EA3988"/>
    <w:rsid w:val="00EA3E2C"/>
    <w:rsid w:val="00EA541C"/>
    <w:rsid w:val="00EA57CC"/>
    <w:rsid w:val="00EA5916"/>
    <w:rsid w:val="00EA5987"/>
    <w:rsid w:val="00EA63AB"/>
    <w:rsid w:val="00EA69BB"/>
    <w:rsid w:val="00EA74BB"/>
    <w:rsid w:val="00EA7FD9"/>
    <w:rsid w:val="00EB03FF"/>
    <w:rsid w:val="00EB0CAF"/>
    <w:rsid w:val="00EB1000"/>
    <w:rsid w:val="00EB1993"/>
    <w:rsid w:val="00EB206E"/>
    <w:rsid w:val="00EB2DB4"/>
    <w:rsid w:val="00EB3099"/>
    <w:rsid w:val="00EB51A2"/>
    <w:rsid w:val="00EB5C8C"/>
    <w:rsid w:val="00EB5CAC"/>
    <w:rsid w:val="00EB60DD"/>
    <w:rsid w:val="00EB6B9A"/>
    <w:rsid w:val="00EC00DA"/>
    <w:rsid w:val="00EC2699"/>
    <w:rsid w:val="00EC2783"/>
    <w:rsid w:val="00EC290E"/>
    <w:rsid w:val="00EC2941"/>
    <w:rsid w:val="00EC2B01"/>
    <w:rsid w:val="00EC3202"/>
    <w:rsid w:val="00EC41E4"/>
    <w:rsid w:val="00EC584F"/>
    <w:rsid w:val="00EC5BB8"/>
    <w:rsid w:val="00EC5D12"/>
    <w:rsid w:val="00EC5D92"/>
    <w:rsid w:val="00EC6007"/>
    <w:rsid w:val="00EC6353"/>
    <w:rsid w:val="00EC67F1"/>
    <w:rsid w:val="00EC73CF"/>
    <w:rsid w:val="00EC7671"/>
    <w:rsid w:val="00EC77C2"/>
    <w:rsid w:val="00ED18EC"/>
    <w:rsid w:val="00ED1F0F"/>
    <w:rsid w:val="00ED248F"/>
    <w:rsid w:val="00ED3782"/>
    <w:rsid w:val="00ED3BAD"/>
    <w:rsid w:val="00ED420B"/>
    <w:rsid w:val="00ED43B4"/>
    <w:rsid w:val="00ED480E"/>
    <w:rsid w:val="00ED4BD6"/>
    <w:rsid w:val="00ED4CE9"/>
    <w:rsid w:val="00ED5455"/>
    <w:rsid w:val="00ED5B10"/>
    <w:rsid w:val="00ED5F3C"/>
    <w:rsid w:val="00ED640B"/>
    <w:rsid w:val="00ED682C"/>
    <w:rsid w:val="00ED6B52"/>
    <w:rsid w:val="00ED6C6F"/>
    <w:rsid w:val="00ED6F10"/>
    <w:rsid w:val="00EE0171"/>
    <w:rsid w:val="00EE01F0"/>
    <w:rsid w:val="00EE030E"/>
    <w:rsid w:val="00EE03AA"/>
    <w:rsid w:val="00EE04B9"/>
    <w:rsid w:val="00EE0838"/>
    <w:rsid w:val="00EE1D83"/>
    <w:rsid w:val="00EE23BE"/>
    <w:rsid w:val="00EE26A5"/>
    <w:rsid w:val="00EE28F5"/>
    <w:rsid w:val="00EE29C6"/>
    <w:rsid w:val="00EE337D"/>
    <w:rsid w:val="00EE37B5"/>
    <w:rsid w:val="00EE3A60"/>
    <w:rsid w:val="00EE3ADA"/>
    <w:rsid w:val="00EE3F8B"/>
    <w:rsid w:val="00EE48B9"/>
    <w:rsid w:val="00EE4D3E"/>
    <w:rsid w:val="00EE4FA0"/>
    <w:rsid w:val="00EE7C19"/>
    <w:rsid w:val="00EF0232"/>
    <w:rsid w:val="00EF0441"/>
    <w:rsid w:val="00EF0668"/>
    <w:rsid w:val="00EF0B4B"/>
    <w:rsid w:val="00EF0CDA"/>
    <w:rsid w:val="00EF139F"/>
    <w:rsid w:val="00EF15DA"/>
    <w:rsid w:val="00EF1718"/>
    <w:rsid w:val="00EF1830"/>
    <w:rsid w:val="00EF1DCE"/>
    <w:rsid w:val="00EF266D"/>
    <w:rsid w:val="00EF2736"/>
    <w:rsid w:val="00EF28A1"/>
    <w:rsid w:val="00EF3478"/>
    <w:rsid w:val="00EF3554"/>
    <w:rsid w:val="00EF4100"/>
    <w:rsid w:val="00EF413D"/>
    <w:rsid w:val="00EF5862"/>
    <w:rsid w:val="00EF5D16"/>
    <w:rsid w:val="00EF5D2D"/>
    <w:rsid w:val="00EF6452"/>
    <w:rsid w:val="00EF78F5"/>
    <w:rsid w:val="00EF795E"/>
    <w:rsid w:val="00F019DD"/>
    <w:rsid w:val="00F01AD3"/>
    <w:rsid w:val="00F0290B"/>
    <w:rsid w:val="00F032BD"/>
    <w:rsid w:val="00F043A1"/>
    <w:rsid w:val="00F0454B"/>
    <w:rsid w:val="00F055FA"/>
    <w:rsid w:val="00F0568D"/>
    <w:rsid w:val="00F059AD"/>
    <w:rsid w:val="00F05CE9"/>
    <w:rsid w:val="00F05E4F"/>
    <w:rsid w:val="00F060EC"/>
    <w:rsid w:val="00F06451"/>
    <w:rsid w:val="00F067EA"/>
    <w:rsid w:val="00F07012"/>
    <w:rsid w:val="00F07097"/>
    <w:rsid w:val="00F07215"/>
    <w:rsid w:val="00F0752A"/>
    <w:rsid w:val="00F077A3"/>
    <w:rsid w:val="00F10516"/>
    <w:rsid w:val="00F107DE"/>
    <w:rsid w:val="00F10ECF"/>
    <w:rsid w:val="00F10F39"/>
    <w:rsid w:val="00F11B1B"/>
    <w:rsid w:val="00F12CD4"/>
    <w:rsid w:val="00F131D7"/>
    <w:rsid w:val="00F14832"/>
    <w:rsid w:val="00F151DF"/>
    <w:rsid w:val="00F15359"/>
    <w:rsid w:val="00F156E7"/>
    <w:rsid w:val="00F15ADD"/>
    <w:rsid w:val="00F16189"/>
    <w:rsid w:val="00F162A6"/>
    <w:rsid w:val="00F168CF"/>
    <w:rsid w:val="00F16B73"/>
    <w:rsid w:val="00F17AA3"/>
    <w:rsid w:val="00F200F1"/>
    <w:rsid w:val="00F20320"/>
    <w:rsid w:val="00F20F96"/>
    <w:rsid w:val="00F216D8"/>
    <w:rsid w:val="00F22F38"/>
    <w:rsid w:val="00F2318D"/>
    <w:rsid w:val="00F2367A"/>
    <w:rsid w:val="00F23B3F"/>
    <w:rsid w:val="00F23DD9"/>
    <w:rsid w:val="00F23FEB"/>
    <w:rsid w:val="00F247C3"/>
    <w:rsid w:val="00F24E92"/>
    <w:rsid w:val="00F25509"/>
    <w:rsid w:val="00F25979"/>
    <w:rsid w:val="00F260EE"/>
    <w:rsid w:val="00F263B0"/>
    <w:rsid w:val="00F26728"/>
    <w:rsid w:val="00F26ED6"/>
    <w:rsid w:val="00F277F4"/>
    <w:rsid w:val="00F27EAA"/>
    <w:rsid w:val="00F30161"/>
    <w:rsid w:val="00F3049F"/>
    <w:rsid w:val="00F30ACD"/>
    <w:rsid w:val="00F31953"/>
    <w:rsid w:val="00F31E63"/>
    <w:rsid w:val="00F328DD"/>
    <w:rsid w:val="00F3320F"/>
    <w:rsid w:val="00F33292"/>
    <w:rsid w:val="00F33BB8"/>
    <w:rsid w:val="00F33FEF"/>
    <w:rsid w:val="00F34EA0"/>
    <w:rsid w:val="00F34F61"/>
    <w:rsid w:val="00F350DC"/>
    <w:rsid w:val="00F360E9"/>
    <w:rsid w:val="00F36F9B"/>
    <w:rsid w:val="00F37343"/>
    <w:rsid w:val="00F373A6"/>
    <w:rsid w:val="00F373A7"/>
    <w:rsid w:val="00F37AE5"/>
    <w:rsid w:val="00F40272"/>
    <w:rsid w:val="00F41691"/>
    <w:rsid w:val="00F41F3E"/>
    <w:rsid w:val="00F422B6"/>
    <w:rsid w:val="00F423D9"/>
    <w:rsid w:val="00F4385A"/>
    <w:rsid w:val="00F43CC7"/>
    <w:rsid w:val="00F442DD"/>
    <w:rsid w:val="00F444A1"/>
    <w:rsid w:val="00F4478C"/>
    <w:rsid w:val="00F44B32"/>
    <w:rsid w:val="00F44FD1"/>
    <w:rsid w:val="00F45AE4"/>
    <w:rsid w:val="00F467B6"/>
    <w:rsid w:val="00F502B9"/>
    <w:rsid w:val="00F50A6A"/>
    <w:rsid w:val="00F52655"/>
    <w:rsid w:val="00F5283C"/>
    <w:rsid w:val="00F52DBE"/>
    <w:rsid w:val="00F535F4"/>
    <w:rsid w:val="00F53651"/>
    <w:rsid w:val="00F53BA6"/>
    <w:rsid w:val="00F53EF6"/>
    <w:rsid w:val="00F54741"/>
    <w:rsid w:val="00F553F9"/>
    <w:rsid w:val="00F554F4"/>
    <w:rsid w:val="00F55EDB"/>
    <w:rsid w:val="00F5656B"/>
    <w:rsid w:val="00F56915"/>
    <w:rsid w:val="00F56FEB"/>
    <w:rsid w:val="00F57B1B"/>
    <w:rsid w:val="00F57EED"/>
    <w:rsid w:val="00F60413"/>
    <w:rsid w:val="00F607C6"/>
    <w:rsid w:val="00F60B87"/>
    <w:rsid w:val="00F61168"/>
    <w:rsid w:val="00F6182D"/>
    <w:rsid w:val="00F61CDC"/>
    <w:rsid w:val="00F621A9"/>
    <w:rsid w:val="00F623A7"/>
    <w:rsid w:val="00F627C8"/>
    <w:rsid w:val="00F63927"/>
    <w:rsid w:val="00F6397C"/>
    <w:rsid w:val="00F63E2A"/>
    <w:rsid w:val="00F63F24"/>
    <w:rsid w:val="00F63F35"/>
    <w:rsid w:val="00F6434F"/>
    <w:rsid w:val="00F6557A"/>
    <w:rsid w:val="00F66364"/>
    <w:rsid w:val="00F66A7C"/>
    <w:rsid w:val="00F67255"/>
    <w:rsid w:val="00F67835"/>
    <w:rsid w:val="00F730FE"/>
    <w:rsid w:val="00F7386F"/>
    <w:rsid w:val="00F7392C"/>
    <w:rsid w:val="00F73AE5"/>
    <w:rsid w:val="00F73ED9"/>
    <w:rsid w:val="00F74280"/>
    <w:rsid w:val="00F74316"/>
    <w:rsid w:val="00F75C42"/>
    <w:rsid w:val="00F76867"/>
    <w:rsid w:val="00F773CA"/>
    <w:rsid w:val="00F77B86"/>
    <w:rsid w:val="00F804D4"/>
    <w:rsid w:val="00F806E7"/>
    <w:rsid w:val="00F810AE"/>
    <w:rsid w:val="00F81372"/>
    <w:rsid w:val="00F8188D"/>
    <w:rsid w:val="00F826D6"/>
    <w:rsid w:val="00F828E4"/>
    <w:rsid w:val="00F82A72"/>
    <w:rsid w:val="00F82CD8"/>
    <w:rsid w:val="00F82E63"/>
    <w:rsid w:val="00F82FD9"/>
    <w:rsid w:val="00F834A3"/>
    <w:rsid w:val="00F83817"/>
    <w:rsid w:val="00F84427"/>
    <w:rsid w:val="00F84B6D"/>
    <w:rsid w:val="00F84F37"/>
    <w:rsid w:val="00F85041"/>
    <w:rsid w:val="00F86403"/>
    <w:rsid w:val="00F866A2"/>
    <w:rsid w:val="00F86774"/>
    <w:rsid w:val="00F87207"/>
    <w:rsid w:val="00F878DC"/>
    <w:rsid w:val="00F90142"/>
    <w:rsid w:val="00F90586"/>
    <w:rsid w:val="00F9065F"/>
    <w:rsid w:val="00F906F1"/>
    <w:rsid w:val="00F91759"/>
    <w:rsid w:val="00F91CCD"/>
    <w:rsid w:val="00F923D2"/>
    <w:rsid w:val="00F92793"/>
    <w:rsid w:val="00F92A6E"/>
    <w:rsid w:val="00F92F3F"/>
    <w:rsid w:val="00F937CD"/>
    <w:rsid w:val="00F937E6"/>
    <w:rsid w:val="00F93B59"/>
    <w:rsid w:val="00F93CC3"/>
    <w:rsid w:val="00F94ADE"/>
    <w:rsid w:val="00F9521F"/>
    <w:rsid w:val="00F9630C"/>
    <w:rsid w:val="00F9663B"/>
    <w:rsid w:val="00F971BB"/>
    <w:rsid w:val="00F977C5"/>
    <w:rsid w:val="00F97FCD"/>
    <w:rsid w:val="00FA04C9"/>
    <w:rsid w:val="00FA06A2"/>
    <w:rsid w:val="00FA08C7"/>
    <w:rsid w:val="00FA0B7A"/>
    <w:rsid w:val="00FA102D"/>
    <w:rsid w:val="00FA106A"/>
    <w:rsid w:val="00FA1230"/>
    <w:rsid w:val="00FA16BE"/>
    <w:rsid w:val="00FA2120"/>
    <w:rsid w:val="00FA23EC"/>
    <w:rsid w:val="00FA2C4B"/>
    <w:rsid w:val="00FA35D2"/>
    <w:rsid w:val="00FA3FD6"/>
    <w:rsid w:val="00FA404A"/>
    <w:rsid w:val="00FA4675"/>
    <w:rsid w:val="00FA6FC7"/>
    <w:rsid w:val="00FA7790"/>
    <w:rsid w:val="00FA7858"/>
    <w:rsid w:val="00FB0937"/>
    <w:rsid w:val="00FB1317"/>
    <w:rsid w:val="00FB2B9D"/>
    <w:rsid w:val="00FB2DF1"/>
    <w:rsid w:val="00FB397A"/>
    <w:rsid w:val="00FB3D64"/>
    <w:rsid w:val="00FB3D6A"/>
    <w:rsid w:val="00FB471A"/>
    <w:rsid w:val="00FB4934"/>
    <w:rsid w:val="00FB4991"/>
    <w:rsid w:val="00FB4C1C"/>
    <w:rsid w:val="00FB4CAA"/>
    <w:rsid w:val="00FB5133"/>
    <w:rsid w:val="00FB56AA"/>
    <w:rsid w:val="00FB6C8B"/>
    <w:rsid w:val="00FB6EF3"/>
    <w:rsid w:val="00FB755C"/>
    <w:rsid w:val="00FB7F79"/>
    <w:rsid w:val="00FC0376"/>
    <w:rsid w:val="00FC03AE"/>
    <w:rsid w:val="00FC1226"/>
    <w:rsid w:val="00FC13AF"/>
    <w:rsid w:val="00FC1461"/>
    <w:rsid w:val="00FC15DE"/>
    <w:rsid w:val="00FC1776"/>
    <w:rsid w:val="00FC2399"/>
    <w:rsid w:val="00FC30A1"/>
    <w:rsid w:val="00FC3E47"/>
    <w:rsid w:val="00FC50B2"/>
    <w:rsid w:val="00FC5778"/>
    <w:rsid w:val="00FC5C48"/>
    <w:rsid w:val="00FC6BF1"/>
    <w:rsid w:val="00FC7CD0"/>
    <w:rsid w:val="00FD0605"/>
    <w:rsid w:val="00FD0A92"/>
    <w:rsid w:val="00FD1464"/>
    <w:rsid w:val="00FD1933"/>
    <w:rsid w:val="00FD242E"/>
    <w:rsid w:val="00FD2B93"/>
    <w:rsid w:val="00FD2C3C"/>
    <w:rsid w:val="00FD2E18"/>
    <w:rsid w:val="00FD302E"/>
    <w:rsid w:val="00FD41AE"/>
    <w:rsid w:val="00FD4343"/>
    <w:rsid w:val="00FD4487"/>
    <w:rsid w:val="00FD44C6"/>
    <w:rsid w:val="00FD4553"/>
    <w:rsid w:val="00FD56CE"/>
    <w:rsid w:val="00FD5A18"/>
    <w:rsid w:val="00FD7A4D"/>
    <w:rsid w:val="00FD7B1A"/>
    <w:rsid w:val="00FD7B54"/>
    <w:rsid w:val="00FE0312"/>
    <w:rsid w:val="00FE04C4"/>
    <w:rsid w:val="00FE0876"/>
    <w:rsid w:val="00FE0BA7"/>
    <w:rsid w:val="00FE1232"/>
    <w:rsid w:val="00FE1B32"/>
    <w:rsid w:val="00FE207E"/>
    <w:rsid w:val="00FE2091"/>
    <w:rsid w:val="00FE22BA"/>
    <w:rsid w:val="00FE2B89"/>
    <w:rsid w:val="00FE2CB0"/>
    <w:rsid w:val="00FE351D"/>
    <w:rsid w:val="00FE4B78"/>
    <w:rsid w:val="00FE5290"/>
    <w:rsid w:val="00FE7295"/>
    <w:rsid w:val="00FE75D0"/>
    <w:rsid w:val="00FE7D62"/>
    <w:rsid w:val="00FE7FA5"/>
    <w:rsid w:val="00FF0D59"/>
    <w:rsid w:val="00FF2304"/>
    <w:rsid w:val="00FF24E5"/>
    <w:rsid w:val="00FF2743"/>
    <w:rsid w:val="00FF27DA"/>
    <w:rsid w:val="00FF282C"/>
    <w:rsid w:val="00FF2836"/>
    <w:rsid w:val="00FF28A1"/>
    <w:rsid w:val="00FF2C39"/>
    <w:rsid w:val="00FF2C99"/>
    <w:rsid w:val="00FF41C2"/>
    <w:rsid w:val="00FF4841"/>
    <w:rsid w:val="00FF4F12"/>
    <w:rsid w:val="00FF50E2"/>
    <w:rsid w:val="00FF58F7"/>
    <w:rsid w:val="00FF5B1B"/>
    <w:rsid w:val="00FF5E10"/>
    <w:rsid w:val="00FF781D"/>
    <w:rsid w:val="00FF7824"/>
    <w:rsid w:val="00FF782B"/>
    <w:rsid w:val="00FF7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E67A4A4"/>
  <w15:docId w15:val="{07E61DC7-2CC2-48F5-9D92-51BA28ED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uiPriority="0"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uiPriority="0" w:semiHidden="1" w:unhideWhenUsed="1"/>
    <w:lsdException w:name="envelope address" w:uiPriority="0" w:semiHidden="1" w:unhideWhenUsed="1"/>
    <w:lsdException w:name="envelope return" w:uiPriority="0" w:semiHidden="1" w:unhideWhenUsed="1"/>
    <w:lsdException w:name="footnote reference" w:uiPriority="0" w:semiHidden="1" w:unhideWhenUsed="1" w:qFormat="1"/>
    <w:lsdException w:name="annotation reference" w:semiHidden="1" w:unhideWhenUsed="1"/>
    <w:lsdException w:name="line number" w:uiPriority="0"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uiPriority="0" w:semiHidden="1" w:unhideWhenUsed="1"/>
    <w:lsdException w:name="toa heading" w:uiPriority="0" w:semiHidden="1" w:unhideWhenUsed="1"/>
    <w:lsdException w:name="List" w:uiPriority="0" w:semiHidden="1" w:unhideWhenUsed="1"/>
    <w:lsdException w:name="List Bullet" w:semiHidden="1" w:unhideWhenUsed="1" w:qFormat="1"/>
    <w:lsdException w:name="List Number" w:semiHidden="1" w:unhideWhenUsed="1" w:qFormat="1"/>
    <w:lsdException w:name="List 2" w:uiPriority="0" w:semiHidden="1" w:unhideWhenUsed="1"/>
    <w:lsdException w:name="List 3" w:semiHidden="1" w:unhideWhenUsed="1"/>
    <w:lsdException w:name="List 4" w:uiPriority="0" w:semiHidden="1" w:unhideWhenUsed="1"/>
    <w:lsdException w:name="List 5" w:uiPriority="0" w:semiHidden="1" w:unhideWhenUsed="1"/>
    <w:lsdException w:name="List Bullet 2" w:semiHidden="1" w:unhideWhenUsed="1"/>
    <w:lsdException w:name="List Bullet 3"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uiPriority="0" w:semiHidden="1" w:unhideWhenUsed="1"/>
    <w:lsdException w:name="List Number 5" w:uiPriority="0" w:semiHidden="1" w:unhideWhenUsed="1"/>
    <w:lsdException w:name="Title" w:uiPriority="10" w:qFormat="1"/>
    <w:lsdException w:name="Closing" w:uiPriority="0" w:semiHidden="1" w:unhideWhenUsed="1"/>
    <w:lsdException w:name="Signature" w:semiHidden="1" w:unhideWhenUsed="1" w:qFormat="1"/>
    <w:lsdException w:name="Default Paragraph Font" w:uiPriority="1" w:semiHidden="1" w:unhideWhenUsed="1"/>
    <w:lsdException w:name="Body Text" w:uiPriority="1" w:semiHidden="1" w:unhideWhenUsed="1" w:qFormat="1"/>
    <w:lsdException w:name="Body Text Indent" w:uiPriority="1" w:semiHidden="1" w:unhideWhenUsed="1" w:qFormat="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uiPriority="0" w:semiHidden="1" w:unhideWhenUsed="1"/>
    <w:lsdException w:name="Message Header" w:uiPriority="0" w:semiHidden="1" w:unhideWhenUsed="1"/>
    <w:lsdException w:name="Subtitle" w:uiPriority="11" w:qFormat="1"/>
    <w:lsdException w:name="Salutation" w:uiPriority="0" w:semiHidden="1" w:unhideWhenUsed="1"/>
    <w:lsdException w:name="Date" w:uiPriority="0" w:semiHidden="1" w:unhideWhenUsed="1"/>
    <w:lsdException w:name="Body Text First Indent" w:uiPriority="1" w:semiHidden="1" w:unhideWhenUsed="1" w:qFormat="1"/>
    <w:lsdException w:name="Body Text First Indent 2" w:uiPriority="1" w:semiHidden="1" w:unhideWhenUsed="1" w:qFormat="1"/>
    <w:lsdException w:name="Note Heading" w:uiPriority="0" w:semiHidden="1" w:unhideWhenUsed="1"/>
    <w:lsdException w:name="Body Text 2" w:uiPriority="1" w:semiHidden="1" w:unhideWhenUsed="1" w:qFormat="1"/>
    <w:lsdException w:name="Body Text 3" w:uiPriority="1" w:semiHidden="1" w:unhideWhenUsed="1" w:qFormat="1"/>
    <w:lsdException w:name="Body Text Indent 2" w:semiHidden="1" w:unhideWhenUsed="1"/>
    <w:lsdException w:name="Body Text Indent 3" w:semiHidden="1" w:unhideWhenUsed="1"/>
    <w:lsdException w:name="Block Text" w:uiPriority="1"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uiPriority="0" w:semiHidden="1" w:unhideWhenUsed="1"/>
    <w:lsdException w:name="HTML Top of Form" w:semiHidden="1" w:unhideWhenUsed="1"/>
    <w:lsdException w:name="HTML Bottom of Form" w:semiHidden="1" w:unhideWhenUsed="1"/>
    <w:lsdException w:name="Normal (Web)" w:semiHidden="1" w:unhideWhenUsed="1"/>
    <w:lsdException w:name="HTML Acronym" w:uiPriority="0" w:semiHidden="1" w:unhideWhenUsed="1"/>
    <w:lsdException w:name="HTML Address" w:uiPriority="0" w:semiHidden="1" w:unhideWhenUsed="1"/>
    <w:lsdException w:name="HTML Cite" w:uiPriority="0" w:semiHidden="1" w:unhideWhenUsed="1"/>
    <w:lsdException w:name="HTML Code" w:uiPriority="0" w:semiHidden="1" w:unhideWhenUsed="1"/>
    <w:lsdException w:name="HTML Definition" w:uiPriority="0" w:semiHidden="1" w:unhideWhenUsed="1"/>
    <w:lsdException w:name="HTML Keyboard" w:uiPriority="0" w:semiHidden="1" w:unhideWhenUsed="1"/>
    <w:lsdException w:name="HTML Preformatted" w:uiPriority="0" w:semiHidden="1" w:unhideWhenUsed="1"/>
    <w:lsdException w:name="HTML Sample" w:uiPriority="0" w:semiHidden="1" w:unhideWhenUsed="1"/>
    <w:lsdException w:name="HTML Typewriter" w:uiPriority="0" w:semiHidden="1" w:unhideWhenUsed="1"/>
    <w:lsdException w:name="HTML Variable" w:uiPriority="0"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D277E"/>
    <w:pPr>
      <w:widowControl w:val="0"/>
      <w:autoSpaceDE w:val="0"/>
      <w:autoSpaceDN w:val="0"/>
      <w:adjustRightInd w:val="0"/>
      <w:spacing w:after="0" w:line="240" w:lineRule="auto"/>
      <w:jc w:val="both"/>
    </w:pPr>
    <w:rPr>
      <w:rFonts w:eastAsia="Times New Roman" w:cs="Times New Roman"/>
      <w:sz w:val="20"/>
      <w:szCs w:val="20"/>
    </w:rPr>
  </w:style>
  <w:style w:type="paragraph" w:styleId="Heading1">
    <w:name w:val="heading 1"/>
    <w:aliases w:val="h1"/>
    <w:basedOn w:val="Normal"/>
    <w:next w:val="Normal"/>
    <w:link w:val="Heading1Char"/>
    <w:uiPriority w:val="9"/>
    <w:qFormat/>
    <w:rsid w:val="00AF72E5"/>
    <w:pPr>
      <w:keepNext/>
      <w:widowControl/>
      <w:jc w:val="left"/>
      <w:outlineLvl w:val="0"/>
    </w:pPr>
    <w:rPr>
      <w:i/>
      <w:iCs/>
      <w:sz w:val="18"/>
      <w:szCs w:val="18"/>
    </w:rPr>
  </w:style>
  <w:style w:type="paragraph" w:styleId="Heading2">
    <w:name w:val="heading 2"/>
    <w:aliases w:val="h2"/>
    <w:basedOn w:val="Normal"/>
    <w:next w:val="Normal"/>
    <w:link w:val="Heading2Char"/>
    <w:uiPriority w:val="9"/>
    <w:qFormat/>
    <w:rsid w:val="00AF72E5"/>
    <w:pPr>
      <w:spacing w:after="240"/>
      <w:outlineLvl w:val="1"/>
    </w:pPr>
  </w:style>
  <w:style w:type="paragraph" w:styleId="Heading3">
    <w:name w:val="heading 3"/>
    <w:aliases w:val="h3"/>
    <w:basedOn w:val="Normal"/>
    <w:next w:val="Normal"/>
    <w:link w:val="Heading3Char"/>
    <w:uiPriority w:val="9"/>
    <w:qFormat/>
    <w:rsid w:val="00AF72E5"/>
    <w:pPr>
      <w:numPr>
        <w:ilvl w:val="2"/>
        <w:numId w:val="16"/>
      </w:numPr>
      <w:spacing w:after="240"/>
      <w:outlineLvl w:val="2"/>
    </w:pPr>
  </w:style>
  <w:style w:type="paragraph" w:styleId="Heading4">
    <w:name w:val="heading 4"/>
    <w:aliases w:val="h4"/>
    <w:basedOn w:val="Normal"/>
    <w:next w:val="Normal"/>
    <w:link w:val="Heading4Char"/>
    <w:uiPriority w:val="9"/>
    <w:qFormat/>
    <w:rsid w:val="00AF72E5"/>
    <w:pPr>
      <w:numPr>
        <w:ilvl w:val="3"/>
        <w:numId w:val="16"/>
      </w:numPr>
      <w:spacing w:after="240"/>
      <w:outlineLvl w:val="3"/>
    </w:pPr>
  </w:style>
  <w:style w:type="paragraph" w:styleId="Heading5">
    <w:name w:val="heading 5"/>
    <w:aliases w:val="h5"/>
    <w:basedOn w:val="Normal"/>
    <w:next w:val="Normal"/>
    <w:link w:val="Heading5Char"/>
    <w:uiPriority w:val="9"/>
    <w:qFormat/>
    <w:rsid w:val="00AF72E5"/>
    <w:pPr>
      <w:numPr>
        <w:ilvl w:val="4"/>
        <w:numId w:val="16"/>
      </w:numPr>
      <w:spacing w:after="240"/>
      <w:outlineLvl w:val="4"/>
    </w:pPr>
  </w:style>
  <w:style w:type="paragraph" w:styleId="Heading6">
    <w:name w:val="heading 6"/>
    <w:aliases w:val="h6"/>
    <w:basedOn w:val="Normal"/>
    <w:next w:val="Normal"/>
    <w:link w:val="Heading6Char"/>
    <w:uiPriority w:val="9"/>
    <w:qFormat/>
    <w:rsid w:val="00AF72E5"/>
    <w:pPr>
      <w:numPr>
        <w:ilvl w:val="5"/>
        <w:numId w:val="16"/>
      </w:numPr>
      <w:spacing w:after="240"/>
      <w:outlineLvl w:val="5"/>
    </w:pPr>
  </w:style>
  <w:style w:type="paragraph" w:styleId="Heading7">
    <w:name w:val="heading 7"/>
    <w:aliases w:val="h7"/>
    <w:basedOn w:val="Normal"/>
    <w:next w:val="Normal"/>
    <w:link w:val="Heading7Char"/>
    <w:uiPriority w:val="9"/>
    <w:qFormat/>
    <w:rsid w:val="00AF72E5"/>
    <w:pPr>
      <w:numPr>
        <w:ilvl w:val="6"/>
        <w:numId w:val="16"/>
      </w:numPr>
      <w:spacing w:after="240"/>
      <w:outlineLvl w:val="6"/>
    </w:pPr>
  </w:style>
  <w:style w:type="paragraph" w:styleId="Heading8">
    <w:name w:val="heading 8"/>
    <w:aliases w:val="h8"/>
    <w:basedOn w:val="Normal"/>
    <w:next w:val="Normal"/>
    <w:link w:val="Heading8Char"/>
    <w:uiPriority w:val="9"/>
    <w:qFormat/>
    <w:rsid w:val="00AF72E5"/>
    <w:pPr>
      <w:numPr>
        <w:ilvl w:val="7"/>
        <w:numId w:val="16"/>
      </w:numPr>
      <w:spacing w:after="240"/>
      <w:outlineLvl w:val="7"/>
    </w:pPr>
  </w:style>
  <w:style w:type="paragraph" w:styleId="Heading9">
    <w:name w:val="heading 9"/>
    <w:aliases w:val="h9"/>
    <w:basedOn w:val="Normal"/>
    <w:next w:val="Normal"/>
    <w:link w:val="Heading9Char"/>
    <w:uiPriority w:val="9"/>
    <w:qFormat/>
    <w:rsid w:val="00AF72E5"/>
    <w:pPr>
      <w:numPr>
        <w:ilvl w:val="8"/>
        <w:numId w:val="16"/>
      </w:numPr>
      <w:spacing w:after="2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
    <w:basedOn w:val="DefaultParagraphFont"/>
    <w:link w:val="Heading1"/>
    <w:uiPriority w:val="9"/>
    <w:rsid w:val="00AF72E5"/>
    <w:rPr>
      <w:rFonts w:eastAsia="Times New Roman" w:cs="Times New Roman"/>
      <w:i/>
      <w:iCs/>
      <w:sz w:val="18"/>
      <w:szCs w:val="18"/>
    </w:rPr>
  </w:style>
  <w:style w:type="character" w:styleId="Heading2Char" w:customStyle="1">
    <w:name w:val="Heading 2 Char"/>
    <w:aliases w:val="h2 Char"/>
    <w:basedOn w:val="DefaultParagraphFont"/>
    <w:link w:val="Heading2"/>
    <w:uiPriority w:val="9"/>
    <w:rsid w:val="00AF72E5"/>
    <w:rPr>
      <w:rFonts w:eastAsia="Times New Roman" w:cs="Times New Roman"/>
      <w:sz w:val="20"/>
      <w:szCs w:val="20"/>
    </w:rPr>
  </w:style>
  <w:style w:type="character" w:styleId="Heading3Char" w:customStyle="1">
    <w:name w:val="Heading 3 Char"/>
    <w:aliases w:val="h3 Char"/>
    <w:basedOn w:val="DefaultParagraphFont"/>
    <w:link w:val="Heading3"/>
    <w:uiPriority w:val="9"/>
    <w:rsid w:val="00AF72E5"/>
    <w:rPr>
      <w:rFonts w:eastAsia="Times New Roman" w:cs="Times New Roman"/>
      <w:sz w:val="20"/>
      <w:szCs w:val="20"/>
    </w:rPr>
  </w:style>
  <w:style w:type="character" w:styleId="Heading4Char" w:customStyle="1">
    <w:name w:val="Heading 4 Char"/>
    <w:aliases w:val="h4 Char"/>
    <w:basedOn w:val="DefaultParagraphFont"/>
    <w:link w:val="Heading4"/>
    <w:uiPriority w:val="9"/>
    <w:rsid w:val="00AF72E5"/>
    <w:rPr>
      <w:rFonts w:eastAsia="Times New Roman" w:cs="Times New Roman"/>
      <w:sz w:val="20"/>
      <w:szCs w:val="20"/>
    </w:rPr>
  </w:style>
  <w:style w:type="character" w:styleId="Heading5Char" w:customStyle="1">
    <w:name w:val="Heading 5 Char"/>
    <w:aliases w:val="h5 Char"/>
    <w:basedOn w:val="DefaultParagraphFont"/>
    <w:link w:val="Heading5"/>
    <w:uiPriority w:val="9"/>
    <w:rsid w:val="00AF72E5"/>
    <w:rPr>
      <w:rFonts w:eastAsia="Times New Roman" w:cs="Times New Roman"/>
      <w:sz w:val="20"/>
      <w:szCs w:val="20"/>
    </w:rPr>
  </w:style>
  <w:style w:type="character" w:styleId="Heading6Char" w:customStyle="1">
    <w:name w:val="Heading 6 Char"/>
    <w:aliases w:val="h6 Char"/>
    <w:basedOn w:val="DefaultParagraphFont"/>
    <w:link w:val="Heading6"/>
    <w:uiPriority w:val="9"/>
    <w:rsid w:val="00AF72E5"/>
    <w:rPr>
      <w:rFonts w:eastAsia="Times New Roman" w:cs="Times New Roman"/>
      <w:sz w:val="20"/>
      <w:szCs w:val="20"/>
    </w:rPr>
  </w:style>
  <w:style w:type="character" w:styleId="Heading7Char" w:customStyle="1">
    <w:name w:val="Heading 7 Char"/>
    <w:aliases w:val="h7 Char"/>
    <w:basedOn w:val="DefaultParagraphFont"/>
    <w:link w:val="Heading7"/>
    <w:uiPriority w:val="9"/>
    <w:rsid w:val="00AF72E5"/>
    <w:rPr>
      <w:rFonts w:eastAsia="Times New Roman" w:cs="Times New Roman"/>
      <w:sz w:val="20"/>
      <w:szCs w:val="20"/>
    </w:rPr>
  </w:style>
  <w:style w:type="character" w:styleId="Heading8Char" w:customStyle="1">
    <w:name w:val="Heading 8 Char"/>
    <w:aliases w:val="h8 Char"/>
    <w:basedOn w:val="DefaultParagraphFont"/>
    <w:link w:val="Heading8"/>
    <w:uiPriority w:val="9"/>
    <w:rsid w:val="00AF72E5"/>
    <w:rPr>
      <w:rFonts w:eastAsia="Times New Roman" w:cs="Times New Roman"/>
      <w:sz w:val="20"/>
      <w:szCs w:val="20"/>
    </w:rPr>
  </w:style>
  <w:style w:type="character" w:styleId="Heading9Char" w:customStyle="1">
    <w:name w:val="Heading 9 Char"/>
    <w:aliases w:val="h9 Char"/>
    <w:basedOn w:val="DefaultParagraphFont"/>
    <w:link w:val="Heading9"/>
    <w:uiPriority w:val="9"/>
    <w:rsid w:val="00AF72E5"/>
    <w:rPr>
      <w:rFonts w:eastAsia="Times New Roman" w:cs="Times New Roman"/>
      <w:sz w:val="20"/>
      <w:szCs w:val="20"/>
    </w:rPr>
  </w:style>
  <w:style w:type="paragraph" w:styleId="BodyText">
    <w:name w:val="Body Text"/>
    <w:basedOn w:val="Normal"/>
    <w:next w:val="DeltaViewTableHeading"/>
    <w:link w:val="BodyTextChar"/>
    <w:uiPriority w:val="1"/>
    <w:qFormat/>
    <w:rsid w:val="000A6970"/>
    <w:pPr>
      <w:widowControl/>
      <w:spacing w:after="240"/>
    </w:pPr>
  </w:style>
  <w:style w:type="character" w:styleId="BodyTextChar" w:customStyle="1">
    <w:name w:val="Body Text Char"/>
    <w:basedOn w:val="DefaultParagraphFont"/>
    <w:link w:val="BodyText"/>
    <w:uiPriority w:val="1"/>
    <w:rsid w:val="000A6970"/>
    <w:rPr>
      <w:rFonts w:eastAsia="Times New Roman" w:cs="Times New Roman"/>
      <w:sz w:val="20"/>
      <w:szCs w:val="20"/>
    </w:rPr>
  </w:style>
  <w:style w:type="paragraph" w:styleId="BodyText2">
    <w:name w:val="Body Text 2"/>
    <w:aliases w:val="bt2"/>
    <w:basedOn w:val="Normal"/>
    <w:next w:val="DeltaViewTableBody"/>
    <w:link w:val="BodyText2Char"/>
    <w:uiPriority w:val="1"/>
    <w:qFormat/>
    <w:rsid w:val="00AF72E5"/>
    <w:pPr>
      <w:spacing w:line="480" w:lineRule="auto"/>
    </w:pPr>
  </w:style>
  <w:style w:type="character" w:styleId="BodyText2Char" w:customStyle="1">
    <w:name w:val="Body Text 2 Char"/>
    <w:aliases w:val="bt2 Char"/>
    <w:basedOn w:val="DefaultParagraphFont"/>
    <w:link w:val="BodyText2"/>
    <w:uiPriority w:val="1"/>
    <w:rsid w:val="00AF72E5"/>
    <w:rPr>
      <w:rFonts w:eastAsia="Times New Roman" w:cs="Times New Roman"/>
      <w:sz w:val="20"/>
      <w:szCs w:val="20"/>
    </w:rPr>
  </w:style>
  <w:style w:type="paragraph" w:styleId="BodyText3">
    <w:name w:val="Body Text 3"/>
    <w:basedOn w:val="Normal"/>
    <w:next w:val="DeltaViewAnnounce"/>
    <w:link w:val="BodyText3Char"/>
    <w:uiPriority w:val="1"/>
    <w:qFormat/>
    <w:rsid w:val="00AF72E5"/>
    <w:pPr>
      <w:spacing w:line="360" w:lineRule="auto"/>
    </w:pPr>
  </w:style>
  <w:style w:type="character" w:styleId="BodyText3Char" w:customStyle="1">
    <w:name w:val="Body Text 3 Char"/>
    <w:basedOn w:val="DefaultParagraphFont"/>
    <w:link w:val="BodyText3"/>
    <w:uiPriority w:val="1"/>
    <w:rsid w:val="00AF72E5"/>
    <w:rPr>
      <w:rFonts w:eastAsia="Times New Roman" w:cs="Times New Roman"/>
      <w:sz w:val="20"/>
      <w:szCs w:val="20"/>
    </w:rPr>
  </w:style>
  <w:style w:type="paragraph" w:styleId="BodyTextFirstIndent">
    <w:name w:val="Body Text First Indent"/>
    <w:aliases w:val="btfi"/>
    <w:basedOn w:val="DeltaViewTableHeading"/>
    <w:link w:val="BodyTextFirstIndentChar"/>
    <w:uiPriority w:val="1"/>
    <w:qFormat/>
    <w:rsid w:val="00A762F4"/>
    <w:pPr>
      <w:spacing w:after="240"/>
      <w:ind w:firstLine="720"/>
      <w:jc w:val="both"/>
    </w:pPr>
    <w:rPr>
      <w:rFonts w:ascii="Times New Roman" w:hAnsi="Times New Roman" w:cs="Times New Roman"/>
      <w:b w:val="0"/>
      <w:bCs w:val="0"/>
      <w:sz w:val="20"/>
      <w:szCs w:val="20"/>
    </w:rPr>
  </w:style>
  <w:style w:type="character" w:styleId="BodyTextFirstIndentChar" w:customStyle="1">
    <w:name w:val="Body Text First Indent Char"/>
    <w:aliases w:val="btfi Char"/>
    <w:basedOn w:val="BodyTextChar"/>
    <w:link w:val="BodyTextFirstIndent"/>
    <w:uiPriority w:val="1"/>
    <w:rsid w:val="00A762F4"/>
    <w:rPr>
      <w:rFonts w:eastAsia="Times New Roman" w:cs="Times New Roman"/>
      <w:sz w:val="20"/>
      <w:szCs w:val="20"/>
    </w:rPr>
  </w:style>
  <w:style w:type="paragraph" w:styleId="BodyTextIndent">
    <w:name w:val="Body Text Indent"/>
    <w:aliases w:val="bti"/>
    <w:basedOn w:val="Normal"/>
    <w:next w:val="BodyText"/>
    <w:link w:val="BodyTextIndentChar"/>
    <w:uiPriority w:val="1"/>
    <w:qFormat/>
    <w:rsid w:val="00AF72E5"/>
    <w:pPr>
      <w:spacing w:after="240"/>
      <w:ind w:left="720" w:right="720"/>
    </w:pPr>
  </w:style>
  <w:style w:type="character" w:styleId="BodyTextIndentChar" w:customStyle="1">
    <w:name w:val="Body Text Indent Char"/>
    <w:aliases w:val="bti Char"/>
    <w:basedOn w:val="DefaultParagraphFont"/>
    <w:link w:val="BodyTextIndent"/>
    <w:uiPriority w:val="1"/>
    <w:rsid w:val="00AF72E5"/>
    <w:rPr>
      <w:rFonts w:eastAsia="Times New Roman" w:cs="Times New Roman"/>
      <w:sz w:val="20"/>
      <w:szCs w:val="20"/>
    </w:rPr>
  </w:style>
  <w:style w:type="paragraph" w:styleId="BodyTextFirstIndent2">
    <w:name w:val="Body Text First Indent 2"/>
    <w:basedOn w:val="BodyText"/>
    <w:link w:val="BodyTextFirstIndent2Char"/>
    <w:uiPriority w:val="1"/>
    <w:qFormat/>
    <w:rsid w:val="00AF72E5"/>
    <w:pPr>
      <w:spacing w:after="0" w:line="480" w:lineRule="auto"/>
      <w:ind w:firstLine="720"/>
    </w:pPr>
  </w:style>
  <w:style w:type="character" w:styleId="BodyTextFirstIndent2Char" w:customStyle="1">
    <w:name w:val="Body Text First Indent 2 Char"/>
    <w:basedOn w:val="BodyTextIndentChar"/>
    <w:link w:val="BodyTextFirstIndent2"/>
    <w:uiPriority w:val="1"/>
    <w:rsid w:val="00AF72E5"/>
    <w:rPr>
      <w:rFonts w:eastAsia="Times New Roman" w:cs="Times New Roman"/>
      <w:sz w:val="20"/>
      <w:szCs w:val="20"/>
    </w:rPr>
  </w:style>
  <w:style w:type="paragraph" w:styleId="BodyTextIndent2">
    <w:name w:val="Body Text Indent 2"/>
    <w:aliases w:val="bti2"/>
    <w:basedOn w:val="Normal"/>
    <w:link w:val="BodyTextIndent2Char"/>
    <w:uiPriority w:val="99"/>
    <w:rsid w:val="00AF72E5"/>
    <w:pPr>
      <w:spacing w:after="240"/>
      <w:ind w:left="1440" w:right="1440"/>
    </w:pPr>
  </w:style>
  <w:style w:type="character" w:styleId="BodyTextIndent2Char" w:customStyle="1">
    <w:name w:val="Body Text Indent 2 Char"/>
    <w:aliases w:val="bti2 Char"/>
    <w:basedOn w:val="DefaultParagraphFont"/>
    <w:link w:val="BodyTextIndent2"/>
    <w:uiPriority w:val="99"/>
    <w:rsid w:val="00AF72E5"/>
    <w:rPr>
      <w:rFonts w:eastAsia="Times New Roman" w:cs="Times New Roman"/>
      <w:sz w:val="20"/>
      <w:szCs w:val="20"/>
    </w:rPr>
  </w:style>
  <w:style w:type="paragraph" w:styleId="BodyTextIndent3">
    <w:name w:val="Body Text Indent 3"/>
    <w:aliases w:val="bti3"/>
    <w:basedOn w:val="Normal"/>
    <w:link w:val="BodyTextIndent3Char"/>
    <w:uiPriority w:val="99"/>
    <w:rsid w:val="00AF72E5"/>
    <w:pPr>
      <w:spacing w:after="240"/>
      <w:ind w:left="2160" w:right="2160"/>
    </w:pPr>
  </w:style>
  <w:style w:type="character" w:styleId="BodyTextIndent3Char" w:customStyle="1">
    <w:name w:val="Body Text Indent 3 Char"/>
    <w:aliases w:val="bti3 Char"/>
    <w:basedOn w:val="DefaultParagraphFont"/>
    <w:link w:val="BodyTextIndent3"/>
    <w:uiPriority w:val="99"/>
    <w:rsid w:val="00AF72E5"/>
    <w:rPr>
      <w:rFonts w:eastAsia="Times New Roman" w:cs="Times New Roman"/>
      <w:sz w:val="20"/>
      <w:szCs w:val="20"/>
    </w:rPr>
  </w:style>
  <w:style w:type="paragraph" w:styleId="Closing">
    <w:name w:val="Closing"/>
    <w:basedOn w:val="Normal"/>
    <w:link w:val="ClosingChar"/>
    <w:rsid w:val="00AF72E5"/>
    <w:pPr>
      <w:keepNext/>
      <w:tabs>
        <w:tab w:val="right" w:pos="9360"/>
      </w:tabs>
      <w:ind w:left="5040"/>
    </w:pPr>
  </w:style>
  <w:style w:type="character" w:styleId="ClosingChar" w:customStyle="1">
    <w:name w:val="Closing Char"/>
    <w:basedOn w:val="DefaultParagraphFont"/>
    <w:link w:val="Closing"/>
    <w:rsid w:val="00AF72E5"/>
    <w:rPr>
      <w:rFonts w:eastAsia="Times New Roman" w:cs="Times New Roman"/>
      <w:sz w:val="20"/>
      <w:szCs w:val="20"/>
    </w:rPr>
  </w:style>
  <w:style w:type="paragraph" w:styleId="E-mailSignature">
    <w:name w:val="E-mail Signature"/>
    <w:basedOn w:val="Normal"/>
    <w:next w:val="CommentText"/>
    <w:link w:val="E-mailSignatureChar"/>
    <w:rsid w:val="00AF72E5"/>
    <w:pPr>
      <w:jc w:val="left"/>
    </w:pPr>
  </w:style>
  <w:style w:type="character" w:styleId="E-mailSignatureChar" w:customStyle="1">
    <w:name w:val="E-mail Signature Char"/>
    <w:basedOn w:val="DefaultParagraphFont"/>
    <w:link w:val="E-mailSignature"/>
    <w:rsid w:val="00AF72E5"/>
    <w:rPr>
      <w:rFonts w:eastAsia="Times New Roman" w:cs="Times New Roman"/>
      <w:sz w:val="20"/>
      <w:szCs w:val="20"/>
    </w:rPr>
  </w:style>
  <w:style w:type="paragraph" w:styleId="EnvelopeAddress">
    <w:name w:val="envelope address"/>
    <w:basedOn w:val="Normal"/>
    <w:rsid w:val="00AF72E5"/>
    <w:pPr>
      <w:framePr w:w="7920" w:h="1980" w:hSpace="180" w:wrap="auto" w:hAnchor="page" w:xAlign="center" w:yAlign="bottom" w:hRule="exact"/>
      <w:ind w:left="2880"/>
      <w:jc w:val="left"/>
    </w:pPr>
  </w:style>
  <w:style w:type="paragraph" w:styleId="EnvelopeReturn">
    <w:name w:val="envelope return"/>
    <w:basedOn w:val="Normal"/>
    <w:rsid w:val="00AF72E5"/>
    <w:pPr>
      <w:jc w:val="left"/>
    </w:pPr>
  </w:style>
  <w:style w:type="paragraph" w:styleId="FootnoteText">
    <w:name w:val="footnote text"/>
    <w:aliases w:val="Car"/>
    <w:basedOn w:val="Normal"/>
    <w:next w:val="DocumentMap"/>
    <w:link w:val="FootnoteTextChar"/>
    <w:hidden/>
    <w:qFormat/>
    <w:rsid w:val="00AF72E5"/>
    <w:pPr>
      <w:spacing w:after="120"/>
    </w:pPr>
  </w:style>
  <w:style w:type="character" w:styleId="FootnoteTextChar" w:customStyle="1">
    <w:name w:val="Footnote Text Char"/>
    <w:aliases w:val="Car Char"/>
    <w:basedOn w:val="DefaultParagraphFont"/>
    <w:link w:val="FootnoteText"/>
    <w:rsid w:val="00AF72E5"/>
    <w:rPr>
      <w:rFonts w:eastAsia="Times New Roman" w:cs="Times New Roman"/>
      <w:sz w:val="20"/>
      <w:szCs w:val="20"/>
    </w:rPr>
  </w:style>
  <w:style w:type="paragraph" w:styleId="MessageHeader">
    <w:name w:val="Message Header"/>
    <w:basedOn w:val="Normal"/>
    <w:link w:val="MessageHeaderChar"/>
    <w:rsid w:val="00AF72E5"/>
    <w:pPr>
      <w:pBdr>
        <w:top w:val="single" w:color="000000" w:sz="6" w:space="1"/>
        <w:left w:val="single" w:color="000000" w:sz="6" w:space="1"/>
        <w:bottom w:val="single" w:color="000000" w:sz="6" w:space="1"/>
        <w:right w:val="single" w:color="000000" w:sz="6" w:space="1"/>
      </w:pBdr>
      <w:shd w:val="pct20" w:color="auto" w:fill="auto"/>
      <w:jc w:val="center"/>
    </w:pPr>
  </w:style>
  <w:style w:type="character" w:styleId="MessageHeaderChar" w:customStyle="1">
    <w:name w:val="Message Header Char"/>
    <w:basedOn w:val="DefaultParagraphFont"/>
    <w:link w:val="MessageHeader"/>
    <w:rsid w:val="00AF72E5"/>
    <w:rPr>
      <w:rFonts w:eastAsia="Times New Roman" w:cs="Times New Roman"/>
      <w:sz w:val="20"/>
      <w:szCs w:val="20"/>
      <w:shd w:val="pct20" w:color="auto" w:fill="auto"/>
    </w:rPr>
  </w:style>
  <w:style w:type="paragraph" w:styleId="Signature">
    <w:name w:val="Signature"/>
    <w:aliases w:val="sig"/>
    <w:basedOn w:val="Normal"/>
    <w:link w:val="SignatureChar"/>
    <w:uiPriority w:val="99"/>
    <w:qFormat/>
    <w:rsid w:val="00AF72E5"/>
    <w:pPr>
      <w:tabs>
        <w:tab w:val="right" w:pos="9360"/>
      </w:tabs>
      <w:ind w:left="5040"/>
    </w:pPr>
  </w:style>
  <w:style w:type="character" w:styleId="SignatureChar" w:customStyle="1">
    <w:name w:val="Signature Char"/>
    <w:aliases w:val="sig Char"/>
    <w:basedOn w:val="DefaultParagraphFont"/>
    <w:link w:val="Signature"/>
    <w:uiPriority w:val="99"/>
    <w:rsid w:val="00AF72E5"/>
    <w:rPr>
      <w:rFonts w:eastAsia="Times New Roman" w:cs="Times New Roman"/>
      <w:sz w:val="20"/>
      <w:szCs w:val="20"/>
    </w:rPr>
  </w:style>
  <w:style w:type="paragraph" w:styleId="Subtitle">
    <w:name w:val="Subtitle"/>
    <w:aliases w:val="sub"/>
    <w:basedOn w:val="Normal"/>
    <w:link w:val="SubtitleChar"/>
    <w:uiPriority w:val="11"/>
    <w:qFormat/>
    <w:rsid w:val="00AF72E5"/>
    <w:pPr>
      <w:keepNext/>
      <w:spacing w:after="240"/>
      <w:jc w:val="center"/>
      <w:outlineLvl w:val="1"/>
    </w:pPr>
  </w:style>
  <w:style w:type="character" w:styleId="SubtitleChar" w:customStyle="1">
    <w:name w:val="Subtitle Char"/>
    <w:aliases w:val="sub Char"/>
    <w:basedOn w:val="DefaultParagraphFont"/>
    <w:link w:val="Subtitle"/>
    <w:uiPriority w:val="11"/>
    <w:rsid w:val="00AF72E5"/>
    <w:rPr>
      <w:rFonts w:eastAsia="Times New Roman" w:cs="Times New Roman"/>
      <w:sz w:val="20"/>
      <w:szCs w:val="20"/>
    </w:rPr>
  </w:style>
  <w:style w:type="paragraph" w:styleId="Title">
    <w:name w:val="Title"/>
    <w:aliases w:val="t"/>
    <w:basedOn w:val="Normal"/>
    <w:link w:val="TitleChar"/>
    <w:uiPriority w:val="10"/>
    <w:qFormat/>
    <w:rsid w:val="00AF72E5"/>
    <w:pPr>
      <w:keepNext/>
      <w:spacing w:after="60"/>
      <w:jc w:val="center"/>
      <w:outlineLvl w:val="0"/>
    </w:pPr>
    <w:rPr>
      <w:b/>
      <w:bCs/>
      <w:kern w:val="28"/>
      <w:sz w:val="28"/>
      <w:szCs w:val="28"/>
    </w:rPr>
  </w:style>
  <w:style w:type="character" w:styleId="TitleChar" w:customStyle="1">
    <w:name w:val="Title Char"/>
    <w:aliases w:val="t Char"/>
    <w:basedOn w:val="DefaultParagraphFont"/>
    <w:link w:val="Title"/>
    <w:uiPriority w:val="10"/>
    <w:rsid w:val="00AF72E5"/>
    <w:rPr>
      <w:rFonts w:eastAsia="Times New Roman" w:cs="Times New Roman"/>
      <w:b/>
      <w:bCs/>
      <w:kern w:val="28"/>
      <w:sz w:val="28"/>
      <w:szCs w:val="28"/>
    </w:rPr>
  </w:style>
  <w:style w:type="paragraph" w:styleId="Header">
    <w:name w:val="header"/>
    <w:basedOn w:val="Normal"/>
    <w:link w:val="HeaderChar"/>
    <w:uiPriority w:val="99"/>
    <w:rsid w:val="00AF72E5"/>
    <w:pPr>
      <w:tabs>
        <w:tab w:val="center" w:pos="4320"/>
        <w:tab w:val="right" w:pos="8640"/>
      </w:tabs>
    </w:pPr>
  </w:style>
  <w:style w:type="character" w:styleId="HeaderChar" w:customStyle="1">
    <w:name w:val="Header Char"/>
    <w:basedOn w:val="DefaultParagraphFont"/>
    <w:link w:val="Header"/>
    <w:uiPriority w:val="99"/>
    <w:rsid w:val="00AF72E5"/>
    <w:rPr>
      <w:rFonts w:eastAsia="Times New Roman" w:cs="Times New Roman"/>
      <w:sz w:val="20"/>
      <w:szCs w:val="20"/>
    </w:rPr>
  </w:style>
  <w:style w:type="paragraph" w:styleId="Footer">
    <w:name w:val="footer"/>
    <w:basedOn w:val="Normal"/>
    <w:link w:val="FooterChar"/>
    <w:uiPriority w:val="99"/>
    <w:rsid w:val="00AF72E5"/>
    <w:pPr>
      <w:tabs>
        <w:tab w:val="center" w:pos="4320"/>
        <w:tab w:val="right" w:pos="8640"/>
      </w:tabs>
    </w:pPr>
  </w:style>
  <w:style w:type="character" w:styleId="FooterChar" w:customStyle="1">
    <w:name w:val="Footer Char"/>
    <w:basedOn w:val="DefaultParagraphFont"/>
    <w:link w:val="Footer"/>
    <w:uiPriority w:val="99"/>
    <w:rsid w:val="00AF72E5"/>
    <w:rPr>
      <w:rFonts w:eastAsia="Times New Roman" w:cs="Times New Roman"/>
      <w:sz w:val="20"/>
      <w:szCs w:val="20"/>
    </w:rPr>
  </w:style>
  <w:style w:type="paragraph" w:styleId="ailistat5" w:customStyle="1">
    <w:name w:val="a (i) list at .5"/>
    <w:basedOn w:val="Normal"/>
    <w:rsid w:val="00AF72E5"/>
    <w:pPr>
      <w:tabs>
        <w:tab w:val="num" w:pos="0"/>
      </w:tabs>
      <w:spacing w:after="240"/>
    </w:pPr>
    <w:rPr>
      <w:noProof/>
      <w:color w:val="000000"/>
    </w:rPr>
  </w:style>
  <w:style w:type="paragraph" w:styleId="aaddressindent" w:customStyle="1">
    <w:name w:val="a address indent"/>
    <w:basedOn w:val="Normal"/>
    <w:rsid w:val="00AF72E5"/>
    <w:pPr>
      <w:spacing w:after="240"/>
      <w:ind w:left="3600"/>
      <w:jc w:val="left"/>
    </w:pPr>
  </w:style>
  <w:style w:type="paragraph" w:styleId="ablockquote" w:customStyle="1">
    <w:name w:val="a block quote"/>
    <w:basedOn w:val="Normal"/>
    <w:rsid w:val="00AF72E5"/>
    <w:pPr>
      <w:spacing w:after="240"/>
      <w:ind w:left="1440" w:right="1440"/>
    </w:pPr>
  </w:style>
  <w:style w:type="paragraph" w:styleId="abodytextbold" w:customStyle="1">
    <w:name w:val="a body text bold"/>
    <w:basedOn w:val="Normal"/>
    <w:next w:val="Normal"/>
    <w:rsid w:val="00AF72E5"/>
    <w:pPr>
      <w:keepNext/>
      <w:spacing w:after="240"/>
    </w:pPr>
    <w:rPr>
      <w:b/>
      <w:bCs/>
    </w:rPr>
  </w:style>
  <w:style w:type="paragraph" w:styleId="abodytextboldunderlined" w:customStyle="1">
    <w:name w:val="a body text bold underlined"/>
    <w:basedOn w:val="Normal"/>
    <w:rsid w:val="00AF72E5"/>
    <w:pPr>
      <w:spacing w:after="240"/>
    </w:pPr>
    <w:rPr>
      <w:b/>
      <w:bCs/>
      <w:u w:val="single"/>
    </w:rPr>
  </w:style>
  <w:style w:type="paragraph" w:styleId="aBodyTextIndentleftonly" w:customStyle="1">
    <w:name w:val="a Body Text Indent left only"/>
    <w:basedOn w:val="Normal"/>
    <w:rsid w:val="00AF72E5"/>
    <w:pPr>
      <w:spacing w:after="240"/>
      <w:ind w:left="720" w:right="720" w:firstLine="720"/>
    </w:pPr>
  </w:style>
  <w:style w:type="paragraph" w:styleId="abodytextleftsingle" w:customStyle="1">
    <w:name w:val="a body text left single"/>
    <w:basedOn w:val="Normal"/>
    <w:rsid w:val="00AF72E5"/>
    <w:pPr>
      <w:jc w:val="left"/>
    </w:pPr>
  </w:style>
  <w:style w:type="paragraph" w:styleId="abtindent5" w:customStyle="1">
    <w:name w:val="a bt indent .5"/>
    <w:basedOn w:val="Normal"/>
    <w:rsid w:val="00AF72E5"/>
    <w:pPr>
      <w:tabs>
        <w:tab w:val="left" w:pos="720"/>
        <w:tab w:val="left" w:pos="1440"/>
        <w:tab w:val="left" w:pos="2160"/>
        <w:tab w:val="left" w:pos="2880"/>
        <w:tab w:val="left" w:pos="3600"/>
        <w:tab w:val="left" w:pos="4320"/>
        <w:tab w:val="left" w:pos="5040"/>
        <w:tab w:val="left" w:pos="5760"/>
        <w:tab w:val="left" w:pos="6480"/>
        <w:tab w:val="left" w:pos="7200"/>
      </w:tabs>
      <w:spacing w:after="240"/>
      <w:ind w:left="720" w:firstLine="720"/>
    </w:pPr>
  </w:style>
  <w:style w:type="paragraph" w:styleId="abtnoindent5" w:customStyle="1">
    <w:name w:val="a bt no indent .5"/>
    <w:basedOn w:val="Normal"/>
    <w:rsid w:val="00AF72E5"/>
    <w:pPr>
      <w:spacing w:after="240"/>
      <w:ind w:left="720"/>
    </w:pPr>
  </w:style>
  <w:style w:type="paragraph" w:styleId="abtfiitalics" w:customStyle="1">
    <w:name w:val="a btfi italics"/>
    <w:basedOn w:val="Normal"/>
    <w:rsid w:val="00AF72E5"/>
    <w:pPr>
      <w:spacing w:after="240"/>
      <w:ind w:firstLine="720"/>
    </w:pPr>
    <w:rPr>
      <w:i/>
      <w:iCs/>
    </w:rPr>
  </w:style>
  <w:style w:type="paragraph" w:styleId="adate" w:customStyle="1">
    <w:name w:val="a date"/>
    <w:basedOn w:val="Normal"/>
    <w:next w:val="ainsideaddress"/>
    <w:rsid w:val="00AF72E5"/>
    <w:pPr>
      <w:tabs>
        <w:tab w:val="left" w:pos="7380"/>
      </w:tabs>
      <w:spacing w:before="1200" w:after="960"/>
      <w:ind w:left="7344"/>
      <w:jc w:val="left"/>
    </w:pPr>
  </w:style>
  <w:style w:type="paragraph" w:styleId="adocnumber" w:customStyle="1">
    <w:name w:val="a doc number"/>
    <w:basedOn w:val="Normal"/>
    <w:rsid w:val="00AF72E5"/>
    <w:rPr>
      <w:sz w:val="15"/>
      <w:szCs w:val="15"/>
    </w:rPr>
  </w:style>
  <w:style w:type="paragraph" w:styleId="adraftof" w:customStyle="1">
    <w:name w:val="a draft of"/>
    <w:basedOn w:val="Normal"/>
    <w:rsid w:val="00AF72E5"/>
    <w:pPr>
      <w:spacing w:after="240"/>
      <w:jc w:val="right"/>
    </w:pPr>
    <w:rPr>
      <w:b/>
      <w:bCs/>
      <w:u w:val="single"/>
    </w:rPr>
  </w:style>
  <w:style w:type="paragraph" w:styleId="aendof" w:customStyle="1">
    <w:name w:val="a end of"/>
    <w:basedOn w:val="Normal"/>
    <w:next w:val="Normal"/>
    <w:rsid w:val="00AF72E5"/>
    <w:pPr>
      <w:spacing w:before="240"/>
      <w:jc w:val="center"/>
    </w:pPr>
  </w:style>
  <w:style w:type="paragraph" w:styleId="afirstparaindenta" w:customStyle="1">
    <w:name w:val="a first para indent (a)"/>
    <w:basedOn w:val="Normal"/>
    <w:rsid w:val="00AF72E5"/>
    <w:pPr>
      <w:spacing w:after="240"/>
    </w:pPr>
  </w:style>
  <w:style w:type="paragraph" w:styleId="ahangingindent" w:customStyle="1">
    <w:name w:val="a hanging indent"/>
    <w:basedOn w:val="Normal"/>
    <w:rsid w:val="00AF72E5"/>
    <w:pPr>
      <w:ind w:left="720" w:hanging="720"/>
    </w:pPr>
    <w:rPr>
      <w:sz w:val="16"/>
      <w:szCs w:val="16"/>
    </w:rPr>
  </w:style>
  <w:style w:type="paragraph" w:styleId="aHEADING" w:customStyle="1">
    <w:name w:val="a HEADING"/>
    <w:basedOn w:val="Normal"/>
    <w:next w:val="Normal"/>
    <w:qFormat/>
    <w:rsid w:val="00AA223A"/>
    <w:pPr>
      <w:keepNext/>
      <w:spacing w:after="240"/>
      <w:jc w:val="center"/>
    </w:pPr>
    <w:rPr>
      <w:b/>
      <w:bCs/>
    </w:rPr>
  </w:style>
  <w:style w:type="paragraph" w:styleId="aHEADINGSUB" w:customStyle="1">
    <w:name w:val="a HEADING SUB"/>
    <w:basedOn w:val="Normal"/>
    <w:next w:val="Normal"/>
    <w:rsid w:val="00AF72E5"/>
    <w:pPr>
      <w:keepNext/>
      <w:spacing w:after="240"/>
    </w:pPr>
    <w:rPr>
      <w:b/>
      <w:bCs/>
    </w:rPr>
  </w:style>
  <w:style w:type="paragraph" w:styleId="aindent3parawithdotleaders" w:customStyle="1">
    <w:name w:val="a indent 3 para with dot leaders"/>
    <w:basedOn w:val="Normal"/>
    <w:rsid w:val="00AF72E5"/>
    <w:pPr>
      <w:tabs>
        <w:tab w:val="left" w:leader="dot" w:pos="3600"/>
      </w:tabs>
      <w:spacing w:after="240"/>
      <w:ind w:left="4320" w:hanging="4320"/>
    </w:pPr>
  </w:style>
  <w:style w:type="paragraph" w:styleId="aindentblockquote" w:customStyle="1">
    <w:name w:val="a indent block quote"/>
    <w:basedOn w:val="Normal"/>
    <w:rsid w:val="00AF72E5"/>
    <w:pPr>
      <w:spacing w:after="240"/>
      <w:ind w:left="2160" w:right="1440"/>
    </w:pPr>
  </w:style>
  <w:style w:type="paragraph" w:styleId="aindentparaat5" w:customStyle="1">
    <w:name w:val="a indent para at .5"/>
    <w:basedOn w:val="Normal"/>
    <w:rsid w:val="00AF72E5"/>
    <w:pPr>
      <w:spacing w:after="240"/>
      <w:ind w:left="720" w:firstLine="720"/>
    </w:pPr>
  </w:style>
  <w:style w:type="paragraph" w:styleId="aindentparaat10" w:customStyle="1">
    <w:name w:val="a indent para at 1.0"/>
    <w:basedOn w:val="Normal"/>
    <w:rsid w:val="00AF72E5"/>
    <w:pPr>
      <w:spacing w:after="240"/>
      <w:ind w:left="1440"/>
    </w:pPr>
  </w:style>
  <w:style w:type="paragraph" w:styleId="ainsideaddress" w:customStyle="1">
    <w:name w:val="a inside address"/>
    <w:basedOn w:val="Normal"/>
    <w:rsid w:val="00AF72E5"/>
    <w:pPr>
      <w:jc w:val="left"/>
    </w:pPr>
  </w:style>
  <w:style w:type="paragraph" w:styleId="AJJQiList" w:customStyle="1">
    <w:name w:val="A JJQ (i) List"/>
    <w:basedOn w:val="List3"/>
    <w:rsid w:val="00AF72E5"/>
    <w:pPr>
      <w:numPr>
        <w:numId w:val="0"/>
      </w:numPr>
      <w:tabs>
        <w:tab w:val="num" w:pos="1800"/>
      </w:tabs>
      <w:spacing w:after="240"/>
      <w:ind w:left="1800" w:hanging="360"/>
    </w:pPr>
  </w:style>
  <w:style w:type="paragraph" w:styleId="List3">
    <w:name w:val="List 3"/>
    <w:basedOn w:val="Normal"/>
    <w:uiPriority w:val="99"/>
    <w:rsid w:val="00AF72E5"/>
    <w:pPr>
      <w:numPr>
        <w:numId w:val="18"/>
      </w:numPr>
      <w:tabs>
        <w:tab w:val="num" w:pos="1800"/>
      </w:tabs>
      <w:ind w:left="1800" w:hanging="360"/>
    </w:pPr>
  </w:style>
  <w:style w:type="paragraph" w:styleId="alevel1closingindex" w:customStyle="1">
    <w:name w:val="a level 1 closing index"/>
    <w:basedOn w:val="Normal"/>
    <w:rsid w:val="00AF72E5"/>
    <w:pPr>
      <w:spacing w:after="240"/>
    </w:pPr>
  </w:style>
  <w:style w:type="paragraph" w:styleId="alevel2closingindex" w:customStyle="1">
    <w:name w:val="a level 2 closing index"/>
    <w:basedOn w:val="Normal"/>
    <w:rsid w:val="00AF72E5"/>
    <w:pPr>
      <w:numPr>
        <w:ilvl w:val="1"/>
        <w:numId w:val="5"/>
      </w:numPr>
      <w:tabs>
        <w:tab w:val="clear" w:pos="1440"/>
      </w:tabs>
      <w:spacing w:after="240"/>
      <w:ind w:left="0" w:firstLine="0"/>
    </w:pPr>
  </w:style>
  <w:style w:type="paragraph" w:styleId="alist1" w:customStyle="1">
    <w:name w:val="a list (1)"/>
    <w:basedOn w:val="Normal"/>
    <w:rsid w:val="00AF72E5"/>
    <w:pPr>
      <w:spacing w:after="240"/>
      <w:ind w:firstLine="720"/>
    </w:pPr>
  </w:style>
  <w:style w:type="paragraph" w:styleId="alistaat5" w:customStyle="1">
    <w:name w:val="a list (a) at .5"/>
    <w:basedOn w:val="Normal"/>
    <w:rsid w:val="00AF72E5"/>
    <w:pPr>
      <w:spacing w:after="240"/>
      <w:ind w:firstLine="720"/>
    </w:pPr>
  </w:style>
  <w:style w:type="paragraph" w:styleId="alisti" w:customStyle="1">
    <w:name w:val="a list (i)"/>
    <w:basedOn w:val="Normal"/>
    <w:rsid w:val="00AF72E5"/>
    <w:pPr>
      <w:spacing w:after="240"/>
      <w:ind w:left="720" w:firstLine="720"/>
    </w:pPr>
  </w:style>
  <w:style w:type="paragraph" w:styleId="alistifirstindent" w:customStyle="1">
    <w:name w:val="a list (i) first indent"/>
    <w:basedOn w:val="Normal"/>
    <w:rsid w:val="00AF72E5"/>
    <w:pPr>
      <w:tabs>
        <w:tab w:val="num" w:pos="0"/>
      </w:tabs>
      <w:spacing w:after="240"/>
    </w:pPr>
  </w:style>
  <w:style w:type="paragraph" w:styleId="ALIST1AT5" w:customStyle="1">
    <w:name w:val="A LIST 1. AT .5"/>
    <w:basedOn w:val="Normal"/>
    <w:rsid w:val="00AF72E5"/>
    <w:pPr>
      <w:spacing w:after="240"/>
    </w:pPr>
  </w:style>
  <w:style w:type="paragraph" w:styleId="alistnumber1" w:customStyle="1">
    <w:name w:val="a list number 1"/>
    <w:basedOn w:val="ListNumber"/>
    <w:rsid w:val="00AF72E5"/>
    <w:pPr>
      <w:numPr>
        <w:numId w:val="11"/>
      </w:numPr>
      <w:tabs>
        <w:tab w:val="clear" w:pos="360"/>
      </w:tabs>
      <w:spacing w:after="240"/>
    </w:pPr>
  </w:style>
  <w:style w:type="paragraph" w:styleId="ListNumber">
    <w:name w:val="List Number"/>
    <w:aliases w:val="ln"/>
    <w:basedOn w:val="Normal"/>
    <w:uiPriority w:val="99"/>
    <w:qFormat/>
    <w:rsid w:val="00AF72E5"/>
    <w:pPr>
      <w:numPr>
        <w:numId w:val="1"/>
      </w:numPr>
      <w:tabs>
        <w:tab w:val="clear" w:pos="360"/>
      </w:tabs>
    </w:pPr>
  </w:style>
  <w:style w:type="paragraph" w:styleId="ALISTSUBaAT10" w:customStyle="1">
    <w:name w:val="A LIST SUB a AT 1.0"/>
    <w:basedOn w:val="Normal"/>
    <w:rsid w:val="00AF72E5"/>
    <w:pPr>
      <w:numPr>
        <w:ilvl w:val="1"/>
        <w:numId w:val="10"/>
      </w:numPr>
      <w:tabs>
        <w:tab w:val="clear" w:pos="1800"/>
      </w:tabs>
      <w:spacing w:after="240"/>
      <w:ind w:left="0" w:firstLine="0"/>
    </w:pPr>
  </w:style>
  <w:style w:type="paragraph" w:styleId="anotarycaption" w:customStyle="1">
    <w:name w:val="a notary caption"/>
    <w:basedOn w:val="Normal"/>
    <w:rsid w:val="00AF72E5"/>
    <w:pPr>
      <w:tabs>
        <w:tab w:val="left" w:pos="2880"/>
      </w:tabs>
      <w:spacing w:after="240"/>
      <w:jc w:val="left"/>
    </w:pPr>
  </w:style>
  <w:style w:type="paragraph" w:styleId="apara1" w:customStyle="1">
    <w:name w:val="a para #1"/>
    <w:basedOn w:val="Normal"/>
    <w:rsid w:val="00AF72E5"/>
    <w:pPr>
      <w:spacing w:after="240"/>
    </w:pPr>
  </w:style>
  <w:style w:type="paragraph" w:styleId="aparaa" w:customStyle="1">
    <w:name w:val="a para (a)"/>
    <w:basedOn w:val="Normal"/>
    <w:rsid w:val="00AF72E5"/>
    <w:pPr>
      <w:numPr>
        <w:ilvl w:val="1"/>
        <w:numId w:val="12"/>
      </w:numPr>
      <w:spacing w:after="240"/>
    </w:pPr>
  </w:style>
  <w:style w:type="paragraph" w:styleId="aparaAat5" w:customStyle="1">
    <w:name w:val="a para (A) at .5"/>
    <w:basedOn w:val="Normal"/>
    <w:rsid w:val="00AF72E5"/>
    <w:pPr>
      <w:numPr>
        <w:numId w:val="13"/>
      </w:numPr>
      <w:spacing w:after="240"/>
    </w:pPr>
  </w:style>
  <w:style w:type="paragraph" w:styleId="aparaiindent" w:customStyle="1">
    <w:name w:val="a para (i) indent"/>
    <w:basedOn w:val="Normal"/>
    <w:rsid w:val="00AF72E5"/>
    <w:pPr>
      <w:numPr>
        <w:numId w:val="14"/>
      </w:numPr>
      <w:tabs>
        <w:tab w:val="num" w:pos="1080"/>
      </w:tabs>
      <w:spacing w:after="240"/>
      <w:ind w:left="1080" w:hanging="360"/>
    </w:pPr>
  </w:style>
  <w:style w:type="paragraph" w:styleId="aparaindent5" w:customStyle="1">
    <w:name w:val="a para indent .5"/>
    <w:basedOn w:val="Normal"/>
    <w:rsid w:val="00AF72E5"/>
    <w:pPr>
      <w:spacing w:after="240"/>
      <w:ind w:left="720" w:firstLine="720"/>
    </w:pPr>
  </w:style>
  <w:style w:type="paragraph" w:styleId="aparagraphaat155" w:customStyle="1">
    <w:name w:val="a paragraph a at 1.5 .5"/>
    <w:basedOn w:val="Normal"/>
    <w:rsid w:val="00AF72E5"/>
    <w:pPr>
      <w:numPr>
        <w:numId w:val="15"/>
      </w:numPr>
      <w:spacing w:after="240"/>
    </w:pPr>
  </w:style>
  <w:style w:type="paragraph" w:styleId="AReLine" w:customStyle="1">
    <w:name w:val="A Re Line"/>
    <w:basedOn w:val="Normal"/>
    <w:next w:val="asalutation"/>
    <w:rsid w:val="00AF72E5"/>
    <w:pPr>
      <w:tabs>
        <w:tab w:val="left" w:pos="720"/>
        <w:tab w:val="left" w:pos="1440"/>
        <w:tab w:val="right" w:pos="9360"/>
      </w:tabs>
      <w:spacing w:after="240"/>
      <w:ind w:left="1440" w:hanging="720"/>
      <w:jc w:val="left"/>
    </w:pPr>
  </w:style>
  <w:style w:type="paragraph" w:styleId="aRIDER" w:customStyle="1">
    <w:name w:val="a RIDER"/>
    <w:basedOn w:val="Normal"/>
    <w:next w:val="DeltaViewTableHeading"/>
    <w:rsid w:val="00AF72E5"/>
    <w:pPr>
      <w:keepNext/>
      <w:spacing w:after="240"/>
      <w:jc w:val="center"/>
    </w:pPr>
  </w:style>
  <w:style w:type="paragraph" w:styleId="asalutation" w:customStyle="1">
    <w:name w:val="a salutation"/>
    <w:basedOn w:val="Normal"/>
    <w:rsid w:val="00AF72E5"/>
    <w:pPr>
      <w:spacing w:after="240"/>
    </w:pPr>
  </w:style>
  <w:style w:type="paragraph" w:styleId="asection2list0" w:customStyle="1">
    <w:name w:val="a section 2 list"/>
    <w:basedOn w:val="Normal"/>
    <w:rsid w:val="00AF72E5"/>
    <w:pPr>
      <w:spacing w:after="240"/>
    </w:pPr>
  </w:style>
  <w:style w:type="paragraph" w:styleId="asection3list" w:customStyle="1">
    <w:name w:val="a section 3 list"/>
    <w:basedOn w:val="Normal"/>
    <w:rsid w:val="00AF72E5"/>
  </w:style>
  <w:style w:type="paragraph" w:styleId="asection1list" w:customStyle="1">
    <w:name w:val="a section1 list"/>
    <w:basedOn w:val="Normal"/>
    <w:rsid w:val="00AF72E5"/>
    <w:pPr>
      <w:numPr>
        <w:numId w:val="16"/>
      </w:numPr>
      <w:spacing w:after="240"/>
    </w:pPr>
  </w:style>
  <w:style w:type="paragraph" w:styleId="asection2list" w:customStyle="1">
    <w:name w:val="a section2 list"/>
    <w:basedOn w:val="Normal"/>
    <w:rsid w:val="00AF72E5"/>
    <w:pPr>
      <w:numPr>
        <w:ilvl w:val="1"/>
        <w:numId w:val="16"/>
      </w:numPr>
      <w:spacing w:after="240"/>
    </w:pPr>
  </w:style>
  <w:style w:type="paragraph" w:styleId="atitle" w:customStyle="1">
    <w:name w:val="a title"/>
    <w:basedOn w:val="Normal"/>
    <w:rsid w:val="00AF72E5"/>
    <w:pPr>
      <w:spacing w:after="240"/>
      <w:jc w:val="center"/>
    </w:pPr>
    <w:rPr>
      <w:b/>
      <w:bCs/>
    </w:rPr>
  </w:style>
  <w:style w:type="paragraph" w:styleId="atitleforbonds" w:customStyle="1">
    <w:name w:val="a title for bonds"/>
    <w:basedOn w:val="Normal"/>
    <w:next w:val="Normal"/>
    <w:rsid w:val="00AF72E5"/>
    <w:pPr>
      <w:spacing w:before="2000" w:after="240"/>
      <w:jc w:val="center"/>
    </w:pPr>
  </w:style>
  <w:style w:type="paragraph" w:styleId="atitlenobold" w:customStyle="1">
    <w:name w:val="a title no bold"/>
    <w:basedOn w:val="Normal"/>
    <w:rsid w:val="00AF72E5"/>
    <w:pPr>
      <w:spacing w:after="240"/>
      <w:jc w:val="center"/>
    </w:pPr>
  </w:style>
  <w:style w:type="paragraph" w:styleId="atitlenoboldunderlined" w:customStyle="1">
    <w:name w:val="a title no bold underlined"/>
    <w:basedOn w:val="atitlenobold"/>
    <w:rsid w:val="00AF72E5"/>
    <w:rPr>
      <w:u w:val="single"/>
    </w:rPr>
  </w:style>
  <w:style w:type="paragraph" w:styleId="atitleunderlined" w:customStyle="1">
    <w:name w:val="a title underlined"/>
    <w:basedOn w:val="atitle"/>
    <w:rsid w:val="00AF72E5"/>
    <w:rPr>
      <w:u w:val="single"/>
    </w:rPr>
  </w:style>
  <w:style w:type="paragraph" w:styleId="aviafaxorfedex" w:customStyle="1">
    <w:name w:val="a via fax or fedex"/>
    <w:basedOn w:val="Normal"/>
    <w:next w:val="Normal"/>
    <w:rsid w:val="00AF72E5"/>
    <w:pPr>
      <w:spacing w:after="240"/>
      <w:jc w:val="left"/>
    </w:pPr>
    <w:rPr>
      <w:b/>
      <w:bCs/>
      <w:i/>
      <w:iCs/>
    </w:rPr>
  </w:style>
  <w:style w:type="paragraph" w:styleId="BalloonText">
    <w:name w:val="Balloon Text"/>
    <w:basedOn w:val="Normal"/>
    <w:link w:val="BalloonTextChar"/>
    <w:hidden/>
    <w:rsid w:val="00AF72E5"/>
    <w:rPr>
      <w:rFonts w:ascii="Tahoma" w:hAnsi="Tahoma" w:cs="Tahoma"/>
      <w:sz w:val="16"/>
      <w:szCs w:val="16"/>
    </w:rPr>
  </w:style>
  <w:style w:type="character" w:styleId="BalloonTextChar" w:customStyle="1">
    <w:name w:val="Balloon Text Char"/>
    <w:basedOn w:val="DefaultParagraphFont"/>
    <w:link w:val="BalloonText"/>
    <w:rsid w:val="00AF72E5"/>
    <w:rPr>
      <w:rFonts w:ascii="Tahoma" w:hAnsi="Tahoma" w:eastAsia="Times New Roman" w:cs="Tahoma"/>
      <w:sz w:val="16"/>
      <w:szCs w:val="16"/>
    </w:rPr>
  </w:style>
  <w:style w:type="paragraph" w:styleId="BlockText">
    <w:name w:val="Block Text"/>
    <w:basedOn w:val="Normal"/>
    <w:uiPriority w:val="1"/>
    <w:qFormat/>
    <w:rsid w:val="00AF72E5"/>
    <w:pPr>
      <w:spacing w:after="120"/>
      <w:ind w:left="1440" w:right="1440"/>
    </w:pPr>
  </w:style>
  <w:style w:type="paragraph" w:styleId="BodyTextNoIndent" w:customStyle="1">
    <w:name w:val="Body Text No Indent"/>
    <w:basedOn w:val="Normal"/>
    <w:rsid w:val="00AF72E5"/>
  </w:style>
  <w:style w:type="paragraph" w:styleId="Caption">
    <w:name w:val="caption"/>
    <w:basedOn w:val="Normal"/>
    <w:next w:val="Normal"/>
    <w:qFormat/>
    <w:rsid w:val="00AF72E5"/>
    <w:pPr>
      <w:spacing w:before="120" w:after="240"/>
      <w:jc w:val="left"/>
    </w:pPr>
  </w:style>
  <w:style w:type="character" w:styleId="CommentReference">
    <w:name w:val="annotation reference"/>
    <w:basedOn w:val="DefaultParagraphFont"/>
    <w:uiPriority w:val="99"/>
    <w:rsid w:val="00AF72E5"/>
    <w:rPr>
      <w:spacing w:val="0"/>
      <w:sz w:val="16"/>
      <w:szCs w:val="16"/>
    </w:rPr>
  </w:style>
  <w:style w:type="paragraph" w:styleId="CommentText">
    <w:name w:val="annotation text"/>
    <w:basedOn w:val="Normal"/>
    <w:link w:val="CommentTextChar"/>
    <w:uiPriority w:val="99"/>
    <w:rsid w:val="00AF72E5"/>
    <w:pPr>
      <w:widowControl/>
      <w:jc w:val="left"/>
    </w:pPr>
  </w:style>
  <w:style w:type="character" w:styleId="CommentTextChar" w:customStyle="1">
    <w:name w:val="Comment Text Char"/>
    <w:basedOn w:val="DefaultParagraphFont"/>
    <w:link w:val="CommentText"/>
    <w:uiPriority w:val="99"/>
    <w:rsid w:val="00AF72E5"/>
    <w:rPr>
      <w:rFonts w:eastAsia="Times New Roman" w:cs="Times New Roman"/>
      <w:sz w:val="20"/>
      <w:szCs w:val="20"/>
    </w:rPr>
  </w:style>
  <w:style w:type="paragraph" w:styleId="CommentSubject">
    <w:name w:val="annotation subject"/>
    <w:basedOn w:val="CommentText"/>
    <w:next w:val="CommentText"/>
    <w:link w:val="CommentSubjectChar"/>
    <w:hidden/>
    <w:rsid w:val="00AF72E5"/>
    <w:pPr>
      <w:widowControl w:val="0"/>
      <w:jc w:val="both"/>
    </w:pPr>
    <w:rPr>
      <w:b/>
      <w:bCs/>
    </w:rPr>
  </w:style>
  <w:style w:type="character" w:styleId="CommentSubjectChar" w:customStyle="1">
    <w:name w:val="Comment Subject Char"/>
    <w:basedOn w:val="CommentTextChar"/>
    <w:link w:val="CommentSubject"/>
    <w:rsid w:val="00AF72E5"/>
    <w:rPr>
      <w:rFonts w:eastAsia="Times New Roman" w:cs="Times New Roman"/>
      <w:b/>
      <w:bCs/>
      <w:sz w:val="20"/>
      <w:szCs w:val="20"/>
    </w:rPr>
  </w:style>
  <w:style w:type="paragraph" w:styleId="Date">
    <w:name w:val="Date"/>
    <w:aliases w:val="d"/>
    <w:basedOn w:val="Normal"/>
    <w:next w:val="Normal"/>
    <w:link w:val="DateChar"/>
    <w:rsid w:val="00AF72E5"/>
    <w:pPr>
      <w:jc w:val="right"/>
    </w:pPr>
  </w:style>
  <w:style w:type="character" w:styleId="DateChar" w:customStyle="1">
    <w:name w:val="Date Char"/>
    <w:aliases w:val="d Char"/>
    <w:basedOn w:val="DefaultParagraphFont"/>
    <w:link w:val="Date"/>
    <w:rsid w:val="00AF72E5"/>
    <w:rPr>
      <w:rFonts w:eastAsia="Times New Roman" w:cs="Times New Roman"/>
      <w:sz w:val="20"/>
      <w:szCs w:val="20"/>
    </w:rPr>
  </w:style>
  <w:style w:type="paragraph" w:styleId="DocumentMap">
    <w:name w:val="Document Map"/>
    <w:basedOn w:val="Normal"/>
    <w:link w:val="DocumentMapChar"/>
    <w:hidden/>
    <w:rsid w:val="00AF72E5"/>
    <w:pPr>
      <w:shd w:val="clear" w:color="auto" w:fill="000080"/>
    </w:pPr>
    <w:rPr>
      <w:rFonts w:ascii="Tahoma" w:hAnsi="Tahoma" w:cs="Tahoma"/>
    </w:rPr>
  </w:style>
  <w:style w:type="character" w:styleId="DocumentMapChar" w:customStyle="1">
    <w:name w:val="Document Map Char"/>
    <w:basedOn w:val="DefaultParagraphFont"/>
    <w:link w:val="DocumentMap"/>
    <w:rsid w:val="00AF72E5"/>
    <w:rPr>
      <w:rFonts w:ascii="Tahoma" w:hAnsi="Tahoma" w:eastAsia="Times New Roman" w:cs="Tahoma"/>
      <w:sz w:val="20"/>
      <w:szCs w:val="20"/>
      <w:shd w:val="clear" w:color="auto" w:fill="000080"/>
    </w:rPr>
  </w:style>
  <w:style w:type="character" w:styleId="Emphasis">
    <w:name w:val="Emphasis"/>
    <w:basedOn w:val="DefaultParagraphFont"/>
    <w:uiPriority w:val="20"/>
    <w:qFormat/>
    <w:rsid w:val="00AF72E5"/>
    <w:rPr>
      <w:rFonts w:ascii="Times New Roman" w:hAnsi="Times New Roman" w:cs="Times New Roman"/>
      <w:i/>
      <w:iCs/>
      <w:spacing w:val="0"/>
      <w:sz w:val="20"/>
      <w:szCs w:val="20"/>
      <w:lang w:val="en-US"/>
    </w:rPr>
  </w:style>
  <w:style w:type="character" w:styleId="EndnoteReference">
    <w:name w:val="endnote reference"/>
    <w:basedOn w:val="DefaultParagraphFont"/>
    <w:hidden/>
    <w:rsid w:val="00AF72E5"/>
    <w:rPr>
      <w:rFonts w:ascii="Times New Roman" w:hAnsi="Times New Roman" w:cs="Times New Roman"/>
      <w:spacing w:val="0"/>
      <w:sz w:val="20"/>
      <w:szCs w:val="20"/>
      <w:vertAlign w:val="superscript"/>
      <w:lang w:val="en-US"/>
    </w:rPr>
  </w:style>
  <w:style w:type="paragraph" w:styleId="EndnoteText">
    <w:name w:val="endnote text"/>
    <w:basedOn w:val="Normal"/>
    <w:link w:val="EndnoteTextChar"/>
    <w:hidden/>
    <w:rsid w:val="00AF72E5"/>
  </w:style>
  <w:style w:type="character" w:styleId="EndnoteTextChar" w:customStyle="1">
    <w:name w:val="Endnote Text Char"/>
    <w:basedOn w:val="DefaultParagraphFont"/>
    <w:link w:val="EndnoteText"/>
    <w:rsid w:val="00AF72E5"/>
    <w:rPr>
      <w:rFonts w:eastAsia="Times New Roman" w:cs="Times New Roman"/>
      <w:sz w:val="20"/>
      <w:szCs w:val="20"/>
    </w:rPr>
  </w:style>
  <w:style w:type="character" w:styleId="FollowedHyperlink">
    <w:name w:val="FollowedHyperlink"/>
    <w:basedOn w:val="DefaultParagraphFont"/>
    <w:uiPriority w:val="99"/>
    <w:rsid w:val="00AF72E5"/>
    <w:rPr>
      <w:rFonts w:ascii="Times New Roman" w:hAnsi="Times New Roman" w:cs="Times New Roman"/>
      <w:color w:val="800080"/>
      <w:spacing w:val="0"/>
      <w:sz w:val="20"/>
      <w:szCs w:val="20"/>
      <w:u w:val="single"/>
      <w:lang w:val="en-US"/>
    </w:rPr>
  </w:style>
  <w:style w:type="character" w:styleId="FootnoteReference">
    <w:name w:val="footnote reference"/>
    <w:basedOn w:val="DefaultParagraphFont"/>
    <w:hidden/>
    <w:qFormat/>
    <w:rsid w:val="00AF72E5"/>
    <w:rPr>
      <w:rFonts w:ascii="Times New Roman" w:hAnsi="Times New Roman" w:cs="Times New Roman"/>
      <w:spacing w:val="0"/>
      <w:sz w:val="20"/>
      <w:szCs w:val="20"/>
      <w:lang w:val="en-US"/>
    </w:rPr>
  </w:style>
  <w:style w:type="paragraph" w:styleId="hangingindentsinglespace" w:customStyle="1">
    <w:name w:val="hanging indent single space"/>
    <w:basedOn w:val="Normal"/>
    <w:hidden/>
    <w:rsid w:val="00AF72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440" w:hanging="720"/>
    </w:pPr>
  </w:style>
  <w:style w:type="character" w:styleId="HTMLAcronym">
    <w:name w:val="HTML Acronym"/>
    <w:basedOn w:val="DefaultParagraphFont"/>
    <w:hidden/>
    <w:rsid w:val="00AF72E5"/>
    <w:rPr>
      <w:rFonts w:ascii="Times New Roman" w:hAnsi="Times New Roman" w:cs="Times New Roman"/>
      <w:spacing w:val="0"/>
      <w:sz w:val="20"/>
      <w:szCs w:val="20"/>
      <w:lang w:val="en-US"/>
    </w:rPr>
  </w:style>
  <w:style w:type="paragraph" w:styleId="HTMLAddress">
    <w:name w:val="HTML Address"/>
    <w:basedOn w:val="Normal"/>
    <w:link w:val="HTMLAddressChar"/>
    <w:hidden/>
    <w:rsid w:val="00AF72E5"/>
    <w:rPr>
      <w:i/>
      <w:iCs/>
    </w:rPr>
  </w:style>
  <w:style w:type="character" w:styleId="HTMLAddressChar" w:customStyle="1">
    <w:name w:val="HTML Address Char"/>
    <w:basedOn w:val="DefaultParagraphFont"/>
    <w:link w:val="HTMLAddress"/>
    <w:rsid w:val="00AF72E5"/>
    <w:rPr>
      <w:rFonts w:eastAsia="Times New Roman" w:cs="Times New Roman"/>
      <w:i/>
      <w:iCs/>
      <w:sz w:val="20"/>
      <w:szCs w:val="20"/>
    </w:rPr>
  </w:style>
  <w:style w:type="character" w:styleId="HTMLCite">
    <w:name w:val="HTML Cite"/>
    <w:basedOn w:val="DefaultParagraphFont"/>
    <w:hidden/>
    <w:rsid w:val="00AF72E5"/>
    <w:rPr>
      <w:rFonts w:ascii="Times New Roman" w:hAnsi="Times New Roman" w:cs="Times New Roman"/>
      <w:i/>
      <w:iCs/>
      <w:spacing w:val="0"/>
      <w:sz w:val="20"/>
      <w:szCs w:val="20"/>
      <w:lang w:val="en-US"/>
    </w:rPr>
  </w:style>
  <w:style w:type="character" w:styleId="HTMLCode">
    <w:name w:val="HTML Code"/>
    <w:basedOn w:val="DefaultParagraphFont"/>
    <w:hidden/>
    <w:rsid w:val="00AF72E5"/>
    <w:rPr>
      <w:rFonts w:ascii="Courier New" w:hAnsi="Courier New" w:cs="Courier New"/>
      <w:spacing w:val="0"/>
      <w:sz w:val="20"/>
      <w:szCs w:val="20"/>
      <w:lang w:val="en-US"/>
    </w:rPr>
  </w:style>
  <w:style w:type="character" w:styleId="HTMLDefinition">
    <w:name w:val="HTML Definition"/>
    <w:basedOn w:val="DefaultParagraphFont"/>
    <w:hidden/>
    <w:rsid w:val="00AF72E5"/>
    <w:rPr>
      <w:rFonts w:ascii="Times New Roman" w:hAnsi="Times New Roman" w:cs="Times New Roman"/>
      <w:i/>
      <w:iCs/>
      <w:spacing w:val="0"/>
      <w:sz w:val="20"/>
      <w:szCs w:val="20"/>
      <w:lang w:val="en-US"/>
    </w:rPr>
  </w:style>
  <w:style w:type="character" w:styleId="HTMLKeyboard">
    <w:name w:val="HTML Keyboard"/>
    <w:basedOn w:val="DefaultParagraphFont"/>
    <w:hidden/>
    <w:rsid w:val="00AF72E5"/>
    <w:rPr>
      <w:rFonts w:ascii="Courier New" w:hAnsi="Courier New" w:cs="Courier New"/>
      <w:spacing w:val="0"/>
      <w:sz w:val="20"/>
      <w:szCs w:val="20"/>
      <w:lang w:val="en-US"/>
    </w:rPr>
  </w:style>
  <w:style w:type="paragraph" w:styleId="HTMLPreformatted">
    <w:name w:val="HTML Preformatted"/>
    <w:basedOn w:val="Normal"/>
    <w:link w:val="HTMLPreformattedChar"/>
    <w:hidden/>
    <w:rsid w:val="00AF72E5"/>
    <w:rPr>
      <w:rFonts w:ascii="Courier New" w:hAnsi="Courier New" w:cs="Courier New"/>
    </w:rPr>
  </w:style>
  <w:style w:type="character" w:styleId="HTMLPreformattedChar" w:customStyle="1">
    <w:name w:val="HTML Preformatted Char"/>
    <w:basedOn w:val="DefaultParagraphFont"/>
    <w:link w:val="HTMLPreformatted"/>
    <w:rsid w:val="00AF72E5"/>
    <w:rPr>
      <w:rFonts w:ascii="Courier New" w:hAnsi="Courier New" w:eastAsia="Times New Roman" w:cs="Courier New"/>
      <w:sz w:val="20"/>
      <w:szCs w:val="20"/>
    </w:rPr>
  </w:style>
  <w:style w:type="character" w:styleId="HTMLSample">
    <w:name w:val="HTML Sample"/>
    <w:basedOn w:val="DefaultParagraphFont"/>
    <w:hidden/>
    <w:rsid w:val="00AF72E5"/>
    <w:rPr>
      <w:rFonts w:ascii="Courier New" w:hAnsi="Courier New" w:cs="Courier New"/>
      <w:spacing w:val="0"/>
      <w:sz w:val="20"/>
      <w:szCs w:val="20"/>
      <w:lang w:val="en-US"/>
    </w:rPr>
  </w:style>
  <w:style w:type="character" w:styleId="HTMLTypewriter">
    <w:name w:val="HTML Typewriter"/>
    <w:basedOn w:val="DefaultParagraphFont"/>
    <w:hidden/>
    <w:rsid w:val="00AF72E5"/>
    <w:rPr>
      <w:rFonts w:ascii="Courier New" w:hAnsi="Courier New" w:cs="Courier New"/>
      <w:spacing w:val="0"/>
      <w:sz w:val="20"/>
      <w:szCs w:val="20"/>
      <w:lang w:val="en-US"/>
    </w:rPr>
  </w:style>
  <w:style w:type="character" w:styleId="HTMLVariable">
    <w:name w:val="HTML Variable"/>
    <w:basedOn w:val="DefaultParagraphFont"/>
    <w:hidden/>
    <w:rsid w:val="00AF72E5"/>
    <w:rPr>
      <w:rFonts w:ascii="Times New Roman" w:hAnsi="Times New Roman" w:cs="Times New Roman"/>
      <w:i/>
      <w:iCs/>
      <w:spacing w:val="0"/>
      <w:sz w:val="20"/>
      <w:szCs w:val="20"/>
      <w:lang w:val="en-US"/>
    </w:rPr>
  </w:style>
  <w:style w:type="character" w:styleId="Hyperlink">
    <w:name w:val="Hyperlink"/>
    <w:basedOn w:val="DefaultParagraphFont"/>
    <w:hidden/>
    <w:uiPriority w:val="99"/>
    <w:rsid w:val="00AF72E5"/>
    <w:rPr>
      <w:rFonts w:ascii="Times New Roman" w:hAnsi="Times New Roman" w:cs="Times New Roman"/>
      <w:color w:val="0000FF"/>
      <w:spacing w:val="0"/>
      <w:sz w:val="20"/>
      <w:szCs w:val="20"/>
      <w:u w:val="single"/>
      <w:lang w:val="en-US"/>
    </w:rPr>
  </w:style>
  <w:style w:type="paragraph" w:styleId="Index1">
    <w:name w:val="index 1"/>
    <w:basedOn w:val="Normal"/>
    <w:next w:val="Normal"/>
    <w:autoRedefine/>
    <w:hidden/>
    <w:rsid w:val="00AF72E5"/>
    <w:pPr>
      <w:ind w:left="240" w:hanging="240"/>
    </w:pPr>
  </w:style>
  <w:style w:type="paragraph" w:styleId="Index2">
    <w:name w:val="index 2"/>
    <w:basedOn w:val="Normal"/>
    <w:next w:val="Normal"/>
    <w:autoRedefine/>
    <w:hidden/>
    <w:rsid w:val="00AF72E5"/>
    <w:pPr>
      <w:ind w:left="480" w:hanging="240"/>
    </w:pPr>
  </w:style>
  <w:style w:type="paragraph" w:styleId="Index3">
    <w:name w:val="index 3"/>
    <w:basedOn w:val="Normal"/>
    <w:next w:val="Normal"/>
    <w:autoRedefine/>
    <w:hidden/>
    <w:rsid w:val="00AF72E5"/>
    <w:pPr>
      <w:ind w:left="720" w:hanging="240"/>
    </w:pPr>
  </w:style>
  <w:style w:type="paragraph" w:styleId="Index4">
    <w:name w:val="index 4"/>
    <w:basedOn w:val="Normal"/>
    <w:next w:val="Normal"/>
    <w:autoRedefine/>
    <w:hidden/>
    <w:rsid w:val="00AF72E5"/>
    <w:pPr>
      <w:ind w:left="960" w:hanging="240"/>
    </w:pPr>
  </w:style>
  <w:style w:type="paragraph" w:styleId="Index5">
    <w:name w:val="index 5"/>
    <w:basedOn w:val="Normal"/>
    <w:next w:val="Normal"/>
    <w:autoRedefine/>
    <w:hidden/>
    <w:rsid w:val="00AF72E5"/>
    <w:pPr>
      <w:ind w:left="1200" w:hanging="240"/>
    </w:pPr>
  </w:style>
  <w:style w:type="paragraph" w:styleId="Index6">
    <w:name w:val="index 6"/>
    <w:basedOn w:val="Normal"/>
    <w:next w:val="Normal"/>
    <w:autoRedefine/>
    <w:hidden/>
    <w:rsid w:val="00AF72E5"/>
    <w:pPr>
      <w:ind w:left="1440" w:hanging="240"/>
    </w:pPr>
  </w:style>
  <w:style w:type="paragraph" w:styleId="Index7">
    <w:name w:val="index 7"/>
    <w:basedOn w:val="Normal"/>
    <w:next w:val="Normal"/>
    <w:autoRedefine/>
    <w:hidden/>
    <w:rsid w:val="00AF72E5"/>
    <w:pPr>
      <w:ind w:left="1680" w:hanging="240"/>
    </w:pPr>
  </w:style>
  <w:style w:type="paragraph" w:styleId="Index8">
    <w:name w:val="index 8"/>
    <w:basedOn w:val="Normal"/>
    <w:next w:val="Normal"/>
    <w:autoRedefine/>
    <w:hidden/>
    <w:rsid w:val="00AF72E5"/>
    <w:pPr>
      <w:ind w:left="1920" w:hanging="240"/>
    </w:pPr>
  </w:style>
  <w:style w:type="paragraph" w:styleId="Index9">
    <w:name w:val="index 9"/>
    <w:basedOn w:val="Normal"/>
    <w:next w:val="Normal"/>
    <w:autoRedefine/>
    <w:hidden/>
    <w:rsid w:val="00AF72E5"/>
    <w:pPr>
      <w:ind w:left="2160" w:hanging="240"/>
    </w:pPr>
  </w:style>
  <w:style w:type="paragraph" w:styleId="IndexHeading">
    <w:name w:val="index heading"/>
    <w:basedOn w:val="Normal"/>
    <w:next w:val="Index1"/>
    <w:hidden/>
    <w:rsid w:val="00AF72E5"/>
    <w:rPr>
      <w:rFonts w:ascii="Arial" w:hAnsi="Arial" w:cs="Arial"/>
      <w:b/>
      <w:bCs/>
    </w:rPr>
  </w:style>
  <w:style w:type="paragraph" w:styleId="leadertabs" w:customStyle="1">
    <w:name w:val="leadertabs"/>
    <w:basedOn w:val="Normal"/>
    <w:rsid w:val="00AF72E5"/>
    <w:pPr>
      <w:tabs>
        <w:tab w:val="right" w:leader="dot" w:pos="9360"/>
      </w:tabs>
    </w:pPr>
  </w:style>
  <w:style w:type="character" w:styleId="LineNumber">
    <w:name w:val="line number"/>
    <w:basedOn w:val="DefaultParagraphFont"/>
    <w:rsid w:val="00AF72E5"/>
    <w:rPr>
      <w:rFonts w:ascii="Times New Roman" w:hAnsi="Times New Roman" w:cs="Times New Roman"/>
      <w:spacing w:val="0"/>
      <w:sz w:val="20"/>
      <w:szCs w:val="20"/>
      <w:lang w:val="en-US"/>
    </w:rPr>
  </w:style>
  <w:style w:type="paragraph" w:styleId="List2">
    <w:name w:val="List 2"/>
    <w:basedOn w:val="Normal"/>
    <w:rsid w:val="00AF72E5"/>
    <w:pPr>
      <w:ind w:left="720" w:hanging="360"/>
    </w:pPr>
  </w:style>
  <w:style w:type="paragraph" w:styleId="List4">
    <w:name w:val="List 4"/>
    <w:basedOn w:val="Normal"/>
    <w:rsid w:val="00AF72E5"/>
    <w:pPr>
      <w:numPr>
        <w:numId w:val="24"/>
      </w:numPr>
      <w:spacing w:after="240"/>
    </w:pPr>
  </w:style>
  <w:style w:type="paragraph" w:styleId="List5">
    <w:name w:val="List 5"/>
    <w:basedOn w:val="Normal"/>
    <w:rsid w:val="00AF72E5"/>
    <w:pPr>
      <w:ind w:left="1800" w:hanging="360"/>
    </w:pPr>
  </w:style>
  <w:style w:type="paragraph" w:styleId="ListBullet">
    <w:name w:val="List Bullet"/>
    <w:aliases w:val="lb"/>
    <w:basedOn w:val="Normal"/>
    <w:autoRedefine/>
    <w:uiPriority w:val="99"/>
    <w:qFormat/>
    <w:rsid w:val="00AF72E5"/>
    <w:pPr>
      <w:numPr>
        <w:numId w:val="2"/>
      </w:numPr>
      <w:tabs>
        <w:tab w:val="clear" w:pos="360"/>
        <w:tab w:val="num" w:pos="1080"/>
      </w:tabs>
      <w:ind w:left="1080" w:firstLine="720"/>
    </w:pPr>
  </w:style>
  <w:style w:type="paragraph" w:styleId="ListBullet2">
    <w:name w:val="List Bullet 2"/>
    <w:aliases w:val="lb2"/>
    <w:basedOn w:val="Normal"/>
    <w:autoRedefine/>
    <w:uiPriority w:val="99"/>
    <w:rsid w:val="00AF72E5"/>
    <w:pPr>
      <w:numPr>
        <w:numId w:val="3"/>
      </w:numPr>
      <w:tabs>
        <w:tab w:val="clear" w:pos="720"/>
        <w:tab w:val="num" w:pos="1440"/>
      </w:tabs>
      <w:ind w:left="1440"/>
    </w:pPr>
  </w:style>
  <w:style w:type="paragraph" w:styleId="ListBullet3">
    <w:name w:val="List Bullet 3"/>
    <w:aliases w:val="lb3"/>
    <w:basedOn w:val="Normal"/>
    <w:autoRedefine/>
    <w:uiPriority w:val="99"/>
    <w:rsid w:val="00AF72E5"/>
    <w:pPr>
      <w:numPr>
        <w:numId w:val="4"/>
      </w:numPr>
      <w:tabs>
        <w:tab w:val="clear" w:pos="1080"/>
        <w:tab w:val="num" w:pos="1800"/>
      </w:tabs>
      <w:ind w:left="1800" w:hanging="720"/>
    </w:pPr>
  </w:style>
  <w:style w:type="paragraph" w:styleId="ListBullet4">
    <w:name w:val="List Bullet 4"/>
    <w:aliases w:val="lb4"/>
    <w:basedOn w:val="Normal"/>
    <w:autoRedefine/>
    <w:rsid w:val="00AF72E5"/>
    <w:pPr>
      <w:tabs>
        <w:tab w:val="num" w:pos="0"/>
        <w:tab w:val="num" w:pos="720"/>
      </w:tabs>
      <w:ind w:left="-1080" w:hanging="720"/>
    </w:pPr>
  </w:style>
  <w:style w:type="paragraph" w:styleId="ListBullet5">
    <w:name w:val="List Bullet 5"/>
    <w:aliases w:val="lb5"/>
    <w:basedOn w:val="Normal"/>
    <w:autoRedefine/>
    <w:rsid w:val="00AF72E5"/>
    <w:pPr>
      <w:numPr>
        <w:numId w:val="6"/>
      </w:numPr>
      <w:tabs>
        <w:tab w:val="clear" w:pos="1800"/>
        <w:tab w:val="num" w:pos="0"/>
      </w:tabs>
      <w:ind w:left="1440" w:hanging="720"/>
    </w:pPr>
  </w:style>
  <w:style w:type="paragraph" w:styleId="ListContinue">
    <w:name w:val="List Continue"/>
    <w:basedOn w:val="Normal"/>
    <w:rsid w:val="00AF72E5"/>
    <w:pPr>
      <w:spacing w:after="120"/>
      <w:ind w:left="360"/>
    </w:pPr>
  </w:style>
  <w:style w:type="paragraph" w:styleId="ListContinue2">
    <w:name w:val="List Continue 2"/>
    <w:basedOn w:val="Normal"/>
    <w:rsid w:val="00AF72E5"/>
    <w:pPr>
      <w:spacing w:after="120"/>
      <w:ind w:left="720"/>
    </w:pPr>
  </w:style>
  <w:style w:type="paragraph" w:styleId="ListContinue3">
    <w:name w:val="List Continue 3"/>
    <w:basedOn w:val="Normal"/>
    <w:rsid w:val="00AF72E5"/>
    <w:pPr>
      <w:spacing w:after="120"/>
      <w:ind w:left="1080"/>
    </w:pPr>
  </w:style>
  <w:style w:type="paragraph" w:styleId="ListContinue4">
    <w:name w:val="List Continue 4"/>
    <w:basedOn w:val="Normal"/>
    <w:rsid w:val="00AF72E5"/>
    <w:pPr>
      <w:spacing w:after="120"/>
      <w:ind w:left="1440"/>
    </w:pPr>
  </w:style>
  <w:style w:type="paragraph" w:styleId="ListContinue5">
    <w:name w:val="List Continue 5"/>
    <w:basedOn w:val="Normal"/>
    <w:rsid w:val="00AF72E5"/>
    <w:pPr>
      <w:spacing w:after="120"/>
      <w:ind w:left="1800"/>
    </w:pPr>
  </w:style>
  <w:style w:type="paragraph" w:styleId="ListNumber2">
    <w:name w:val="List Number 2"/>
    <w:aliases w:val="ln2"/>
    <w:basedOn w:val="Normal"/>
    <w:next w:val="Normal"/>
    <w:uiPriority w:val="99"/>
    <w:rsid w:val="00AF72E5"/>
    <w:pPr>
      <w:numPr>
        <w:numId w:val="7"/>
      </w:numPr>
      <w:tabs>
        <w:tab w:val="clear" w:pos="720"/>
      </w:tabs>
      <w:ind w:left="1440" w:hanging="720"/>
    </w:pPr>
  </w:style>
  <w:style w:type="paragraph" w:styleId="ListNumber3">
    <w:name w:val="List Number 3"/>
    <w:aliases w:val="ln3"/>
    <w:basedOn w:val="Normal"/>
    <w:uiPriority w:val="99"/>
    <w:rsid w:val="00AF72E5"/>
    <w:pPr>
      <w:numPr>
        <w:numId w:val="8"/>
      </w:numPr>
      <w:tabs>
        <w:tab w:val="clear" w:pos="1080"/>
      </w:tabs>
      <w:ind w:left="1440" w:hanging="720"/>
    </w:pPr>
  </w:style>
  <w:style w:type="paragraph" w:styleId="ListNumber4">
    <w:name w:val="List Number 4"/>
    <w:aliases w:val="ln4"/>
    <w:basedOn w:val="Normal"/>
    <w:rsid w:val="00AF72E5"/>
    <w:pPr>
      <w:numPr>
        <w:numId w:val="9"/>
      </w:numPr>
      <w:tabs>
        <w:tab w:val="clear" w:pos="1440"/>
      </w:tabs>
      <w:ind w:left="0" w:hanging="720"/>
    </w:pPr>
  </w:style>
  <w:style w:type="paragraph" w:styleId="ListNumber5">
    <w:name w:val="List Number 5"/>
    <w:aliases w:val="ln5"/>
    <w:basedOn w:val="Normal"/>
    <w:rsid w:val="00AF72E5"/>
    <w:pPr>
      <w:tabs>
        <w:tab w:val="num" w:pos="0"/>
        <w:tab w:val="num" w:pos="1440"/>
      </w:tabs>
      <w:ind w:firstLine="720"/>
    </w:pPr>
  </w:style>
  <w:style w:type="paragraph" w:styleId="List">
    <w:name w:val="List"/>
    <w:basedOn w:val="Normal"/>
    <w:rsid w:val="00AF72E5"/>
    <w:pPr>
      <w:numPr>
        <w:numId w:val="19"/>
      </w:numPr>
      <w:spacing w:after="240"/>
      <w:ind w:left="1440" w:hanging="720"/>
    </w:pPr>
  </w:style>
  <w:style w:type="paragraph" w:styleId="MacroText">
    <w:name w:val="macro"/>
    <w:link w:val="MacroTextChar"/>
    <w:hidden/>
    <w:rsid w:val="00AF72E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eastAsia="Times New Roman" w:cs="Courier New"/>
      <w:sz w:val="20"/>
      <w:szCs w:val="20"/>
    </w:rPr>
  </w:style>
  <w:style w:type="character" w:styleId="MacroTextChar" w:customStyle="1">
    <w:name w:val="Macro Text Char"/>
    <w:basedOn w:val="DefaultParagraphFont"/>
    <w:link w:val="MacroText"/>
    <w:rsid w:val="00AF72E5"/>
    <w:rPr>
      <w:rFonts w:ascii="Courier New" w:hAnsi="Courier New" w:eastAsia="Times New Roman" w:cs="Courier New"/>
      <w:sz w:val="20"/>
      <w:szCs w:val="20"/>
    </w:rPr>
  </w:style>
  <w:style w:type="paragraph" w:styleId="NormalWeb" w:customStyle="1">
    <w:name w:val="Normal(Web)"/>
    <w:basedOn w:val="Normal"/>
    <w:rsid w:val="00AF72E5"/>
  </w:style>
  <w:style w:type="paragraph" w:styleId="NormalIndent">
    <w:name w:val="Normal Indent"/>
    <w:basedOn w:val="Normal"/>
    <w:rsid w:val="00AF72E5"/>
    <w:pPr>
      <w:ind w:left="720"/>
    </w:pPr>
  </w:style>
  <w:style w:type="paragraph" w:styleId="NoteHeading">
    <w:name w:val="Note Heading"/>
    <w:basedOn w:val="Normal"/>
    <w:next w:val="Normal"/>
    <w:link w:val="NoteHeadingChar"/>
    <w:rsid w:val="00AF72E5"/>
  </w:style>
  <w:style w:type="character" w:styleId="NoteHeadingChar" w:customStyle="1">
    <w:name w:val="Note Heading Char"/>
    <w:basedOn w:val="DefaultParagraphFont"/>
    <w:link w:val="NoteHeading"/>
    <w:rsid w:val="00AF72E5"/>
    <w:rPr>
      <w:rFonts w:eastAsia="Times New Roman" w:cs="Times New Roman"/>
      <w:sz w:val="20"/>
      <w:szCs w:val="20"/>
    </w:rPr>
  </w:style>
  <w:style w:type="paragraph" w:styleId="OSBodyHeading1" w:customStyle="1">
    <w:name w:val="OS Body Heading 1"/>
    <w:basedOn w:val="Normal"/>
    <w:autoRedefine/>
    <w:rsid w:val="00A60FF3"/>
    <w:pPr>
      <w:widowControl/>
      <w:autoSpaceDE/>
      <w:autoSpaceDN/>
      <w:adjustRightInd/>
      <w:spacing w:after="240"/>
      <w:jc w:val="center"/>
    </w:pPr>
    <w:rPr>
      <w:b/>
      <w:color w:val="FF0000"/>
    </w:rPr>
  </w:style>
  <w:style w:type="paragraph" w:styleId="OSHEADING1" w:customStyle="1">
    <w:name w:val="OS HEADING 1"/>
    <w:basedOn w:val="Normal"/>
    <w:rsid w:val="00A60FF3"/>
    <w:pPr>
      <w:widowControl/>
      <w:autoSpaceDE/>
      <w:autoSpaceDN/>
      <w:adjustRightInd/>
      <w:spacing w:after="240"/>
      <w:jc w:val="center"/>
    </w:pPr>
    <w:rPr>
      <w:b/>
      <w:bCs/>
      <w:sz w:val="22"/>
      <w:szCs w:val="22"/>
    </w:rPr>
  </w:style>
  <w:style w:type="paragraph" w:styleId="OSHeadingnobold" w:customStyle="1">
    <w:name w:val="OS Heading no bold"/>
    <w:basedOn w:val="Normal"/>
    <w:rsid w:val="00A60FF3"/>
    <w:pPr>
      <w:widowControl/>
      <w:autoSpaceDE/>
      <w:autoSpaceDN/>
      <w:adjustRightInd/>
      <w:spacing w:after="240"/>
      <w:jc w:val="center"/>
    </w:pPr>
    <w:rPr>
      <w:sz w:val="16"/>
      <w:szCs w:val="24"/>
    </w:rPr>
  </w:style>
  <w:style w:type="paragraph" w:styleId="OSpage1paragraph" w:customStyle="1">
    <w:name w:val="OS page 1 paragraph"/>
    <w:basedOn w:val="Normal"/>
    <w:autoRedefine/>
    <w:rsid w:val="00A60FF3"/>
    <w:pPr>
      <w:widowControl/>
      <w:autoSpaceDE/>
      <w:autoSpaceDN/>
      <w:adjustRightInd/>
      <w:spacing w:after="120"/>
      <w:ind w:firstLine="720"/>
    </w:pPr>
    <w:rPr>
      <w:iCs/>
    </w:rPr>
  </w:style>
  <w:style w:type="paragraph" w:styleId="OSpage1paragraphbold" w:customStyle="1">
    <w:name w:val="OS page 1 paragraph bold"/>
    <w:basedOn w:val="Normal"/>
    <w:autoRedefine/>
    <w:rsid w:val="00A60FF3"/>
    <w:pPr>
      <w:widowControl/>
      <w:tabs>
        <w:tab w:val="right" w:pos="10530"/>
      </w:tabs>
      <w:autoSpaceDE/>
      <w:autoSpaceDN/>
      <w:adjustRightInd/>
      <w:jc w:val="left"/>
    </w:pPr>
    <w:rPr>
      <w:rFonts w:ascii="Times New Roman Bold" w:hAnsi="Times New Roman Bold"/>
      <w:b/>
      <w:bCs/>
      <w:sz w:val="18"/>
      <w:szCs w:val="18"/>
    </w:rPr>
  </w:style>
  <w:style w:type="paragraph" w:styleId="OSpage1paragraphitalics" w:customStyle="1">
    <w:name w:val="OS page 1 paragraph italics"/>
    <w:basedOn w:val="Normal"/>
    <w:autoRedefine/>
    <w:rsid w:val="00620DFE"/>
    <w:pPr>
      <w:widowControl/>
      <w:autoSpaceDE/>
      <w:autoSpaceDN/>
      <w:adjustRightInd/>
      <w:spacing w:after="120"/>
      <w:ind w:firstLine="720"/>
    </w:pPr>
    <w:rPr>
      <w:i/>
      <w:iCs/>
      <w:sz w:val="18"/>
      <w:szCs w:val="18"/>
    </w:rPr>
  </w:style>
  <w:style w:type="paragraph" w:styleId="OSpage1paragraphnoindent" w:customStyle="1">
    <w:name w:val="OS page 1 paragraph no indent"/>
    <w:basedOn w:val="Normal"/>
    <w:autoRedefine/>
    <w:rsid w:val="00A60FF3"/>
    <w:pPr>
      <w:widowControl/>
      <w:autoSpaceDE/>
      <w:autoSpaceDN/>
      <w:adjustRightInd/>
      <w:spacing w:after="240"/>
    </w:pPr>
    <w:rPr>
      <w:sz w:val="16"/>
      <w:szCs w:val="16"/>
    </w:rPr>
  </w:style>
  <w:style w:type="paragraph" w:styleId="OSpage1paragraphnormal" w:customStyle="1">
    <w:name w:val="OS page 1 paragraph normal"/>
    <w:basedOn w:val="Normal"/>
    <w:autoRedefine/>
    <w:rsid w:val="00466958"/>
    <w:pPr>
      <w:widowControl/>
      <w:autoSpaceDE/>
      <w:autoSpaceDN/>
      <w:adjustRightInd/>
      <w:spacing w:after="120"/>
      <w:ind w:firstLine="720"/>
    </w:pPr>
    <w:rPr>
      <w:sz w:val="18"/>
      <w:szCs w:val="16"/>
    </w:rPr>
  </w:style>
  <w:style w:type="paragraph" w:styleId="OSparaboldindent" w:customStyle="1">
    <w:name w:val="OS para bold indent"/>
    <w:basedOn w:val="Normal"/>
    <w:autoRedefine/>
    <w:rsid w:val="00466958"/>
    <w:pPr>
      <w:widowControl/>
      <w:autoSpaceDE/>
      <w:autoSpaceDN/>
      <w:adjustRightInd/>
      <w:spacing w:after="120"/>
      <w:ind w:firstLine="720"/>
    </w:pPr>
    <w:rPr>
      <w:b/>
      <w:bCs/>
      <w:sz w:val="16"/>
    </w:rPr>
  </w:style>
  <w:style w:type="paragraph" w:styleId="OSparaboldindentcaps" w:customStyle="1">
    <w:name w:val="OS para bold indent caps"/>
    <w:basedOn w:val="Normal"/>
    <w:autoRedefine/>
    <w:rsid w:val="00A60FF3"/>
    <w:pPr>
      <w:widowControl/>
      <w:autoSpaceDE/>
      <w:autoSpaceDN/>
      <w:adjustRightInd/>
      <w:spacing w:after="240"/>
      <w:ind w:firstLine="720"/>
    </w:pPr>
    <w:rPr>
      <w:b/>
      <w:caps/>
      <w:szCs w:val="24"/>
    </w:rPr>
  </w:style>
  <w:style w:type="paragraph" w:styleId="OSstyle1" w:customStyle="1">
    <w:name w:val="OS style 1"/>
    <w:basedOn w:val="Normal"/>
    <w:autoRedefine/>
    <w:rsid w:val="00A60FF3"/>
    <w:pPr>
      <w:widowControl/>
      <w:tabs>
        <w:tab w:val="center" w:pos="5760"/>
        <w:tab w:val="right" w:pos="10800"/>
      </w:tabs>
      <w:autoSpaceDE/>
      <w:autoSpaceDN/>
      <w:adjustRightInd/>
      <w:spacing w:after="120"/>
      <w:jc w:val="left"/>
    </w:pPr>
    <w:rPr>
      <w:b/>
      <w:bCs/>
      <w:sz w:val="16"/>
    </w:rPr>
  </w:style>
  <w:style w:type="character" w:styleId="PageNumber">
    <w:name w:val="page number"/>
    <w:basedOn w:val="DefaultParagraphFont"/>
    <w:rsid w:val="00AF72E5"/>
    <w:rPr>
      <w:rFonts w:ascii="Times New Roman" w:hAnsi="Times New Roman" w:cs="Times New Roman"/>
      <w:spacing w:val="0"/>
      <w:sz w:val="20"/>
      <w:szCs w:val="20"/>
      <w:lang w:val="en-US"/>
    </w:rPr>
  </w:style>
  <w:style w:type="paragraph" w:styleId="PlainText">
    <w:name w:val="Plain Text"/>
    <w:basedOn w:val="Normal"/>
    <w:link w:val="PlainTextChar"/>
    <w:uiPriority w:val="99"/>
    <w:rsid w:val="00AF72E5"/>
    <w:rPr>
      <w:rFonts w:ascii="Courier New" w:hAnsi="Courier New" w:cs="Courier New"/>
    </w:rPr>
  </w:style>
  <w:style w:type="character" w:styleId="PlainTextChar" w:customStyle="1">
    <w:name w:val="Plain Text Char"/>
    <w:basedOn w:val="DefaultParagraphFont"/>
    <w:link w:val="PlainText"/>
    <w:uiPriority w:val="99"/>
    <w:rsid w:val="00AF72E5"/>
    <w:rPr>
      <w:rFonts w:ascii="Courier New" w:hAnsi="Courier New" w:eastAsia="Times New Roman" w:cs="Courier New"/>
      <w:sz w:val="20"/>
      <w:szCs w:val="20"/>
    </w:rPr>
  </w:style>
  <w:style w:type="paragraph" w:styleId="Salutation">
    <w:name w:val="Salutation"/>
    <w:basedOn w:val="Normal"/>
    <w:next w:val="Normal"/>
    <w:link w:val="SalutationChar"/>
    <w:rsid w:val="00AF72E5"/>
  </w:style>
  <w:style w:type="character" w:styleId="SalutationChar" w:customStyle="1">
    <w:name w:val="Salutation Char"/>
    <w:basedOn w:val="DefaultParagraphFont"/>
    <w:link w:val="Salutation"/>
    <w:rsid w:val="00AF72E5"/>
    <w:rPr>
      <w:rFonts w:eastAsia="Times New Roman" w:cs="Times New Roman"/>
      <w:sz w:val="20"/>
      <w:szCs w:val="20"/>
    </w:rPr>
  </w:style>
  <w:style w:type="character" w:styleId="Strong">
    <w:name w:val="Strong"/>
    <w:basedOn w:val="DefaultParagraphFont"/>
    <w:uiPriority w:val="22"/>
    <w:qFormat/>
    <w:rsid w:val="00AF72E5"/>
    <w:rPr>
      <w:rFonts w:ascii="Times New Roman" w:hAnsi="Times New Roman" w:cs="Times New Roman"/>
      <w:b/>
      <w:bCs/>
      <w:spacing w:val="0"/>
      <w:sz w:val="20"/>
      <w:szCs w:val="20"/>
      <w:lang w:val="en-US"/>
    </w:rPr>
  </w:style>
  <w:style w:type="paragraph" w:styleId="TableofAuthorities1" w:customStyle="1">
    <w:name w:val="Table of Authorities1"/>
    <w:basedOn w:val="Normal"/>
    <w:next w:val="Normal"/>
    <w:hidden/>
    <w:rsid w:val="00AF72E5"/>
    <w:pPr>
      <w:ind w:left="240" w:hanging="240"/>
    </w:pPr>
  </w:style>
  <w:style w:type="paragraph" w:styleId="TableofFigures">
    <w:name w:val="table of figures"/>
    <w:basedOn w:val="Normal"/>
    <w:next w:val="Normal"/>
    <w:hidden/>
    <w:rsid w:val="00AF72E5"/>
    <w:pPr>
      <w:ind w:left="480" w:hanging="480"/>
    </w:pPr>
  </w:style>
  <w:style w:type="paragraph" w:styleId="TOAHeading">
    <w:name w:val="toa heading"/>
    <w:basedOn w:val="Normal"/>
    <w:next w:val="Normal"/>
    <w:hidden/>
    <w:rsid w:val="00AF72E5"/>
    <w:pPr>
      <w:spacing w:before="120"/>
    </w:pPr>
    <w:rPr>
      <w:rFonts w:ascii="Arial" w:hAnsi="Arial" w:cs="Arial"/>
      <w:b/>
      <w:bCs/>
    </w:rPr>
  </w:style>
  <w:style w:type="paragraph" w:styleId="TOC1">
    <w:name w:val="toc 1"/>
    <w:basedOn w:val="Normal"/>
    <w:next w:val="Normal"/>
    <w:autoRedefine/>
    <w:uiPriority w:val="39"/>
    <w:unhideWhenUsed/>
    <w:rsid w:val="001C7A06"/>
    <w:pPr>
      <w:tabs>
        <w:tab w:val="right" w:leader="dot" w:pos="9350"/>
      </w:tabs>
    </w:pPr>
  </w:style>
  <w:style w:type="paragraph" w:styleId="TOC2">
    <w:name w:val="toc 2"/>
    <w:basedOn w:val="Normal"/>
    <w:next w:val="Normal"/>
    <w:autoRedefine/>
    <w:hidden/>
    <w:uiPriority w:val="39"/>
    <w:rsid w:val="001C7A06"/>
    <w:pPr>
      <w:tabs>
        <w:tab w:val="right" w:leader="dot" w:pos="9350"/>
      </w:tabs>
      <w:ind w:left="245"/>
      <w:jc w:val="left"/>
    </w:pPr>
    <w:rPr>
      <w:noProof/>
    </w:rPr>
  </w:style>
  <w:style w:type="paragraph" w:styleId="TOC3">
    <w:name w:val="toc 3"/>
    <w:basedOn w:val="Normal"/>
    <w:next w:val="Normal"/>
    <w:autoRedefine/>
    <w:hidden/>
    <w:uiPriority w:val="39"/>
    <w:rsid w:val="00AF72E5"/>
    <w:pPr>
      <w:ind w:left="480"/>
    </w:pPr>
  </w:style>
  <w:style w:type="paragraph" w:styleId="TOC4">
    <w:name w:val="toc 4"/>
    <w:basedOn w:val="Normal"/>
    <w:next w:val="Normal"/>
    <w:autoRedefine/>
    <w:hidden/>
    <w:rsid w:val="00AF72E5"/>
    <w:pPr>
      <w:ind w:left="720"/>
    </w:pPr>
  </w:style>
  <w:style w:type="paragraph" w:styleId="TOC5">
    <w:name w:val="toc 5"/>
    <w:basedOn w:val="Normal"/>
    <w:next w:val="Normal"/>
    <w:autoRedefine/>
    <w:hidden/>
    <w:rsid w:val="00AF72E5"/>
    <w:pPr>
      <w:ind w:left="960"/>
    </w:pPr>
  </w:style>
  <w:style w:type="paragraph" w:styleId="TOC6">
    <w:name w:val="toc 6"/>
    <w:basedOn w:val="Normal"/>
    <w:next w:val="Normal"/>
    <w:autoRedefine/>
    <w:hidden/>
    <w:rsid w:val="00AF72E5"/>
    <w:pPr>
      <w:ind w:left="1200"/>
    </w:pPr>
  </w:style>
  <w:style w:type="paragraph" w:styleId="TOC7">
    <w:name w:val="toc 7"/>
    <w:basedOn w:val="Normal"/>
    <w:next w:val="Normal"/>
    <w:autoRedefine/>
    <w:hidden/>
    <w:rsid w:val="00AF72E5"/>
    <w:pPr>
      <w:ind w:left="1440"/>
    </w:pPr>
  </w:style>
  <w:style w:type="paragraph" w:styleId="TOC8">
    <w:name w:val="toc 8"/>
    <w:basedOn w:val="Normal"/>
    <w:next w:val="Normal"/>
    <w:autoRedefine/>
    <w:hidden/>
    <w:rsid w:val="00AF72E5"/>
    <w:pPr>
      <w:ind w:left="1680"/>
    </w:pPr>
  </w:style>
  <w:style w:type="paragraph" w:styleId="TOC9">
    <w:name w:val="toc 9"/>
    <w:basedOn w:val="Normal"/>
    <w:next w:val="Normal"/>
    <w:autoRedefine/>
    <w:hidden/>
    <w:rsid w:val="00AF72E5"/>
    <w:pPr>
      <w:ind w:left="1920"/>
    </w:pPr>
  </w:style>
  <w:style w:type="paragraph" w:styleId="aBTRightJustified" w:customStyle="1">
    <w:name w:val="a BT Right Justified"/>
    <w:basedOn w:val="Normal"/>
    <w:next w:val="Normal"/>
    <w:rsid w:val="00AF72E5"/>
    <w:pPr>
      <w:spacing w:after="480"/>
      <w:jc w:val="right"/>
    </w:pPr>
  </w:style>
  <w:style w:type="paragraph" w:styleId="aoutlinelevel1" w:customStyle="1">
    <w:name w:val="a outline level 1"/>
    <w:basedOn w:val="Normal"/>
    <w:next w:val="aoutlinelevel2"/>
    <w:rsid w:val="00AF72E5"/>
    <w:pPr>
      <w:spacing w:after="240"/>
      <w:ind w:left="360" w:hanging="360"/>
    </w:pPr>
  </w:style>
  <w:style w:type="paragraph" w:styleId="aoutlinelevel2" w:customStyle="1">
    <w:name w:val="a outline level 2"/>
    <w:basedOn w:val="Normal"/>
    <w:rsid w:val="00AF72E5"/>
    <w:pPr>
      <w:numPr>
        <w:ilvl w:val="1"/>
        <w:numId w:val="20"/>
      </w:numPr>
      <w:tabs>
        <w:tab w:val="clear" w:pos="360"/>
      </w:tabs>
      <w:spacing w:after="240"/>
    </w:pPr>
  </w:style>
  <w:style w:type="paragraph" w:styleId="aoutlinelevel3" w:customStyle="1">
    <w:name w:val="a outline level 3"/>
    <w:basedOn w:val="Normal"/>
    <w:rsid w:val="00AF72E5"/>
    <w:pPr>
      <w:numPr>
        <w:ilvl w:val="2"/>
        <w:numId w:val="20"/>
      </w:numPr>
      <w:tabs>
        <w:tab w:val="clear" w:pos="360"/>
      </w:tabs>
      <w:spacing w:after="240"/>
    </w:pPr>
  </w:style>
  <w:style w:type="paragraph" w:styleId="OSpage1btfibold" w:customStyle="1">
    <w:name w:val="OS page 1 btfi bold"/>
    <w:basedOn w:val="OSpage1paragraphbold"/>
    <w:rsid w:val="00AF72E5"/>
    <w:pPr>
      <w:ind w:firstLine="720"/>
    </w:pPr>
  </w:style>
  <w:style w:type="paragraph" w:styleId="afirstparaindenti" w:customStyle="1">
    <w:name w:val="a first para indent (i)"/>
    <w:basedOn w:val="Normal"/>
    <w:rsid w:val="00AF72E5"/>
    <w:pPr>
      <w:numPr>
        <w:numId w:val="21"/>
      </w:numPr>
      <w:spacing w:after="240"/>
    </w:pPr>
  </w:style>
  <w:style w:type="paragraph" w:styleId="BodyText0" w:customStyle="1">
    <w:name w:val="BodyText"/>
    <w:basedOn w:val="Normal"/>
    <w:rsid w:val="00AF72E5"/>
    <w:pPr>
      <w:spacing w:after="240"/>
      <w:ind w:firstLine="360"/>
    </w:pPr>
  </w:style>
  <w:style w:type="paragraph" w:styleId="BodyText24After" w:customStyle="1">
    <w:name w:val="BodyText24After"/>
    <w:basedOn w:val="BodyText0"/>
    <w:rsid w:val="00AF72E5"/>
    <w:pPr>
      <w:spacing w:after="480"/>
    </w:pPr>
  </w:style>
  <w:style w:type="paragraph" w:styleId="BodyTextKeep" w:customStyle="1">
    <w:name w:val="BodyTextKeep"/>
    <w:basedOn w:val="BodyText0"/>
    <w:rsid w:val="00AF72E5"/>
    <w:pPr>
      <w:keepNext/>
    </w:pPr>
  </w:style>
  <w:style w:type="paragraph" w:styleId="BodyTexta" w:customStyle="1">
    <w:name w:val="BodyText(a)"/>
    <w:basedOn w:val="BodyText0"/>
    <w:rsid w:val="00AF72E5"/>
    <w:pPr>
      <w:numPr>
        <w:numId w:val="22"/>
      </w:numPr>
    </w:pPr>
  </w:style>
  <w:style w:type="paragraph" w:styleId="BodyTexti" w:customStyle="1">
    <w:name w:val="BodyText(i)"/>
    <w:basedOn w:val="BodyText0"/>
    <w:rsid w:val="00AF72E5"/>
    <w:pPr>
      <w:numPr>
        <w:numId w:val="23"/>
      </w:numPr>
    </w:pPr>
  </w:style>
  <w:style w:type="paragraph" w:styleId="FN" w:customStyle="1">
    <w:name w:val="FN"/>
    <w:basedOn w:val="Normal"/>
    <w:rsid w:val="00AF72E5"/>
    <w:pPr>
      <w:spacing w:after="120"/>
      <w:ind w:left="288" w:hanging="288"/>
    </w:pPr>
    <w:rPr>
      <w:sz w:val="18"/>
      <w:szCs w:val="18"/>
    </w:rPr>
  </w:style>
  <w:style w:type="paragraph" w:styleId="FN85" w:customStyle="1">
    <w:name w:val="FN8.5"/>
    <w:basedOn w:val="FN"/>
    <w:rsid w:val="00AF72E5"/>
    <w:pPr>
      <w:spacing w:after="0"/>
    </w:pPr>
    <w:rPr>
      <w:sz w:val="17"/>
      <w:szCs w:val="17"/>
      <w:vertAlign w:val="superscript"/>
    </w:rPr>
  </w:style>
  <w:style w:type="paragraph" w:styleId="FN8512After" w:customStyle="1">
    <w:name w:val="FN8.5 12After"/>
    <w:basedOn w:val="FN85"/>
    <w:rsid w:val="00AF72E5"/>
    <w:pPr>
      <w:spacing w:after="480"/>
    </w:pPr>
  </w:style>
  <w:style w:type="paragraph" w:styleId="FN12After" w:customStyle="1">
    <w:name w:val="FN12After"/>
    <w:basedOn w:val="FN"/>
    <w:rsid w:val="00AF72E5"/>
    <w:pPr>
      <w:spacing w:after="240"/>
    </w:pPr>
    <w:rPr>
      <w:vertAlign w:val="superscript"/>
    </w:rPr>
  </w:style>
  <w:style w:type="paragraph" w:styleId="BDBodyTextSgl" w:customStyle="1">
    <w:name w:val="B&amp;D Body Text Sgl"/>
    <w:basedOn w:val="Normal"/>
    <w:rsid w:val="00AF72E5"/>
    <w:pPr>
      <w:spacing w:after="240"/>
    </w:pPr>
  </w:style>
  <w:style w:type="paragraph" w:styleId="BDBodyTextIndentSgl" w:customStyle="1">
    <w:name w:val="B&amp;D Body Text Indent Sgl"/>
    <w:basedOn w:val="Normal"/>
    <w:rsid w:val="00AF72E5"/>
    <w:pPr>
      <w:spacing w:after="240"/>
      <w:ind w:firstLine="1440"/>
    </w:pPr>
    <w:rPr>
      <w:sz w:val="16"/>
      <w:szCs w:val="16"/>
    </w:rPr>
  </w:style>
  <w:style w:type="paragraph" w:styleId="RemainderofPageLeftBlank" w:customStyle="1">
    <w:name w:val="Remainder of Page Left Blank"/>
    <w:basedOn w:val="BodyText0"/>
    <w:rsid w:val="00AF72E5"/>
    <w:pPr>
      <w:ind w:firstLine="0"/>
      <w:jc w:val="center"/>
    </w:pPr>
  </w:style>
  <w:style w:type="character" w:styleId="aendofChar" w:customStyle="1">
    <w:name w:val="a end of Char"/>
    <w:basedOn w:val="DefaultParagraphFont"/>
    <w:rsid w:val="00AF72E5"/>
    <w:rPr>
      <w:rFonts w:ascii="Times New Roman" w:hAnsi="Times New Roman" w:cs="Times New Roman"/>
      <w:spacing w:val="0"/>
      <w:sz w:val="20"/>
      <w:szCs w:val="20"/>
      <w:lang w:val="en-US"/>
    </w:rPr>
  </w:style>
  <w:style w:type="character" w:styleId="CharChar1" w:customStyle="1">
    <w:name w:val="Char Char1"/>
    <w:basedOn w:val="DefaultParagraphFont"/>
    <w:rsid w:val="00AF72E5"/>
    <w:rPr>
      <w:rFonts w:ascii="Times New Roman" w:hAnsi="Times New Roman" w:cs="Times New Roman"/>
      <w:spacing w:val="0"/>
      <w:sz w:val="20"/>
      <w:szCs w:val="20"/>
      <w:lang w:val="en-US"/>
    </w:rPr>
  </w:style>
  <w:style w:type="character" w:styleId="CharChar" w:customStyle="1">
    <w:name w:val="Char Char"/>
    <w:basedOn w:val="CharChar1"/>
    <w:rsid w:val="00AF72E5"/>
    <w:rPr>
      <w:rFonts w:ascii="Times New Roman" w:hAnsi="Times New Roman" w:cs="Times New Roman"/>
      <w:spacing w:val="0"/>
      <w:sz w:val="20"/>
      <w:szCs w:val="20"/>
      <w:lang w:val="en-US"/>
    </w:rPr>
  </w:style>
  <w:style w:type="character" w:styleId="aHEADINGSUBChar" w:customStyle="1">
    <w:name w:val="a HEADING SUB Char"/>
    <w:basedOn w:val="DefaultParagraphFont"/>
    <w:rsid w:val="00AF72E5"/>
    <w:rPr>
      <w:rFonts w:ascii="Times New Roman" w:hAnsi="Times New Roman" w:cs="Times New Roman"/>
      <w:b/>
      <w:bCs/>
      <w:spacing w:val="0"/>
      <w:sz w:val="20"/>
      <w:szCs w:val="20"/>
      <w:lang w:val="en-US"/>
    </w:rPr>
  </w:style>
  <w:style w:type="paragraph" w:styleId="BDBodyTextDbl" w:customStyle="1">
    <w:name w:val="B&amp;D Body Text Dbl"/>
    <w:basedOn w:val="Normal"/>
    <w:rsid w:val="00AF72E5"/>
    <w:pPr>
      <w:spacing w:line="480" w:lineRule="auto"/>
    </w:pPr>
  </w:style>
  <w:style w:type="paragraph" w:styleId="BDBodyTextIndentDbl" w:customStyle="1">
    <w:name w:val="B&amp;D Body Text Indent Dbl"/>
    <w:basedOn w:val="Normal"/>
    <w:rsid w:val="00AF72E5"/>
    <w:pPr>
      <w:spacing w:line="480" w:lineRule="auto"/>
      <w:ind w:firstLine="720"/>
    </w:pPr>
  </w:style>
  <w:style w:type="paragraph" w:styleId="BDBulletsSgl" w:customStyle="1">
    <w:name w:val="B&amp;D Bullets Sgl"/>
    <w:basedOn w:val="Normal"/>
    <w:rsid w:val="00AF72E5"/>
    <w:pPr>
      <w:numPr>
        <w:numId w:val="25"/>
      </w:numPr>
      <w:spacing w:after="240"/>
    </w:pPr>
  </w:style>
  <w:style w:type="paragraph" w:styleId="BDHeading1" w:customStyle="1">
    <w:name w:val="B&amp;D Heading 1"/>
    <w:basedOn w:val="Normal"/>
    <w:next w:val="Normal"/>
    <w:rsid w:val="00AF72E5"/>
    <w:pPr>
      <w:keepNext/>
      <w:spacing w:after="240"/>
      <w:jc w:val="center"/>
      <w:outlineLvl w:val="0"/>
    </w:pPr>
    <w:rPr>
      <w:b/>
      <w:bCs/>
    </w:rPr>
  </w:style>
  <w:style w:type="paragraph" w:styleId="BDHeading2" w:customStyle="1">
    <w:name w:val="B&amp;D Heading 2"/>
    <w:basedOn w:val="Normal"/>
    <w:next w:val="Normal"/>
    <w:rsid w:val="00AF72E5"/>
    <w:pPr>
      <w:keepNext/>
      <w:spacing w:after="240"/>
      <w:outlineLvl w:val="1"/>
    </w:pPr>
    <w:rPr>
      <w:b/>
      <w:bCs/>
    </w:rPr>
  </w:style>
  <w:style w:type="paragraph" w:styleId="BDHeading3" w:customStyle="1">
    <w:name w:val="B&amp;D Heading 3"/>
    <w:basedOn w:val="Normal"/>
    <w:next w:val="Normal"/>
    <w:rsid w:val="00AF72E5"/>
    <w:pPr>
      <w:keepNext/>
      <w:spacing w:after="240"/>
      <w:jc w:val="center"/>
      <w:outlineLvl w:val="2"/>
    </w:pPr>
    <w:rPr>
      <w:u w:val="single"/>
    </w:rPr>
  </w:style>
  <w:style w:type="paragraph" w:styleId="BDHeading4" w:customStyle="1">
    <w:name w:val="B&amp;D Heading 4"/>
    <w:basedOn w:val="Normal"/>
    <w:next w:val="Normal"/>
    <w:rsid w:val="00AF72E5"/>
    <w:pPr>
      <w:keepNext/>
      <w:spacing w:after="240"/>
      <w:outlineLvl w:val="3"/>
    </w:pPr>
    <w:rPr>
      <w:u w:val="single"/>
    </w:rPr>
  </w:style>
  <w:style w:type="paragraph" w:styleId="BDQuote" w:customStyle="1">
    <w:name w:val="B&amp;D Quote"/>
    <w:basedOn w:val="Normal"/>
    <w:next w:val="Normal"/>
    <w:rsid w:val="00AF72E5"/>
    <w:pPr>
      <w:spacing w:after="240"/>
      <w:ind w:left="1440" w:right="1440"/>
    </w:pPr>
  </w:style>
  <w:style w:type="paragraph" w:styleId="BDSignLine" w:customStyle="1">
    <w:name w:val="B&amp;D Sign Line"/>
    <w:basedOn w:val="Normal"/>
    <w:rsid w:val="00AF72E5"/>
    <w:pPr>
      <w:keepNext/>
      <w:keepLines/>
      <w:tabs>
        <w:tab w:val="right" w:pos="9360"/>
      </w:tabs>
      <w:ind w:left="4320"/>
    </w:pPr>
  </w:style>
  <w:style w:type="paragraph" w:styleId="BDTitle" w:customStyle="1">
    <w:name w:val="B&amp;D Title"/>
    <w:basedOn w:val="Normal"/>
    <w:next w:val="Normal"/>
    <w:rsid w:val="00AF72E5"/>
    <w:pPr>
      <w:keepNext/>
      <w:spacing w:after="240"/>
      <w:jc w:val="center"/>
    </w:pPr>
    <w:rPr>
      <w:b/>
      <w:bCs/>
      <w:u w:val="single"/>
    </w:rPr>
  </w:style>
  <w:style w:type="paragraph" w:styleId="BDSingle" w:customStyle="1">
    <w:name w:val="B&amp;D Single"/>
    <w:basedOn w:val="Normal"/>
    <w:rsid w:val="00AF72E5"/>
    <w:pPr>
      <w:spacing w:after="240"/>
      <w:ind w:firstLine="720"/>
    </w:pPr>
  </w:style>
  <w:style w:type="paragraph" w:styleId="BDSingle-Hanging" w:customStyle="1">
    <w:name w:val="B&amp;D Single - Hanging"/>
    <w:basedOn w:val="Normal"/>
    <w:rsid w:val="00AF72E5"/>
    <w:pPr>
      <w:ind w:left="2880" w:hanging="2880"/>
    </w:pPr>
  </w:style>
  <w:style w:type="paragraph" w:styleId="BDDouble" w:customStyle="1">
    <w:name w:val="B&amp;D Double"/>
    <w:basedOn w:val="Normal"/>
    <w:rsid w:val="00AF72E5"/>
    <w:pPr>
      <w:spacing w:line="480" w:lineRule="auto"/>
      <w:ind w:firstLine="720"/>
    </w:pPr>
  </w:style>
  <w:style w:type="paragraph" w:styleId="SingleTitle" w:customStyle="1">
    <w:name w:val="Single Title"/>
    <w:basedOn w:val="BDBodyTextSgl"/>
    <w:next w:val="BDBodyTextSgl"/>
    <w:rsid w:val="00AF72E5"/>
    <w:pPr>
      <w:keepNext/>
    </w:pPr>
    <w:rPr>
      <w:rFonts w:ascii="Times New Roman Bold" w:hAnsi="Times New Roman Bold" w:cs="Times New Roman Bold"/>
      <w:b/>
      <w:bCs/>
    </w:rPr>
  </w:style>
  <w:style w:type="paragraph" w:styleId="NormalArial10" w:customStyle="1">
    <w:name w:val="Normal Arial 10"/>
    <w:basedOn w:val="Normal"/>
    <w:rsid w:val="00AF72E5"/>
    <w:rPr>
      <w:rFonts w:ascii="Arial" w:hAnsi="Arial" w:cs="Arial"/>
    </w:rPr>
  </w:style>
  <w:style w:type="paragraph" w:styleId="ParaNUMBERED" w:customStyle="1">
    <w:name w:val="ParaNUMBERED"/>
    <w:aliases w:val="pn"/>
    <w:basedOn w:val="Normal"/>
    <w:rsid w:val="00AF72E5"/>
    <w:pPr>
      <w:tabs>
        <w:tab w:val="right" w:pos="936"/>
        <w:tab w:val="left" w:pos="1238"/>
      </w:tabs>
      <w:spacing w:before="280" w:line="280" w:lineRule="exact"/>
    </w:pPr>
    <w:rPr>
      <w:rFonts w:ascii="Times" w:hAnsi="Times" w:cs="Times"/>
      <w:sz w:val="24"/>
      <w:szCs w:val="24"/>
    </w:rPr>
  </w:style>
  <w:style w:type="paragraph" w:styleId="ParaSECTION" w:customStyle="1">
    <w:name w:val="ParaSECTION"/>
    <w:aliases w:val="ps"/>
    <w:basedOn w:val="Normal"/>
    <w:rsid w:val="00AF72E5"/>
    <w:pPr>
      <w:tabs>
        <w:tab w:val="right" w:pos="1699"/>
        <w:tab w:val="left" w:pos="2016"/>
      </w:tabs>
      <w:spacing w:before="280" w:line="280" w:lineRule="exact"/>
    </w:pPr>
    <w:rPr>
      <w:rFonts w:ascii="Times" w:hAnsi="Times" w:cs="Times"/>
      <w:sz w:val="24"/>
      <w:szCs w:val="24"/>
    </w:rPr>
  </w:style>
  <w:style w:type="paragraph" w:styleId="SubParaLevel1" w:customStyle="1">
    <w:name w:val="SubParaLevel1"/>
    <w:aliases w:val="s1,S1"/>
    <w:basedOn w:val="Normal"/>
    <w:rsid w:val="00AF72E5"/>
    <w:pPr>
      <w:tabs>
        <w:tab w:val="right" w:pos="1800"/>
        <w:tab w:val="left" w:pos="2160"/>
      </w:tabs>
      <w:spacing w:before="280" w:line="280" w:lineRule="exact"/>
      <w:ind w:left="720"/>
    </w:pPr>
    <w:rPr>
      <w:rFonts w:ascii="Times" w:hAnsi="Times" w:cs="Times"/>
      <w:sz w:val="24"/>
      <w:szCs w:val="24"/>
    </w:rPr>
  </w:style>
  <w:style w:type="paragraph" w:styleId="1stLineIndentSS" w:customStyle="1">
    <w:name w:val="1st Line Indent SS"/>
    <w:basedOn w:val="Normal"/>
    <w:qFormat/>
    <w:rsid w:val="00AF72E5"/>
    <w:pPr>
      <w:spacing w:after="240"/>
      <w:ind w:firstLine="720"/>
    </w:pPr>
    <w:rPr>
      <w:sz w:val="24"/>
      <w:szCs w:val="24"/>
    </w:rPr>
  </w:style>
  <w:style w:type="paragraph" w:styleId="BlockSS" w:customStyle="1">
    <w:name w:val="Block SS"/>
    <w:basedOn w:val="Normal"/>
    <w:qFormat/>
    <w:rsid w:val="00AF72E5"/>
    <w:pPr>
      <w:spacing w:after="240"/>
    </w:pPr>
    <w:rPr>
      <w:sz w:val="24"/>
      <w:szCs w:val="24"/>
    </w:rPr>
  </w:style>
  <w:style w:type="character" w:styleId="DeltaViewDeletion" w:customStyle="1">
    <w:name w:val="DeltaView Deletion"/>
    <w:rsid w:val="00AF72E5"/>
    <w:rPr>
      <w:strike/>
      <w:color w:val="FF0000"/>
      <w:spacing w:val="0"/>
    </w:rPr>
  </w:style>
  <w:style w:type="character" w:styleId="DeltaViewInsertion" w:customStyle="1">
    <w:name w:val="DeltaView Insertion"/>
    <w:rsid w:val="00AF72E5"/>
    <w:rPr>
      <w:color w:val="0000FF"/>
      <w:spacing w:val="0"/>
      <w:u w:val="double"/>
    </w:rPr>
  </w:style>
  <w:style w:type="paragraph" w:styleId="StyleBodyTextBodyTextCharBold" w:customStyle="1">
    <w:name w:val="Style Body TextBody Text Char + Bold"/>
    <w:basedOn w:val="DeltaViewTableHeading"/>
    <w:rsid w:val="00AF72E5"/>
    <w:pPr>
      <w:widowControl w:val="0"/>
      <w:spacing w:after="240"/>
      <w:ind w:firstLine="720"/>
      <w:jc w:val="both"/>
    </w:pPr>
    <w:rPr>
      <w:rFonts w:ascii="Times New Roman" w:hAnsi="Times New Roman" w:cs="Times New Roman"/>
    </w:rPr>
  </w:style>
  <w:style w:type="character" w:styleId="StyleBodyTextBodyTextCharBoldChar" w:customStyle="1">
    <w:name w:val="Style Body TextBody Text Char + Bold Char"/>
    <w:basedOn w:val="DefaultParagraphFont"/>
    <w:rsid w:val="00AF72E5"/>
    <w:rPr>
      <w:rFonts w:ascii="Times New Roman" w:hAnsi="Times New Roman" w:cs="Times New Roman"/>
      <w:b/>
      <w:bCs/>
      <w:spacing w:val="0"/>
      <w:sz w:val="24"/>
      <w:szCs w:val="24"/>
      <w:lang w:val="en-US"/>
    </w:rPr>
  </w:style>
  <w:style w:type="character" w:styleId="CharChar3" w:customStyle="1">
    <w:name w:val="Char Char3"/>
    <w:basedOn w:val="DefaultParagraphFont"/>
    <w:rsid w:val="00AF72E5"/>
    <w:rPr>
      <w:rFonts w:ascii="Times New Roman" w:hAnsi="Times New Roman" w:cs="Times New Roman"/>
      <w:spacing w:val="0"/>
      <w:sz w:val="20"/>
      <w:szCs w:val="20"/>
      <w:lang w:val="en-US"/>
    </w:rPr>
  </w:style>
  <w:style w:type="paragraph" w:styleId="DeltaViewTableHeading" w:customStyle="1">
    <w:name w:val="DeltaView Table Heading"/>
    <w:basedOn w:val="Normal"/>
    <w:rsid w:val="00AF72E5"/>
    <w:pPr>
      <w:widowControl/>
      <w:spacing w:after="120"/>
      <w:jc w:val="left"/>
    </w:pPr>
    <w:rPr>
      <w:rFonts w:ascii="Arial" w:hAnsi="Arial" w:cs="Arial"/>
      <w:b/>
      <w:bCs/>
      <w:sz w:val="24"/>
      <w:szCs w:val="24"/>
    </w:rPr>
  </w:style>
  <w:style w:type="paragraph" w:styleId="DeltaViewTableBody" w:customStyle="1">
    <w:name w:val="DeltaView Table Body"/>
    <w:basedOn w:val="Normal"/>
    <w:rsid w:val="00AF72E5"/>
    <w:pPr>
      <w:widowControl/>
      <w:jc w:val="left"/>
    </w:pPr>
    <w:rPr>
      <w:rFonts w:ascii="Arial" w:hAnsi="Arial" w:cs="Arial"/>
      <w:sz w:val="24"/>
      <w:szCs w:val="24"/>
    </w:rPr>
  </w:style>
  <w:style w:type="paragraph" w:styleId="DeltaViewAnnounce" w:customStyle="1">
    <w:name w:val="DeltaView Announce"/>
    <w:rsid w:val="00AF72E5"/>
    <w:pPr>
      <w:autoSpaceDE w:val="0"/>
      <w:autoSpaceDN w:val="0"/>
      <w:adjustRightInd w:val="0"/>
      <w:spacing w:before="100" w:beforeAutospacing="1" w:after="100" w:afterAutospacing="1" w:line="240" w:lineRule="auto"/>
    </w:pPr>
    <w:rPr>
      <w:rFonts w:ascii="Arial" w:hAnsi="Arial" w:eastAsia="Times New Roman" w:cs="Arial"/>
      <w:szCs w:val="24"/>
      <w:lang w:val="en-GB"/>
    </w:rPr>
  </w:style>
  <w:style w:type="character" w:styleId="DeltaViewMoveSource" w:customStyle="1">
    <w:name w:val="DeltaView Move Source"/>
    <w:rsid w:val="00AF72E5"/>
    <w:rPr>
      <w:strike/>
      <w:color w:val="00C000"/>
      <w:spacing w:val="0"/>
    </w:rPr>
  </w:style>
  <w:style w:type="character" w:styleId="DeltaViewMoveDestination" w:customStyle="1">
    <w:name w:val="DeltaView Move Destination"/>
    <w:rsid w:val="00AF72E5"/>
    <w:rPr>
      <w:color w:val="00C000"/>
      <w:spacing w:val="0"/>
      <w:u w:val="double"/>
    </w:rPr>
  </w:style>
  <w:style w:type="character" w:styleId="DeltaViewChangeNumber" w:customStyle="1">
    <w:name w:val="DeltaView Change Number"/>
    <w:rsid w:val="00AF72E5"/>
    <w:rPr>
      <w:color w:val="000000"/>
      <w:spacing w:val="0"/>
      <w:vertAlign w:val="superscript"/>
    </w:rPr>
  </w:style>
  <w:style w:type="character" w:styleId="DeltaViewDelimiter" w:customStyle="1">
    <w:name w:val="DeltaView Delimiter"/>
    <w:rsid w:val="00AF72E5"/>
    <w:rPr>
      <w:spacing w:val="0"/>
    </w:rPr>
  </w:style>
  <w:style w:type="character" w:styleId="DeltaViewFormatChange" w:customStyle="1">
    <w:name w:val="DeltaView Format Change"/>
    <w:rsid w:val="00AF72E5"/>
    <w:rPr>
      <w:color w:val="000000"/>
      <w:spacing w:val="0"/>
    </w:rPr>
  </w:style>
  <w:style w:type="character" w:styleId="DeltaViewMovedDeletion" w:customStyle="1">
    <w:name w:val="DeltaView Moved Deletion"/>
    <w:rsid w:val="00AF72E5"/>
    <w:rPr>
      <w:strike/>
      <w:color w:val="C08080"/>
      <w:spacing w:val="0"/>
    </w:rPr>
  </w:style>
  <w:style w:type="character" w:styleId="DeltaViewComment" w:customStyle="1">
    <w:name w:val="DeltaView Comment"/>
    <w:basedOn w:val="DefaultParagraphFont"/>
    <w:rsid w:val="00AF72E5"/>
    <w:rPr>
      <w:color w:val="000000"/>
      <w:spacing w:val="0"/>
    </w:rPr>
  </w:style>
  <w:style w:type="character" w:styleId="DeltaViewStyleChangeText" w:customStyle="1">
    <w:name w:val="DeltaView Style Change Text"/>
    <w:rsid w:val="00AF72E5"/>
    <w:rPr>
      <w:color w:val="000000"/>
      <w:spacing w:val="0"/>
      <w:u w:val="double"/>
    </w:rPr>
  </w:style>
  <w:style w:type="character" w:styleId="DeltaViewStyleChangeLabel" w:customStyle="1">
    <w:name w:val="DeltaView Style Change Label"/>
    <w:rsid w:val="00AF72E5"/>
    <w:rPr>
      <w:color w:val="000000"/>
      <w:spacing w:val="0"/>
    </w:rPr>
  </w:style>
  <w:style w:type="character" w:styleId="DeltaViewInsertedComment" w:customStyle="1">
    <w:name w:val="DeltaView Inserted Comment"/>
    <w:basedOn w:val="DeltaViewComment"/>
    <w:rsid w:val="00AF72E5"/>
    <w:rPr>
      <w:color w:val="0000FF"/>
      <w:spacing w:val="0"/>
      <w:u w:val="double"/>
    </w:rPr>
  </w:style>
  <w:style w:type="character" w:styleId="DeltaViewDeletedComment" w:customStyle="1">
    <w:name w:val="DeltaView Deleted Comment"/>
    <w:basedOn w:val="DeltaViewComment"/>
    <w:rsid w:val="00AF72E5"/>
    <w:rPr>
      <w:strike/>
      <w:color w:val="FF0000"/>
      <w:spacing w:val="0"/>
    </w:rPr>
  </w:style>
  <w:style w:type="paragraph" w:styleId="TOCHeading">
    <w:name w:val="TOC Heading"/>
    <w:basedOn w:val="Heading1"/>
    <w:next w:val="Normal"/>
    <w:uiPriority w:val="39"/>
    <w:unhideWhenUsed/>
    <w:qFormat/>
    <w:rsid w:val="0067204A"/>
    <w:pPr>
      <w:keepLines/>
      <w:autoSpaceDE/>
      <w:autoSpaceDN/>
      <w:adjustRightInd/>
      <w:spacing w:before="240" w:line="259" w:lineRule="auto"/>
      <w:outlineLvl w:val="9"/>
    </w:pPr>
    <w:rPr>
      <w:rFonts w:asciiTheme="majorHAnsi" w:hAnsiTheme="majorHAnsi" w:eastAsiaTheme="majorEastAsia" w:cstheme="majorBidi"/>
      <w:i w:val="0"/>
      <w:iCs w:val="0"/>
      <w:color w:val="2E74B5" w:themeColor="accent1" w:themeShade="BF"/>
      <w:sz w:val="32"/>
      <w:szCs w:val="32"/>
    </w:rPr>
  </w:style>
  <w:style w:type="paragraph" w:styleId="Hbody" w:customStyle="1">
    <w:name w:val="Hbody"/>
    <w:basedOn w:val="aHEADING"/>
    <w:link w:val="HbodyChar"/>
    <w:rsid w:val="0067204A"/>
  </w:style>
  <w:style w:type="character" w:styleId="HbodyChar" w:customStyle="1">
    <w:name w:val="Hbody Char"/>
    <w:basedOn w:val="DefaultParagraphFont"/>
    <w:link w:val="Hbody"/>
    <w:rsid w:val="0067204A"/>
    <w:rPr>
      <w:rFonts w:eastAsia="Times New Roman" w:cs="Times New Roman"/>
      <w:b/>
      <w:bCs/>
      <w:sz w:val="20"/>
      <w:szCs w:val="20"/>
    </w:rPr>
  </w:style>
  <w:style w:type="table" w:styleId="TableGrid">
    <w:name w:val="Table Grid"/>
    <w:basedOn w:val="TableNormal"/>
    <w:uiPriority w:val="59"/>
    <w:rsid w:val="00A771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B35D1"/>
    <w:pPr>
      <w:ind w:left="720"/>
      <w:contextualSpacing/>
    </w:pPr>
  </w:style>
  <w:style w:type="character" w:styleId="LBFileStampAtCursor" w:customStyle="1">
    <w:name w:val="*LBFileStampAtCursor"/>
    <w:aliases w:val="FSC"/>
    <w:basedOn w:val="DefaultParagraphFont"/>
    <w:rsid w:val="00242B7A"/>
    <w:rPr>
      <w:rFonts w:ascii="Times New Roman" w:hAnsi="Times New Roman" w:cs="Times New Roman"/>
      <w:sz w:val="16"/>
      <w:szCs w:val="32"/>
    </w:rPr>
  </w:style>
  <w:style w:type="paragraph" w:styleId="LBFileStampAtEnd" w:customStyle="1">
    <w:name w:val="*LBFileStampAtEnd"/>
    <w:aliases w:val="FSE"/>
    <w:basedOn w:val="Normal"/>
    <w:rsid w:val="00242B7A"/>
    <w:pPr>
      <w:widowControl/>
      <w:autoSpaceDE/>
      <w:autoSpaceDN/>
      <w:adjustRightInd/>
      <w:spacing w:before="360"/>
      <w:jc w:val="left"/>
    </w:pPr>
    <w:rPr>
      <w:sz w:val="16"/>
      <w:szCs w:val="32"/>
    </w:rPr>
  </w:style>
  <w:style w:type="paragraph" w:styleId="TCHead1" w:customStyle="1">
    <w:name w:val="TC Head 1"/>
    <w:basedOn w:val="Normal"/>
    <w:next w:val="1stLineIndentSS"/>
    <w:rsid w:val="00AA5827"/>
    <w:pPr>
      <w:keepNext/>
      <w:widowControl/>
      <w:autoSpaceDE/>
      <w:autoSpaceDN/>
      <w:adjustRightInd/>
      <w:spacing w:after="240"/>
      <w:jc w:val="center"/>
    </w:pPr>
    <w:rPr>
      <w:rFonts w:ascii="Times New Roman Bold" w:hAnsi="Times New Roman Bold"/>
      <w:b/>
      <w:caps/>
      <w:szCs w:val="24"/>
    </w:rPr>
  </w:style>
  <w:style w:type="paragraph" w:styleId="Kutak1L1" w:customStyle="1">
    <w:name w:val="Kutak1_L1"/>
    <w:basedOn w:val="Normal"/>
    <w:next w:val="BodyText"/>
    <w:rsid w:val="00484DDD"/>
    <w:pPr>
      <w:keepNext/>
      <w:keepLines/>
      <w:widowControl/>
      <w:numPr>
        <w:numId w:val="28"/>
      </w:numPr>
      <w:autoSpaceDE/>
      <w:autoSpaceDN/>
      <w:adjustRightInd/>
      <w:spacing w:after="240"/>
      <w:jc w:val="center"/>
      <w:outlineLvl w:val="0"/>
    </w:pPr>
    <w:rPr>
      <w:b/>
      <w:caps/>
    </w:rPr>
  </w:style>
  <w:style w:type="paragraph" w:styleId="Kutak1L2" w:customStyle="1">
    <w:name w:val="Kutak1_L2"/>
    <w:basedOn w:val="Kutak1L1"/>
    <w:next w:val="BodyText"/>
    <w:rsid w:val="00484DDD"/>
    <w:pPr>
      <w:numPr>
        <w:ilvl w:val="1"/>
      </w:numPr>
      <w:jc w:val="both"/>
      <w:outlineLvl w:val="1"/>
    </w:pPr>
    <w:rPr>
      <w:caps w:val="0"/>
    </w:rPr>
  </w:style>
  <w:style w:type="paragraph" w:styleId="Kutak1L3" w:customStyle="1">
    <w:name w:val="Kutak1_L3"/>
    <w:basedOn w:val="Kutak1L2"/>
    <w:next w:val="BodyText"/>
    <w:link w:val="Kutak1L3Char"/>
    <w:rsid w:val="00484DDD"/>
    <w:pPr>
      <w:keepNext w:val="0"/>
      <w:keepLines w:val="0"/>
      <w:numPr>
        <w:ilvl w:val="2"/>
      </w:numPr>
      <w:outlineLvl w:val="2"/>
    </w:pPr>
    <w:rPr>
      <w:b w:val="0"/>
    </w:rPr>
  </w:style>
  <w:style w:type="paragraph" w:styleId="Kutak1L4" w:customStyle="1">
    <w:name w:val="Kutak1_L4"/>
    <w:basedOn w:val="Kutak1L3"/>
    <w:next w:val="BodyText"/>
    <w:rsid w:val="00484DDD"/>
    <w:pPr>
      <w:numPr>
        <w:ilvl w:val="3"/>
      </w:numPr>
      <w:outlineLvl w:val="3"/>
    </w:pPr>
  </w:style>
  <w:style w:type="paragraph" w:styleId="Kutak1L5" w:customStyle="1">
    <w:name w:val="Kutak1_L5"/>
    <w:basedOn w:val="Kutak1L4"/>
    <w:next w:val="BodyText"/>
    <w:rsid w:val="00484DDD"/>
    <w:pPr>
      <w:numPr>
        <w:ilvl w:val="4"/>
      </w:numPr>
      <w:outlineLvl w:val="4"/>
    </w:pPr>
  </w:style>
  <w:style w:type="paragraph" w:styleId="Kutak1L6" w:customStyle="1">
    <w:name w:val="Kutak1_L6"/>
    <w:basedOn w:val="Kutak1L5"/>
    <w:next w:val="BodyText"/>
    <w:rsid w:val="00484DDD"/>
    <w:pPr>
      <w:numPr>
        <w:ilvl w:val="5"/>
      </w:numPr>
      <w:outlineLvl w:val="5"/>
    </w:pPr>
  </w:style>
  <w:style w:type="paragraph" w:styleId="Kutak1L7" w:customStyle="1">
    <w:name w:val="Kutak1_L7"/>
    <w:basedOn w:val="Kutak1L6"/>
    <w:next w:val="BodyText"/>
    <w:rsid w:val="00484DDD"/>
    <w:pPr>
      <w:numPr>
        <w:ilvl w:val="6"/>
      </w:numPr>
      <w:outlineLvl w:val="6"/>
    </w:pPr>
  </w:style>
  <w:style w:type="paragraph" w:styleId="msonormal0" w:customStyle="1">
    <w:name w:val="msonormal"/>
    <w:basedOn w:val="Normal"/>
    <w:rsid w:val="0043681D"/>
    <w:pPr>
      <w:widowControl/>
      <w:autoSpaceDE/>
      <w:autoSpaceDN/>
      <w:adjustRightInd/>
      <w:spacing w:before="100" w:beforeAutospacing="1" w:after="100" w:afterAutospacing="1"/>
      <w:jc w:val="left"/>
    </w:pPr>
    <w:rPr>
      <w:sz w:val="24"/>
      <w:szCs w:val="24"/>
    </w:rPr>
  </w:style>
  <w:style w:type="paragraph" w:styleId="xl65" w:customStyle="1">
    <w:name w:val="xl65"/>
    <w:basedOn w:val="Normal"/>
    <w:rsid w:val="0043681D"/>
    <w:pPr>
      <w:widowControl/>
      <w:autoSpaceDE/>
      <w:autoSpaceDN/>
      <w:adjustRightInd/>
      <w:spacing w:before="100" w:beforeAutospacing="1" w:after="100" w:afterAutospacing="1"/>
      <w:jc w:val="left"/>
    </w:pPr>
    <w:rPr>
      <w:rFonts w:ascii="Arial" w:hAnsi="Arial" w:cs="Arial"/>
      <w:sz w:val="24"/>
      <w:szCs w:val="24"/>
    </w:rPr>
  </w:style>
  <w:style w:type="paragraph" w:styleId="xl66" w:customStyle="1">
    <w:name w:val="xl66"/>
    <w:basedOn w:val="Normal"/>
    <w:rsid w:val="0043681D"/>
    <w:pPr>
      <w:widowControl/>
      <w:autoSpaceDE/>
      <w:autoSpaceDN/>
      <w:adjustRightInd/>
      <w:spacing w:before="100" w:beforeAutospacing="1" w:after="100" w:afterAutospacing="1"/>
      <w:jc w:val="center"/>
    </w:pPr>
    <w:rPr>
      <w:rFonts w:ascii="Arial" w:hAnsi="Arial" w:cs="Arial"/>
      <w:b/>
      <w:bCs/>
      <w:sz w:val="24"/>
      <w:szCs w:val="24"/>
    </w:rPr>
  </w:style>
  <w:style w:type="paragraph" w:styleId="xl67" w:customStyle="1">
    <w:name w:val="xl67"/>
    <w:basedOn w:val="Normal"/>
    <w:rsid w:val="0043681D"/>
    <w:pPr>
      <w:widowControl/>
      <w:autoSpaceDE/>
      <w:autoSpaceDN/>
      <w:adjustRightInd/>
      <w:spacing w:before="100" w:beforeAutospacing="1" w:after="100" w:afterAutospacing="1"/>
      <w:jc w:val="left"/>
    </w:pPr>
    <w:rPr>
      <w:rFonts w:ascii="Arial" w:hAnsi="Arial" w:cs="Arial"/>
      <w:b/>
      <w:bCs/>
      <w:sz w:val="24"/>
      <w:szCs w:val="24"/>
    </w:rPr>
  </w:style>
  <w:style w:type="paragraph" w:styleId="xl68" w:customStyle="1">
    <w:name w:val="xl68"/>
    <w:basedOn w:val="Normal"/>
    <w:rsid w:val="0043681D"/>
    <w:pPr>
      <w:widowControl/>
      <w:autoSpaceDE/>
      <w:autoSpaceDN/>
      <w:adjustRightInd/>
      <w:spacing w:before="100" w:beforeAutospacing="1" w:after="100" w:afterAutospacing="1"/>
      <w:jc w:val="left"/>
    </w:pPr>
    <w:rPr>
      <w:rFonts w:ascii="Arial" w:hAnsi="Arial" w:cs="Arial"/>
      <w:sz w:val="22"/>
      <w:szCs w:val="22"/>
    </w:rPr>
  </w:style>
  <w:style w:type="paragraph" w:styleId="xl69" w:customStyle="1">
    <w:name w:val="xl69"/>
    <w:basedOn w:val="Normal"/>
    <w:rsid w:val="0043681D"/>
    <w:pPr>
      <w:widowControl/>
      <w:autoSpaceDE/>
      <w:autoSpaceDN/>
      <w:adjustRightInd/>
      <w:spacing w:before="100" w:beforeAutospacing="1" w:after="100" w:afterAutospacing="1"/>
      <w:jc w:val="left"/>
    </w:pPr>
    <w:rPr>
      <w:rFonts w:ascii="Arial" w:hAnsi="Arial" w:cs="Arial"/>
      <w:sz w:val="22"/>
      <w:szCs w:val="22"/>
    </w:rPr>
  </w:style>
  <w:style w:type="paragraph" w:styleId="xl70" w:customStyle="1">
    <w:name w:val="xl70"/>
    <w:basedOn w:val="Normal"/>
    <w:rsid w:val="0043681D"/>
    <w:pPr>
      <w:widowControl/>
      <w:autoSpaceDE/>
      <w:autoSpaceDN/>
      <w:adjustRightInd/>
      <w:spacing w:before="100" w:beforeAutospacing="1" w:after="100" w:afterAutospacing="1"/>
      <w:jc w:val="left"/>
    </w:pPr>
    <w:rPr>
      <w:rFonts w:ascii="Arial" w:hAnsi="Arial" w:cs="Arial"/>
      <w:sz w:val="22"/>
      <w:szCs w:val="22"/>
    </w:rPr>
  </w:style>
  <w:style w:type="paragraph" w:styleId="xl71" w:customStyle="1">
    <w:name w:val="xl71"/>
    <w:basedOn w:val="Normal"/>
    <w:rsid w:val="0043681D"/>
    <w:pPr>
      <w:widowControl/>
      <w:autoSpaceDE/>
      <w:autoSpaceDN/>
      <w:adjustRightInd/>
      <w:spacing w:before="100" w:beforeAutospacing="1" w:after="100" w:afterAutospacing="1"/>
      <w:jc w:val="left"/>
    </w:pPr>
    <w:rPr>
      <w:rFonts w:ascii="Arial" w:hAnsi="Arial" w:cs="Arial"/>
      <w:sz w:val="22"/>
      <w:szCs w:val="22"/>
    </w:rPr>
  </w:style>
  <w:style w:type="paragraph" w:styleId="xl72" w:customStyle="1">
    <w:name w:val="xl72"/>
    <w:basedOn w:val="Normal"/>
    <w:rsid w:val="0043681D"/>
    <w:pPr>
      <w:widowControl/>
      <w:autoSpaceDE/>
      <w:autoSpaceDN/>
      <w:adjustRightInd/>
      <w:spacing w:before="100" w:beforeAutospacing="1" w:after="100" w:afterAutospacing="1"/>
      <w:jc w:val="left"/>
    </w:pPr>
    <w:rPr>
      <w:rFonts w:ascii="Arial" w:hAnsi="Arial" w:cs="Arial"/>
      <w:sz w:val="22"/>
      <w:szCs w:val="22"/>
    </w:rPr>
  </w:style>
  <w:style w:type="paragraph" w:styleId="xl73" w:customStyle="1">
    <w:name w:val="xl73"/>
    <w:basedOn w:val="Normal"/>
    <w:rsid w:val="0043681D"/>
    <w:pPr>
      <w:widowControl/>
      <w:pBdr>
        <w:bottom w:val="single" w:color="auto" w:sz="8" w:space="0"/>
      </w:pBdr>
      <w:autoSpaceDE/>
      <w:autoSpaceDN/>
      <w:adjustRightInd/>
      <w:spacing w:before="100" w:beforeAutospacing="1" w:after="100" w:afterAutospacing="1"/>
      <w:jc w:val="left"/>
    </w:pPr>
    <w:rPr>
      <w:rFonts w:ascii="Arial" w:hAnsi="Arial" w:cs="Arial"/>
      <w:b/>
      <w:bCs/>
      <w:sz w:val="22"/>
      <w:szCs w:val="22"/>
    </w:rPr>
  </w:style>
  <w:style w:type="paragraph" w:styleId="OSpage110ptbold" w:customStyle="1">
    <w:name w:val="OS page 1 10pt bold"/>
    <w:basedOn w:val="OSpage1paragraphbold"/>
    <w:rsid w:val="00A60FF3"/>
    <w:rPr>
      <w:sz w:val="16"/>
    </w:rPr>
  </w:style>
  <w:style w:type="paragraph" w:styleId="OSpage1withnospaceafter" w:customStyle="1">
    <w:name w:val="OS page 1 with no space after"/>
    <w:basedOn w:val="OSpage1paragraphnormal"/>
    <w:rsid w:val="00A60FF3"/>
    <w:rPr>
      <w:szCs w:val="18"/>
    </w:rPr>
  </w:style>
  <w:style w:type="paragraph" w:styleId="aHEADINGSUB2" w:customStyle="1">
    <w:name w:val="a HEADING SUB 2"/>
    <w:basedOn w:val="Normal"/>
    <w:link w:val="aHEADINGSUB2Char"/>
    <w:qFormat/>
    <w:rsid w:val="000A6970"/>
    <w:pPr>
      <w:widowControl/>
      <w:spacing w:after="240"/>
      <w:ind w:firstLine="720"/>
      <w:outlineLvl w:val="2"/>
    </w:pPr>
    <w:rPr>
      <w:b/>
      <w:i/>
      <w:iCs/>
    </w:rPr>
  </w:style>
  <w:style w:type="paragraph" w:styleId="HeadingBody1" w:customStyle="1">
    <w:name w:val="HeadingBody 1"/>
    <w:basedOn w:val="Normal"/>
    <w:next w:val="Normal"/>
    <w:link w:val="HeadingBody1Char"/>
    <w:uiPriority w:val="49"/>
    <w:semiHidden/>
    <w:rsid w:val="000A6970"/>
    <w:pPr>
      <w:jc w:val="left"/>
    </w:pPr>
  </w:style>
  <w:style w:type="character" w:styleId="aHEADINGSUB2Char" w:customStyle="1">
    <w:name w:val="a HEADING SUB 2 Char"/>
    <w:basedOn w:val="DefaultParagraphFont"/>
    <w:link w:val="aHEADINGSUB2"/>
    <w:rsid w:val="000A6970"/>
    <w:rPr>
      <w:rFonts w:eastAsia="Times New Roman" w:cs="Times New Roman"/>
      <w:b/>
      <w:i/>
      <w:iCs/>
      <w:sz w:val="20"/>
      <w:szCs w:val="20"/>
    </w:rPr>
  </w:style>
  <w:style w:type="character" w:styleId="HeadingBody1Char" w:customStyle="1">
    <w:name w:val="HeadingBody 1 Char"/>
    <w:basedOn w:val="aHEADINGSUB2Char"/>
    <w:link w:val="HeadingBody1"/>
    <w:uiPriority w:val="49"/>
    <w:semiHidden/>
    <w:rsid w:val="000A6970"/>
    <w:rPr>
      <w:rFonts w:eastAsia="Times New Roman" w:cs="Times New Roman"/>
      <w:b w:val="0"/>
      <w:i w:val="0"/>
      <w:iCs w:val="0"/>
      <w:sz w:val="20"/>
      <w:szCs w:val="20"/>
    </w:rPr>
  </w:style>
  <w:style w:type="paragraph" w:styleId="HeadingBody2" w:customStyle="1">
    <w:name w:val="HeadingBody 2"/>
    <w:basedOn w:val="Normal"/>
    <w:next w:val="Normal"/>
    <w:link w:val="HeadingBody2Char"/>
    <w:uiPriority w:val="49"/>
    <w:semiHidden/>
    <w:rsid w:val="000A6970"/>
    <w:pPr>
      <w:spacing w:after="240"/>
    </w:pPr>
  </w:style>
  <w:style w:type="character" w:styleId="HeadingBody2Char" w:customStyle="1">
    <w:name w:val="HeadingBody 2 Char"/>
    <w:basedOn w:val="aHEADINGSUB2Char"/>
    <w:link w:val="HeadingBody2"/>
    <w:uiPriority w:val="49"/>
    <w:semiHidden/>
    <w:rsid w:val="000A6970"/>
    <w:rPr>
      <w:rFonts w:eastAsia="Times New Roman" w:cs="Times New Roman"/>
      <w:b w:val="0"/>
      <w:i w:val="0"/>
      <w:iCs w:val="0"/>
      <w:sz w:val="20"/>
      <w:szCs w:val="20"/>
    </w:rPr>
  </w:style>
  <w:style w:type="paragraph" w:styleId="HeadingBody3" w:customStyle="1">
    <w:name w:val="HeadingBody 3"/>
    <w:basedOn w:val="Normal"/>
    <w:next w:val="Normal"/>
    <w:link w:val="HeadingBody3Char"/>
    <w:uiPriority w:val="49"/>
    <w:semiHidden/>
    <w:rsid w:val="000A6970"/>
    <w:pPr>
      <w:spacing w:after="240"/>
      <w:ind w:left="2160" w:hanging="180"/>
    </w:pPr>
  </w:style>
  <w:style w:type="character" w:styleId="HeadingBody3Char" w:customStyle="1">
    <w:name w:val="HeadingBody 3 Char"/>
    <w:basedOn w:val="aHEADINGSUB2Char"/>
    <w:link w:val="HeadingBody3"/>
    <w:uiPriority w:val="49"/>
    <w:semiHidden/>
    <w:rsid w:val="000A6970"/>
    <w:rPr>
      <w:rFonts w:eastAsia="Times New Roman" w:cs="Times New Roman"/>
      <w:b w:val="0"/>
      <w:i w:val="0"/>
      <w:iCs w:val="0"/>
      <w:sz w:val="20"/>
      <w:szCs w:val="20"/>
    </w:rPr>
  </w:style>
  <w:style w:type="paragraph" w:styleId="HeadingBody4" w:customStyle="1">
    <w:name w:val="HeadingBody 4"/>
    <w:basedOn w:val="Normal"/>
    <w:next w:val="Normal"/>
    <w:link w:val="HeadingBody4Char"/>
    <w:uiPriority w:val="49"/>
    <w:semiHidden/>
    <w:rsid w:val="000A6970"/>
    <w:pPr>
      <w:spacing w:after="240"/>
      <w:ind w:left="2880" w:hanging="360"/>
    </w:pPr>
  </w:style>
  <w:style w:type="character" w:styleId="HeadingBody4Char" w:customStyle="1">
    <w:name w:val="HeadingBody 4 Char"/>
    <w:basedOn w:val="aHEADINGSUB2Char"/>
    <w:link w:val="HeadingBody4"/>
    <w:uiPriority w:val="49"/>
    <w:semiHidden/>
    <w:rsid w:val="000A6970"/>
    <w:rPr>
      <w:rFonts w:eastAsia="Times New Roman" w:cs="Times New Roman"/>
      <w:b w:val="0"/>
      <w:i w:val="0"/>
      <w:iCs w:val="0"/>
      <w:sz w:val="20"/>
      <w:szCs w:val="20"/>
    </w:rPr>
  </w:style>
  <w:style w:type="paragraph" w:styleId="HeadingBody5" w:customStyle="1">
    <w:name w:val="HeadingBody 5"/>
    <w:basedOn w:val="Normal"/>
    <w:next w:val="Normal"/>
    <w:link w:val="HeadingBody5Char"/>
    <w:uiPriority w:val="49"/>
    <w:semiHidden/>
    <w:rsid w:val="000A6970"/>
    <w:pPr>
      <w:spacing w:after="240"/>
      <w:ind w:left="3600" w:hanging="360"/>
    </w:pPr>
  </w:style>
  <w:style w:type="character" w:styleId="HeadingBody5Char" w:customStyle="1">
    <w:name w:val="HeadingBody 5 Char"/>
    <w:basedOn w:val="aHEADINGSUB2Char"/>
    <w:link w:val="HeadingBody5"/>
    <w:uiPriority w:val="49"/>
    <w:semiHidden/>
    <w:rsid w:val="000A6970"/>
    <w:rPr>
      <w:rFonts w:eastAsia="Times New Roman" w:cs="Times New Roman"/>
      <w:b w:val="0"/>
      <w:i w:val="0"/>
      <w:iCs w:val="0"/>
      <w:sz w:val="20"/>
      <w:szCs w:val="20"/>
    </w:rPr>
  </w:style>
  <w:style w:type="paragraph" w:styleId="HeadingBody6" w:customStyle="1">
    <w:name w:val="HeadingBody 6"/>
    <w:basedOn w:val="Normal"/>
    <w:next w:val="Normal"/>
    <w:link w:val="HeadingBody6Char"/>
    <w:uiPriority w:val="49"/>
    <w:semiHidden/>
    <w:rsid w:val="000A6970"/>
    <w:pPr>
      <w:spacing w:after="240"/>
      <w:ind w:left="4320" w:hanging="180"/>
    </w:pPr>
  </w:style>
  <w:style w:type="character" w:styleId="HeadingBody6Char" w:customStyle="1">
    <w:name w:val="HeadingBody 6 Char"/>
    <w:basedOn w:val="aHEADINGSUB2Char"/>
    <w:link w:val="HeadingBody6"/>
    <w:uiPriority w:val="49"/>
    <w:semiHidden/>
    <w:rsid w:val="000A6970"/>
    <w:rPr>
      <w:rFonts w:eastAsia="Times New Roman" w:cs="Times New Roman"/>
      <w:b w:val="0"/>
      <w:i w:val="0"/>
      <w:iCs w:val="0"/>
      <w:sz w:val="20"/>
      <w:szCs w:val="20"/>
    </w:rPr>
  </w:style>
  <w:style w:type="paragraph" w:styleId="HeadingBody7" w:customStyle="1">
    <w:name w:val="HeadingBody 7"/>
    <w:basedOn w:val="Normal"/>
    <w:next w:val="Normal"/>
    <w:link w:val="HeadingBody7Char"/>
    <w:uiPriority w:val="49"/>
    <w:semiHidden/>
    <w:rsid w:val="000A6970"/>
    <w:pPr>
      <w:spacing w:after="240"/>
      <w:ind w:left="5040" w:hanging="360"/>
    </w:pPr>
  </w:style>
  <w:style w:type="character" w:styleId="HeadingBody7Char" w:customStyle="1">
    <w:name w:val="HeadingBody 7 Char"/>
    <w:basedOn w:val="aHEADINGSUB2Char"/>
    <w:link w:val="HeadingBody7"/>
    <w:uiPriority w:val="49"/>
    <w:semiHidden/>
    <w:rsid w:val="000A6970"/>
    <w:rPr>
      <w:rFonts w:eastAsia="Times New Roman" w:cs="Times New Roman"/>
      <w:b w:val="0"/>
      <w:i w:val="0"/>
      <w:iCs w:val="0"/>
      <w:sz w:val="20"/>
      <w:szCs w:val="20"/>
    </w:rPr>
  </w:style>
  <w:style w:type="paragraph" w:styleId="HeadingBody8" w:customStyle="1">
    <w:name w:val="HeadingBody 8"/>
    <w:basedOn w:val="Normal"/>
    <w:next w:val="Normal"/>
    <w:link w:val="HeadingBody8Char"/>
    <w:uiPriority w:val="49"/>
    <w:semiHidden/>
    <w:rsid w:val="000A6970"/>
    <w:pPr>
      <w:spacing w:after="240"/>
      <w:ind w:left="5760" w:hanging="360"/>
    </w:pPr>
  </w:style>
  <w:style w:type="character" w:styleId="HeadingBody8Char" w:customStyle="1">
    <w:name w:val="HeadingBody 8 Char"/>
    <w:basedOn w:val="aHEADINGSUB2Char"/>
    <w:link w:val="HeadingBody8"/>
    <w:uiPriority w:val="49"/>
    <w:semiHidden/>
    <w:rsid w:val="000A6970"/>
    <w:rPr>
      <w:rFonts w:eastAsia="Times New Roman" w:cs="Times New Roman"/>
      <w:b w:val="0"/>
      <w:i w:val="0"/>
      <w:iCs w:val="0"/>
      <w:sz w:val="20"/>
      <w:szCs w:val="20"/>
    </w:rPr>
  </w:style>
  <w:style w:type="paragraph" w:styleId="HeadingBody9" w:customStyle="1">
    <w:name w:val="HeadingBody 9"/>
    <w:basedOn w:val="Normal"/>
    <w:next w:val="Normal"/>
    <w:link w:val="HeadingBody9Char"/>
    <w:uiPriority w:val="49"/>
    <w:semiHidden/>
    <w:rsid w:val="000A6970"/>
    <w:pPr>
      <w:spacing w:after="240"/>
      <w:ind w:left="6480" w:hanging="180"/>
    </w:pPr>
  </w:style>
  <w:style w:type="character" w:styleId="HeadingBody9Char" w:customStyle="1">
    <w:name w:val="HeadingBody 9 Char"/>
    <w:basedOn w:val="aHEADINGSUB2Char"/>
    <w:link w:val="HeadingBody9"/>
    <w:uiPriority w:val="49"/>
    <w:semiHidden/>
    <w:rsid w:val="000A6970"/>
    <w:rPr>
      <w:rFonts w:eastAsia="Times New Roman" w:cs="Times New Roman"/>
      <w:b w:val="0"/>
      <w:i w:val="0"/>
      <w:iCs w:val="0"/>
      <w:sz w:val="20"/>
      <w:szCs w:val="20"/>
    </w:rPr>
  </w:style>
  <w:style w:type="character" w:styleId="BookTitle">
    <w:name w:val="Book Title"/>
    <w:uiPriority w:val="33"/>
    <w:unhideWhenUsed/>
    <w:rsid w:val="00623633"/>
    <w:rPr>
      <w:i/>
      <w:iCs/>
      <w:smallCaps/>
      <w:spacing w:val="5"/>
    </w:rPr>
  </w:style>
  <w:style w:type="character" w:styleId="IntenseEmphasis">
    <w:name w:val="Intense Emphasis"/>
    <w:uiPriority w:val="21"/>
    <w:unhideWhenUsed/>
    <w:rsid w:val="00623633"/>
    <w:rPr>
      <w:b/>
      <w:bCs/>
    </w:rPr>
  </w:style>
  <w:style w:type="paragraph" w:styleId="IntenseQuote">
    <w:name w:val="Intense Quote"/>
    <w:basedOn w:val="Normal"/>
    <w:next w:val="Normal"/>
    <w:link w:val="IntenseQuoteChar"/>
    <w:uiPriority w:val="30"/>
    <w:unhideWhenUsed/>
    <w:rsid w:val="00623633"/>
    <w:pPr>
      <w:widowControl/>
      <w:pBdr>
        <w:bottom w:val="single" w:color="auto" w:sz="4" w:space="1"/>
      </w:pBdr>
      <w:autoSpaceDE/>
      <w:autoSpaceDN/>
      <w:adjustRightInd/>
      <w:spacing w:before="200" w:after="280"/>
      <w:ind w:left="1008" w:right="1152"/>
    </w:pPr>
    <w:rPr>
      <w:rFonts w:eastAsiaTheme="minorHAnsi" w:cstheme="minorBidi"/>
      <w:b/>
      <w:bCs/>
      <w:i/>
      <w:iCs/>
      <w:sz w:val="24"/>
      <w:szCs w:val="22"/>
    </w:rPr>
  </w:style>
  <w:style w:type="character" w:styleId="IntenseQuoteChar" w:customStyle="1">
    <w:name w:val="Intense Quote Char"/>
    <w:basedOn w:val="DefaultParagraphFont"/>
    <w:link w:val="IntenseQuote"/>
    <w:uiPriority w:val="30"/>
    <w:rsid w:val="00623633"/>
    <w:rPr>
      <w:b/>
      <w:bCs/>
      <w:i/>
      <w:iCs/>
    </w:rPr>
  </w:style>
  <w:style w:type="character" w:styleId="IntenseReference">
    <w:name w:val="Intense Reference"/>
    <w:uiPriority w:val="32"/>
    <w:unhideWhenUsed/>
    <w:rsid w:val="00623633"/>
    <w:rPr>
      <w:smallCaps/>
      <w:spacing w:val="5"/>
      <w:u w:val="single"/>
    </w:rPr>
  </w:style>
  <w:style w:type="paragraph" w:styleId="NoSpacing">
    <w:name w:val="No Spacing"/>
    <w:basedOn w:val="Normal"/>
    <w:qFormat/>
    <w:rsid w:val="00623633"/>
    <w:pPr>
      <w:widowControl/>
      <w:autoSpaceDE/>
      <w:autoSpaceDN/>
      <w:adjustRightInd/>
    </w:pPr>
    <w:rPr>
      <w:rFonts w:eastAsiaTheme="minorHAnsi" w:cstheme="minorBidi"/>
      <w:sz w:val="24"/>
      <w:szCs w:val="22"/>
    </w:rPr>
  </w:style>
  <w:style w:type="paragraph" w:styleId="Quote">
    <w:name w:val="Quote"/>
    <w:basedOn w:val="Normal"/>
    <w:next w:val="Normal"/>
    <w:link w:val="QuoteChar"/>
    <w:uiPriority w:val="29"/>
    <w:unhideWhenUsed/>
    <w:rsid w:val="00623633"/>
    <w:pPr>
      <w:widowControl/>
      <w:autoSpaceDE/>
      <w:autoSpaceDN/>
      <w:adjustRightInd/>
      <w:spacing w:before="200"/>
      <w:ind w:left="360" w:right="360"/>
    </w:pPr>
    <w:rPr>
      <w:rFonts w:eastAsiaTheme="minorHAnsi" w:cstheme="minorBidi"/>
      <w:i/>
      <w:iCs/>
      <w:sz w:val="24"/>
      <w:szCs w:val="22"/>
    </w:rPr>
  </w:style>
  <w:style w:type="character" w:styleId="QuoteChar" w:customStyle="1">
    <w:name w:val="Quote Char"/>
    <w:basedOn w:val="DefaultParagraphFont"/>
    <w:link w:val="Quote"/>
    <w:uiPriority w:val="29"/>
    <w:rsid w:val="00623633"/>
    <w:rPr>
      <w:i/>
      <w:iCs/>
    </w:rPr>
  </w:style>
  <w:style w:type="character" w:styleId="SubtleEmphasis">
    <w:name w:val="Subtle Emphasis"/>
    <w:uiPriority w:val="19"/>
    <w:unhideWhenUsed/>
    <w:rsid w:val="00623633"/>
    <w:rPr>
      <w:i/>
      <w:iCs/>
    </w:rPr>
  </w:style>
  <w:style w:type="character" w:styleId="SubtleReference">
    <w:name w:val="Subtle Reference"/>
    <w:uiPriority w:val="31"/>
    <w:unhideWhenUsed/>
    <w:rsid w:val="00623633"/>
    <w:rPr>
      <w:smallCaps/>
    </w:rPr>
  </w:style>
  <w:style w:type="paragraph" w:styleId="aBTbodytext" w:customStyle="1">
    <w:name w:val="a BT body text"/>
    <w:basedOn w:val="Normal"/>
    <w:rsid w:val="00623633"/>
    <w:pPr>
      <w:widowControl/>
      <w:autoSpaceDE/>
      <w:autoSpaceDN/>
      <w:adjustRightInd/>
    </w:pPr>
    <w:rPr>
      <w:szCs w:val="24"/>
    </w:rPr>
  </w:style>
  <w:style w:type="paragraph" w:styleId="adateJJQ" w:customStyle="1">
    <w:name w:val="a date JJQ"/>
    <w:basedOn w:val="adate"/>
    <w:next w:val="Normal"/>
    <w:rsid w:val="00623633"/>
    <w:pPr>
      <w:widowControl/>
      <w:tabs>
        <w:tab w:val="clear" w:pos="7380"/>
      </w:tabs>
      <w:autoSpaceDE/>
      <w:autoSpaceDN/>
      <w:adjustRightInd/>
      <w:ind w:left="7675"/>
    </w:pPr>
    <w:rPr>
      <w:sz w:val="24"/>
      <w:szCs w:val="24"/>
    </w:rPr>
  </w:style>
  <w:style w:type="paragraph" w:styleId="xl63" w:customStyle="1">
    <w:name w:val="xl63"/>
    <w:basedOn w:val="Normal"/>
    <w:rsid w:val="00623633"/>
    <w:pPr>
      <w:widowControl/>
      <w:autoSpaceDE/>
      <w:autoSpaceDN/>
      <w:adjustRightInd/>
      <w:spacing w:before="100" w:beforeAutospacing="1" w:after="100" w:afterAutospacing="1"/>
      <w:jc w:val="left"/>
    </w:pPr>
    <w:rPr>
      <w:rFonts w:ascii="Arial" w:hAnsi="Arial" w:cs="Arial"/>
      <w:sz w:val="24"/>
      <w:szCs w:val="24"/>
    </w:rPr>
  </w:style>
  <w:style w:type="paragraph" w:styleId="xl64" w:customStyle="1">
    <w:name w:val="xl64"/>
    <w:basedOn w:val="Normal"/>
    <w:rsid w:val="00623633"/>
    <w:pPr>
      <w:widowControl/>
      <w:pBdr>
        <w:bottom w:val="single" w:color="auto" w:sz="8" w:space="0"/>
      </w:pBdr>
      <w:autoSpaceDE/>
      <w:autoSpaceDN/>
      <w:adjustRightInd/>
      <w:spacing w:before="100" w:beforeAutospacing="1" w:after="100" w:afterAutospacing="1"/>
      <w:jc w:val="left"/>
    </w:pPr>
    <w:rPr>
      <w:rFonts w:ascii="Arial" w:hAnsi="Arial" w:cs="Arial"/>
      <w:b/>
      <w:bCs/>
      <w:sz w:val="24"/>
      <w:szCs w:val="24"/>
    </w:rPr>
  </w:style>
  <w:style w:type="paragraph" w:styleId="BlockSSNoPt" w:customStyle="1">
    <w:name w:val="Block SS No Pt"/>
    <w:basedOn w:val="BlockSS"/>
    <w:qFormat/>
    <w:rsid w:val="009809E4"/>
    <w:pPr>
      <w:widowControl/>
      <w:autoSpaceDE/>
      <w:autoSpaceDN/>
      <w:adjustRightInd/>
      <w:spacing w:after="0"/>
    </w:pPr>
    <w:rPr>
      <w:rFonts w:eastAsia="Calibri"/>
      <w:iCs/>
    </w:rPr>
  </w:style>
  <w:style w:type="paragraph" w:styleId="TITLECenteredKD" w:customStyle="1">
    <w:name w:val="_TITLE Centered_KD"/>
    <w:basedOn w:val="Normal"/>
    <w:next w:val="Normal"/>
    <w:qFormat/>
    <w:rsid w:val="001D2354"/>
    <w:pPr>
      <w:widowControl/>
      <w:autoSpaceDE/>
      <w:autoSpaceDN/>
      <w:adjustRightInd/>
      <w:spacing w:after="360"/>
      <w:jc w:val="center"/>
    </w:pPr>
    <w:rPr>
      <w:b/>
      <w:caps/>
      <w:szCs w:val="24"/>
      <w:u w:val="single"/>
    </w:rPr>
  </w:style>
  <w:style w:type="table" w:styleId="Style1" w:customStyle="1">
    <w:name w:val="Style1"/>
    <w:basedOn w:val="TableNormal"/>
    <w:uiPriority w:val="99"/>
    <w:rsid w:val="008209E8"/>
    <w:pPr>
      <w:spacing w:after="0" w:line="240" w:lineRule="auto"/>
    </w:pPr>
    <w:rPr>
      <w:rFonts w:eastAsia="Times New Roman" w:cs="Times New Roman"/>
      <w:sz w:val="20"/>
      <w:szCs w:val="20"/>
    </w:rPr>
    <w:tblPr/>
  </w:style>
  <w:style w:type="paragraph" w:styleId="ParaNORMAL" w:customStyle="1">
    <w:name w:val="ParaNORMAL"/>
    <w:aliases w:val="p,party,ohhar,i,B Indent,ParaFLUSH2,RG Quick Para,ParaNtcbORMAL,paragraph,OHHpara,P,ORPara,pf2,ParaNtcbORM,Interrogatory,!Indented Quote,ParaNORMAL1,p1,i3,party2,ParaFLUSH21,ohhar1,RG Quick Para1,pf21,ParaNORMAL11,p11,i31,party21,ParaFLUSH211"/>
    <w:basedOn w:val="Normal"/>
    <w:link w:val="ParaNORMALChar"/>
    <w:qFormat/>
    <w:rsid w:val="00694D4E"/>
    <w:pPr>
      <w:widowControl/>
      <w:autoSpaceDE/>
      <w:autoSpaceDN/>
      <w:adjustRightInd/>
      <w:spacing w:before="280"/>
      <w:ind w:firstLine="720"/>
    </w:pPr>
    <w:rPr>
      <w:sz w:val="24"/>
      <w:szCs w:val="24"/>
    </w:rPr>
  </w:style>
  <w:style w:type="character" w:styleId="ParaNORMALChar" w:customStyle="1">
    <w:name w:val="ParaNORMAL Char"/>
    <w:aliases w:val="p Char,i Char,party Char,ohhar Char,ParaFLUSH2 Char,RG Quick Para Char,Style5 Char,pf2 Char,B Indent Char,OHHpara Char,P Char,ORPara Char"/>
    <w:link w:val="ParaNORMAL"/>
    <w:rsid w:val="00694D4E"/>
    <w:rPr>
      <w:rFonts w:eastAsia="Times New Roman" w:cs="Times New Roman"/>
      <w:szCs w:val="24"/>
    </w:rPr>
  </w:style>
  <w:style w:type="character" w:styleId="Kutak1L3Char" w:customStyle="1">
    <w:name w:val="Kutak1_L3 Char"/>
    <w:basedOn w:val="DefaultParagraphFont"/>
    <w:link w:val="Kutak1L3"/>
    <w:locked/>
    <w:rsid w:val="006E7E52"/>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084">
      <w:bodyDiv w:val="1"/>
      <w:marLeft w:val="0"/>
      <w:marRight w:val="0"/>
      <w:marTop w:val="0"/>
      <w:marBottom w:val="0"/>
      <w:divBdr>
        <w:top w:val="none" w:sz="0" w:space="0" w:color="auto"/>
        <w:left w:val="none" w:sz="0" w:space="0" w:color="auto"/>
        <w:bottom w:val="none" w:sz="0" w:space="0" w:color="auto"/>
        <w:right w:val="none" w:sz="0" w:space="0" w:color="auto"/>
      </w:divBdr>
    </w:div>
    <w:div w:id="40179769">
      <w:bodyDiv w:val="1"/>
      <w:marLeft w:val="0"/>
      <w:marRight w:val="0"/>
      <w:marTop w:val="0"/>
      <w:marBottom w:val="0"/>
      <w:divBdr>
        <w:top w:val="none" w:sz="0" w:space="0" w:color="auto"/>
        <w:left w:val="none" w:sz="0" w:space="0" w:color="auto"/>
        <w:bottom w:val="none" w:sz="0" w:space="0" w:color="auto"/>
        <w:right w:val="none" w:sz="0" w:space="0" w:color="auto"/>
      </w:divBdr>
    </w:div>
    <w:div w:id="99226555">
      <w:bodyDiv w:val="1"/>
      <w:marLeft w:val="0"/>
      <w:marRight w:val="0"/>
      <w:marTop w:val="0"/>
      <w:marBottom w:val="0"/>
      <w:divBdr>
        <w:top w:val="none" w:sz="0" w:space="0" w:color="auto"/>
        <w:left w:val="none" w:sz="0" w:space="0" w:color="auto"/>
        <w:bottom w:val="none" w:sz="0" w:space="0" w:color="auto"/>
        <w:right w:val="none" w:sz="0" w:space="0" w:color="auto"/>
      </w:divBdr>
    </w:div>
    <w:div w:id="101192568">
      <w:bodyDiv w:val="1"/>
      <w:marLeft w:val="0"/>
      <w:marRight w:val="0"/>
      <w:marTop w:val="0"/>
      <w:marBottom w:val="0"/>
      <w:divBdr>
        <w:top w:val="none" w:sz="0" w:space="0" w:color="auto"/>
        <w:left w:val="none" w:sz="0" w:space="0" w:color="auto"/>
        <w:bottom w:val="none" w:sz="0" w:space="0" w:color="auto"/>
        <w:right w:val="none" w:sz="0" w:space="0" w:color="auto"/>
      </w:divBdr>
    </w:div>
    <w:div w:id="113254336">
      <w:bodyDiv w:val="1"/>
      <w:marLeft w:val="0"/>
      <w:marRight w:val="0"/>
      <w:marTop w:val="0"/>
      <w:marBottom w:val="0"/>
      <w:divBdr>
        <w:top w:val="none" w:sz="0" w:space="0" w:color="auto"/>
        <w:left w:val="none" w:sz="0" w:space="0" w:color="auto"/>
        <w:bottom w:val="none" w:sz="0" w:space="0" w:color="auto"/>
        <w:right w:val="none" w:sz="0" w:space="0" w:color="auto"/>
      </w:divBdr>
    </w:div>
    <w:div w:id="180314692">
      <w:bodyDiv w:val="1"/>
      <w:marLeft w:val="0"/>
      <w:marRight w:val="0"/>
      <w:marTop w:val="0"/>
      <w:marBottom w:val="0"/>
      <w:divBdr>
        <w:top w:val="none" w:sz="0" w:space="0" w:color="auto"/>
        <w:left w:val="none" w:sz="0" w:space="0" w:color="auto"/>
        <w:bottom w:val="none" w:sz="0" w:space="0" w:color="auto"/>
        <w:right w:val="none" w:sz="0" w:space="0" w:color="auto"/>
      </w:divBdr>
    </w:div>
    <w:div w:id="186602788">
      <w:bodyDiv w:val="1"/>
      <w:marLeft w:val="0"/>
      <w:marRight w:val="0"/>
      <w:marTop w:val="0"/>
      <w:marBottom w:val="0"/>
      <w:divBdr>
        <w:top w:val="none" w:sz="0" w:space="0" w:color="auto"/>
        <w:left w:val="none" w:sz="0" w:space="0" w:color="auto"/>
        <w:bottom w:val="none" w:sz="0" w:space="0" w:color="auto"/>
        <w:right w:val="none" w:sz="0" w:space="0" w:color="auto"/>
      </w:divBdr>
    </w:div>
    <w:div w:id="194739668">
      <w:bodyDiv w:val="1"/>
      <w:marLeft w:val="0"/>
      <w:marRight w:val="0"/>
      <w:marTop w:val="0"/>
      <w:marBottom w:val="0"/>
      <w:divBdr>
        <w:top w:val="none" w:sz="0" w:space="0" w:color="auto"/>
        <w:left w:val="none" w:sz="0" w:space="0" w:color="auto"/>
        <w:bottom w:val="none" w:sz="0" w:space="0" w:color="auto"/>
        <w:right w:val="none" w:sz="0" w:space="0" w:color="auto"/>
      </w:divBdr>
    </w:div>
    <w:div w:id="226576737">
      <w:bodyDiv w:val="1"/>
      <w:marLeft w:val="0"/>
      <w:marRight w:val="0"/>
      <w:marTop w:val="0"/>
      <w:marBottom w:val="0"/>
      <w:divBdr>
        <w:top w:val="none" w:sz="0" w:space="0" w:color="auto"/>
        <w:left w:val="none" w:sz="0" w:space="0" w:color="auto"/>
        <w:bottom w:val="none" w:sz="0" w:space="0" w:color="auto"/>
        <w:right w:val="none" w:sz="0" w:space="0" w:color="auto"/>
      </w:divBdr>
    </w:div>
    <w:div w:id="228155374">
      <w:bodyDiv w:val="1"/>
      <w:marLeft w:val="0"/>
      <w:marRight w:val="0"/>
      <w:marTop w:val="0"/>
      <w:marBottom w:val="0"/>
      <w:divBdr>
        <w:top w:val="none" w:sz="0" w:space="0" w:color="auto"/>
        <w:left w:val="none" w:sz="0" w:space="0" w:color="auto"/>
        <w:bottom w:val="none" w:sz="0" w:space="0" w:color="auto"/>
        <w:right w:val="none" w:sz="0" w:space="0" w:color="auto"/>
      </w:divBdr>
    </w:div>
    <w:div w:id="228351603">
      <w:bodyDiv w:val="1"/>
      <w:marLeft w:val="0"/>
      <w:marRight w:val="0"/>
      <w:marTop w:val="0"/>
      <w:marBottom w:val="0"/>
      <w:divBdr>
        <w:top w:val="none" w:sz="0" w:space="0" w:color="auto"/>
        <w:left w:val="none" w:sz="0" w:space="0" w:color="auto"/>
        <w:bottom w:val="none" w:sz="0" w:space="0" w:color="auto"/>
        <w:right w:val="none" w:sz="0" w:space="0" w:color="auto"/>
      </w:divBdr>
    </w:div>
    <w:div w:id="235556936">
      <w:bodyDiv w:val="1"/>
      <w:marLeft w:val="0"/>
      <w:marRight w:val="0"/>
      <w:marTop w:val="0"/>
      <w:marBottom w:val="0"/>
      <w:divBdr>
        <w:top w:val="none" w:sz="0" w:space="0" w:color="auto"/>
        <w:left w:val="none" w:sz="0" w:space="0" w:color="auto"/>
        <w:bottom w:val="none" w:sz="0" w:space="0" w:color="auto"/>
        <w:right w:val="none" w:sz="0" w:space="0" w:color="auto"/>
      </w:divBdr>
    </w:div>
    <w:div w:id="290288466">
      <w:bodyDiv w:val="1"/>
      <w:marLeft w:val="0"/>
      <w:marRight w:val="0"/>
      <w:marTop w:val="0"/>
      <w:marBottom w:val="0"/>
      <w:divBdr>
        <w:top w:val="none" w:sz="0" w:space="0" w:color="auto"/>
        <w:left w:val="none" w:sz="0" w:space="0" w:color="auto"/>
        <w:bottom w:val="none" w:sz="0" w:space="0" w:color="auto"/>
        <w:right w:val="none" w:sz="0" w:space="0" w:color="auto"/>
      </w:divBdr>
    </w:div>
    <w:div w:id="301887993">
      <w:bodyDiv w:val="1"/>
      <w:marLeft w:val="0"/>
      <w:marRight w:val="0"/>
      <w:marTop w:val="0"/>
      <w:marBottom w:val="0"/>
      <w:divBdr>
        <w:top w:val="none" w:sz="0" w:space="0" w:color="auto"/>
        <w:left w:val="none" w:sz="0" w:space="0" w:color="auto"/>
        <w:bottom w:val="none" w:sz="0" w:space="0" w:color="auto"/>
        <w:right w:val="none" w:sz="0" w:space="0" w:color="auto"/>
      </w:divBdr>
    </w:div>
    <w:div w:id="314576359">
      <w:bodyDiv w:val="1"/>
      <w:marLeft w:val="0"/>
      <w:marRight w:val="0"/>
      <w:marTop w:val="0"/>
      <w:marBottom w:val="0"/>
      <w:divBdr>
        <w:top w:val="none" w:sz="0" w:space="0" w:color="auto"/>
        <w:left w:val="none" w:sz="0" w:space="0" w:color="auto"/>
        <w:bottom w:val="none" w:sz="0" w:space="0" w:color="auto"/>
        <w:right w:val="none" w:sz="0" w:space="0" w:color="auto"/>
      </w:divBdr>
    </w:div>
    <w:div w:id="356083725">
      <w:bodyDiv w:val="1"/>
      <w:marLeft w:val="0"/>
      <w:marRight w:val="0"/>
      <w:marTop w:val="0"/>
      <w:marBottom w:val="0"/>
      <w:divBdr>
        <w:top w:val="none" w:sz="0" w:space="0" w:color="auto"/>
        <w:left w:val="none" w:sz="0" w:space="0" w:color="auto"/>
        <w:bottom w:val="none" w:sz="0" w:space="0" w:color="auto"/>
        <w:right w:val="none" w:sz="0" w:space="0" w:color="auto"/>
      </w:divBdr>
    </w:div>
    <w:div w:id="392702093">
      <w:bodyDiv w:val="1"/>
      <w:marLeft w:val="0"/>
      <w:marRight w:val="0"/>
      <w:marTop w:val="0"/>
      <w:marBottom w:val="0"/>
      <w:divBdr>
        <w:top w:val="none" w:sz="0" w:space="0" w:color="auto"/>
        <w:left w:val="none" w:sz="0" w:space="0" w:color="auto"/>
        <w:bottom w:val="none" w:sz="0" w:space="0" w:color="auto"/>
        <w:right w:val="none" w:sz="0" w:space="0" w:color="auto"/>
      </w:divBdr>
    </w:div>
    <w:div w:id="394207798">
      <w:bodyDiv w:val="1"/>
      <w:marLeft w:val="0"/>
      <w:marRight w:val="0"/>
      <w:marTop w:val="0"/>
      <w:marBottom w:val="0"/>
      <w:divBdr>
        <w:top w:val="none" w:sz="0" w:space="0" w:color="auto"/>
        <w:left w:val="none" w:sz="0" w:space="0" w:color="auto"/>
        <w:bottom w:val="none" w:sz="0" w:space="0" w:color="auto"/>
        <w:right w:val="none" w:sz="0" w:space="0" w:color="auto"/>
      </w:divBdr>
    </w:div>
    <w:div w:id="397678086">
      <w:bodyDiv w:val="1"/>
      <w:marLeft w:val="0"/>
      <w:marRight w:val="0"/>
      <w:marTop w:val="0"/>
      <w:marBottom w:val="0"/>
      <w:divBdr>
        <w:top w:val="none" w:sz="0" w:space="0" w:color="auto"/>
        <w:left w:val="none" w:sz="0" w:space="0" w:color="auto"/>
        <w:bottom w:val="none" w:sz="0" w:space="0" w:color="auto"/>
        <w:right w:val="none" w:sz="0" w:space="0" w:color="auto"/>
      </w:divBdr>
    </w:div>
    <w:div w:id="446241727">
      <w:bodyDiv w:val="1"/>
      <w:marLeft w:val="0"/>
      <w:marRight w:val="0"/>
      <w:marTop w:val="0"/>
      <w:marBottom w:val="0"/>
      <w:divBdr>
        <w:top w:val="none" w:sz="0" w:space="0" w:color="auto"/>
        <w:left w:val="none" w:sz="0" w:space="0" w:color="auto"/>
        <w:bottom w:val="none" w:sz="0" w:space="0" w:color="auto"/>
        <w:right w:val="none" w:sz="0" w:space="0" w:color="auto"/>
      </w:divBdr>
    </w:div>
    <w:div w:id="478885047">
      <w:bodyDiv w:val="1"/>
      <w:marLeft w:val="0"/>
      <w:marRight w:val="0"/>
      <w:marTop w:val="0"/>
      <w:marBottom w:val="0"/>
      <w:divBdr>
        <w:top w:val="none" w:sz="0" w:space="0" w:color="auto"/>
        <w:left w:val="none" w:sz="0" w:space="0" w:color="auto"/>
        <w:bottom w:val="none" w:sz="0" w:space="0" w:color="auto"/>
        <w:right w:val="none" w:sz="0" w:space="0" w:color="auto"/>
      </w:divBdr>
    </w:div>
    <w:div w:id="479075445">
      <w:bodyDiv w:val="1"/>
      <w:marLeft w:val="0"/>
      <w:marRight w:val="0"/>
      <w:marTop w:val="0"/>
      <w:marBottom w:val="0"/>
      <w:divBdr>
        <w:top w:val="none" w:sz="0" w:space="0" w:color="auto"/>
        <w:left w:val="none" w:sz="0" w:space="0" w:color="auto"/>
        <w:bottom w:val="none" w:sz="0" w:space="0" w:color="auto"/>
        <w:right w:val="none" w:sz="0" w:space="0" w:color="auto"/>
      </w:divBdr>
    </w:div>
    <w:div w:id="482161166">
      <w:bodyDiv w:val="1"/>
      <w:marLeft w:val="0"/>
      <w:marRight w:val="0"/>
      <w:marTop w:val="0"/>
      <w:marBottom w:val="0"/>
      <w:divBdr>
        <w:top w:val="none" w:sz="0" w:space="0" w:color="auto"/>
        <w:left w:val="none" w:sz="0" w:space="0" w:color="auto"/>
        <w:bottom w:val="none" w:sz="0" w:space="0" w:color="auto"/>
        <w:right w:val="none" w:sz="0" w:space="0" w:color="auto"/>
      </w:divBdr>
    </w:div>
    <w:div w:id="532377873">
      <w:bodyDiv w:val="1"/>
      <w:marLeft w:val="0"/>
      <w:marRight w:val="0"/>
      <w:marTop w:val="0"/>
      <w:marBottom w:val="0"/>
      <w:divBdr>
        <w:top w:val="none" w:sz="0" w:space="0" w:color="auto"/>
        <w:left w:val="none" w:sz="0" w:space="0" w:color="auto"/>
        <w:bottom w:val="none" w:sz="0" w:space="0" w:color="auto"/>
        <w:right w:val="none" w:sz="0" w:space="0" w:color="auto"/>
      </w:divBdr>
    </w:div>
    <w:div w:id="572006714">
      <w:bodyDiv w:val="1"/>
      <w:marLeft w:val="0"/>
      <w:marRight w:val="0"/>
      <w:marTop w:val="0"/>
      <w:marBottom w:val="0"/>
      <w:divBdr>
        <w:top w:val="none" w:sz="0" w:space="0" w:color="auto"/>
        <w:left w:val="none" w:sz="0" w:space="0" w:color="auto"/>
        <w:bottom w:val="none" w:sz="0" w:space="0" w:color="auto"/>
        <w:right w:val="none" w:sz="0" w:space="0" w:color="auto"/>
      </w:divBdr>
    </w:div>
    <w:div w:id="591166535">
      <w:bodyDiv w:val="1"/>
      <w:marLeft w:val="0"/>
      <w:marRight w:val="0"/>
      <w:marTop w:val="0"/>
      <w:marBottom w:val="0"/>
      <w:divBdr>
        <w:top w:val="none" w:sz="0" w:space="0" w:color="auto"/>
        <w:left w:val="none" w:sz="0" w:space="0" w:color="auto"/>
        <w:bottom w:val="none" w:sz="0" w:space="0" w:color="auto"/>
        <w:right w:val="none" w:sz="0" w:space="0" w:color="auto"/>
      </w:divBdr>
    </w:div>
    <w:div w:id="600796987">
      <w:bodyDiv w:val="1"/>
      <w:marLeft w:val="0"/>
      <w:marRight w:val="0"/>
      <w:marTop w:val="0"/>
      <w:marBottom w:val="0"/>
      <w:divBdr>
        <w:top w:val="none" w:sz="0" w:space="0" w:color="auto"/>
        <w:left w:val="none" w:sz="0" w:space="0" w:color="auto"/>
        <w:bottom w:val="none" w:sz="0" w:space="0" w:color="auto"/>
        <w:right w:val="none" w:sz="0" w:space="0" w:color="auto"/>
      </w:divBdr>
    </w:div>
    <w:div w:id="614754609">
      <w:bodyDiv w:val="1"/>
      <w:marLeft w:val="0"/>
      <w:marRight w:val="0"/>
      <w:marTop w:val="0"/>
      <w:marBottom w:val="0"/>
      <w:divBdr>
        <w:top w:val="none" w:sz="0" w:space="0" w:color="auto"/>
        <w:left w:val="none" w:sz="0" w:space="0" w:color="auto"/>
        <w:bottom w:val="none" w:sz="0" w:space="0" w:color="auto"/>
        <w:right w:val="none" w:sz="0" w:space="0" w:color="auto"/>
      </w:divBdr>
    </w:div>
    <w:div w:id="630945734">
      <w:bodyDiv w:val="1"/>
      <w:marLeft w:val="0"/>
      <w:marRight w:val="0"/>
      <w:marTop w:val="0"/>
      <w:marBottom w:val="0"/>
      <w:divBdr>
        <w:top w:val="none" w:sz="0" w:space="0" w:color="auto"/>
        <w:left w:val="none" w:sz="0" w:space="0" w:color="auto"/>
        <w:bottom w:val="none" w:sz="0" w:space="0" w:color="auto"/>
        <w:right w:val="none" w:sz="0" w:space="0" w:color="auto"/>
      </w:divBdr>
    </w:div>
    <w:div w:id="647443521">
      <w:bodyDiv w:val="1"/>
      <w:marLeft w:val="0"/>
      <w:marRight w:val="0"/>
      <w:marTop w:val="0"/>
      <w:marBottom w:val="0"/>
      <w:divBdr>
        <w:top w:val="none" w:sz="0" w:space="0" w:color="auto"/>
        <w:left w:val="none" w:sz="0" w:space="0" w:color="auto"/>
        <w:bottom w:val="none" w:sz="0" w:space="0" w:color="auto"/>
        <w:right w:val="none" w:sz="0" w:space="0" w:color="auto"/>
      </w:divBdr>
    </w:div>
    <w:div w:id="654378416">
      <w:bodyDiv w:val="1"/>
      <w:marLeft w:val="0"/>
      <w:marRight w:val="0"/>
      <w:marTop w:val="0"/>
      <w:marBottom w:val="0"/>
      <w:divBdr>
        <w:top w:val="none" w:sz="0" w:space="0" w:color="auto"/>
        <w:left w:val="none" w:sz="0" w:space="0" w:color="auto"/>
        <w:bottom w:val="none" w:sz="0" w:space="0" w:color="auto"/>
        <w:right w:val="none" w:sz="0" w:space="0" w:color="auto"/>
      </w:divBdr>
    </w:div>
    <w:div w:id="664819307">
      <w:bodyDiv w:val="1"/>
      <w:marLeft w:val="0"/>
      <w:marRight w:val="0"/>
      <w:marTop w:val="0"/>
      <w:marBottom w:val="0"/>
      <w:divBdr>
        <w:top w:val="none" w:sz="0" w:space="0" w:color="auto"/>
        <w:left w:val="none" w:sz="0" w:space="0" w:color="auto"/>
        <w:bottom w:val="none" w:sz="0" w:space="0" w:color="auto"/>
        <w:right w:val="none" w:sz="0" w:space="0" w:color="auto"/>
      </w:divBdr>
    </w:div>
    <w:div w:id="697043612">
      <w:bodyDiv w:val="1"/>
      <w:marLeft w:val="0"/>
      <w:marRight w:val="0"/>
      <w:marTop w:val="0"/>
      <w:marBottom w:val="0"/>
      <w:divBdr>
        <w:top w:val="none" w:sz="0" w:space="0" w:color="auto"/>
        <w:left w:val="none" w:sz="0" w:space="0" w:color="auto"/>
        <w:bottom w:val="none" w:sz="0" w:space="0" w:color="auto"/>
        <w:right w:val="none" w:sz="0" w:space="0" w:color="auto"/>
      </w:divBdr>
    </w:div>
    <w:div w:id="707026569">
      <w:bodyDiv w:val="1"/>
      <w:marLeft w:val="0"/>
      <w:marRight w:val="0"/>
      <w:marTop w:val="0"/>
      <w:marBottom w:val="0"/>
      <w:divBdr>
        <w:top w:val="none" w:sz="0" w:space="0" w:color="auto"/>
        <w:left w:val="none" w:sz="0" w:space="0" w:color="auto"/>
        <w:bottom w:val="none" w:sz="0" w:space="0" w:color="auto"/>
        <w:right w:val="none" w:sz="0" w:space="0" w:color="auto"/>
      </w:divBdr>
    </w:div>
    <w:div w:id="713770233">
      <w:bodyDiv w:val="1"/>
      <w:marLeft w:val="0"/>
      <w:marRight w:val="0"/>
      <w:marTop w:val="0"/>
      <w:marBottom w:val="0"/>
      <w:divBdr>
        <w:top w:val="none" w:sz="0" w:space="0" w:color="auto"/>
        <w:left w:val="none" w:sz="0" w:space="0" w:color="auto"/>
        <w:bottom w:val="none" w:sz="0" w:space="0" w:color="auto"/>
        <w:right w:val="none" w:sz="0" w:space="0" w:color="auto"/>
      </w:divBdr>
    </w:div>
    <w:div w:id="730035194">
      <w:bodyDiv w:val="1"/>
      <w:marLeft w:val="0"/>
      <w:marRight w:val="0"/>
      <w:marTop w:val="0"/>
      <w:marBottom w:val="0"/>
      <w:divBdr>
        <w:top w:val="none" w:sz="0" w:space="0" w:color="auto"/>
        <w:left w:val="none" w:sz="0" w:space="0" w:color="auto"/>
        <w:bottom w:val="none" w:sz="0" w:space="0" w:color="auto"/>
        <w:right w:val="none" w:sz="0" w:space="0" w:color="auto"/>
      </w:divBdr>
    </w:div>
    <w:div w:id="732192444">
      <w:bodyDiv w:val="1"/>
      <w:marLeft w:val="0"/>
      <w:marRight w:val="0"/>
      <w:marTop w:val="0"/>
      <w:marBottom w:val="0"/>
      <w:divBdr>
        <w:top w:val="none" w:sz="0" w:space="0" w:color="auto"/>
        <w:left w:val="none" w:sz="0" w:space="0" w:color="auto"/>
        <w:bottom w:val="none" w:sz="0" w:space="0" w:color="auto"/>
        <w:right w:val="none" w:sz="0" w:space="0" w:color="auto"/>
      </w:divBdr>
    </w:div>
    <w:div w:id="753084793">
      <w:bodyDiv w:val="1"/>
      <w:marLeft w:val="0"/>
      <w:marRight w:val="0"/>
      <w:marTop w:val="0"/>
      <w:marBottom w:val="0"/>
      <w:divBdr>
        <w:top w:val="none" w:sz="0" w:space="0" w:color="auto"/>
        <w:left w:val="none" w:sz="0" w:space="0" w:color="auto"/>
        <w:bottom w:val="none" w:sz="0" w:space="0" w:color="auto"/>
        <w:right w:val="none" w:sz="0" w:space="0" w:color="auto"/>
      </w:divBdr>
    </w:div>
    <w:div w:id="765228198">
      <w:bodyDiv w:val="1"/>
      <w:marLeft w:val="0"/>
      <w:marRight w:val="0"/>
      <w:marTop w:val="0"/>
      <w:marBottom w:val="0"/>
      <w:divBdr>
        <w:top w:val="none" w:sz="0" w:space="0" w:color="auto"/>
        <w:left w:val="none" w:sz="0" w:space="0" w:color="auto"/>
        <w:bottom w:val="none" w:sz="0" w:space="0" w:color="auto"/>
        <w:right w:val="none" w:sz="0" w:space="0" w:color="auto"/>
      </w:divBdr>
    </w:div>
    <w:div w:id="777484705">
      <w:bodyDiv w:val="1"/>
      <w:marLeft w:val="0"/>
      <w:marRight w:val="0"/>
      <w:marTop w:val="0"/>
      <w:marBottom w:val="0"/>
      <w:divBdr>
        <w:top w:val="none" w:sz="0" w:space="0" w:color="auto"/>
        <w:left w:val="none" w:sz="0" w:space="0" w:color="auto"/>
        <w:bottom w:val="none" w:sz="0" w:space="0" w:color="auto"/>
        <w:right w:val="none" w:sz="0" w:space="0" w:color="auto"/>
      </w:divBdr>
    </w:div>
    <w:div w:id="783771566">
      <w:bodyDiv w:val="1"/>
      <w:marLeft w:val="0"/>
      <w:marRight w:val="0"/>
      <w:marTop w:val="0"/>
      <w:marBottom w:val="0"/>
      <w:divBdr>
        <w:top w:val="none" w:sz="0" w:space="0" w:color="auto"/>
        <w:left w:val="none" w:sz="0" w:space="0" w:color="auto"/>
        <w:bottom w:val="none" w:sz="0" w:space="0" w:color="auto"/>
        <w:right w:val="none" w:sz="0" w:space="0" w:color="auto"/>
      </w:divBdr>
    </w:div>
    <w:div w:id="804742250">
      <w:bodyDiv w:val="1"/>
      <w:marLeft w:val="0"/>
      <w:marRight w:val="0"/>
      <w:marTop w:val="0"/>
      <w:marBottom w:val="0"/>
      <w:divBdr>
        <w:top w:val="none" w:sz="0" w:space="0" w:color="auto"/>
        <w:left w:val="none" w:sz="0" w:space="0" w:color="auto"/>
        <w:bottom w:val="none" w:sz="0" w:space="0" w:color="auto"/>
        <w:right w:val="none" w:sz="0" w:space="0" w:color="auto"/>
      </w:divBdr>
    </w:div>
    <w:div w:id="826821755">
      <w:bodyDiv w:val="1"/>
      <w:marLeft w:val="0"/>
      <w:marRight w:val="0"/>
      <w:marTop w:val="0"/>
      <w:marBottom w:val="0"/>
      <w:divBdr>
        <w:top w:val="none" w:sz="0" w:space="0" w:color="auto"/>
        <w:left w:val="none" w:sz="0" w:space="0" w:color="auto"/>
        <w:bottom w:val="none" w:sz="0" w:space="0" w:color="auto"/>
        <w:right w:val="none" w:sz="0" w:space="0" w:color="auto"/>
      </w:divBdr>
    </w:div>
    <w:div w:id="834413909">
      <w:bodyDiv w:val="1"/>
      <w:marLeft w:val="0"/>
      <w:marRight w:val="0"/>
      <w:marTop w:val="0"/>
      <w:marBottom w:val="0"/>
      <w:divBdr>
        <w:top w:val="none" w:sz="0" w:space="0" w:color="auto"/>
        <w:left w:val="none" w:sz="0" w:space="0" w:color="auto"/>
        <w:bottom w:val="none" w:sz="0" w:space="0" w:color="auto"/>
        <w:right w:val="none" w:sz="0" w:space="0" w:color="auto"/>
      </w:divBdr>
    </w:div>
    <w:div w:id="854613113">
      <w:bodyDiv w:val="1"/>
      <w:marLeft w:val="0"/>
      <w:marRight w:val="0"/>
      <w:marTop w:val="0"/>
      <w:marBottom w:val="0"/>
      <w:divBdr>
        <w:top w:val="none" w:sz="0" w:space="0" w:color="auto"/>
        <w:left w:val="none" w:sz="0" w:space="0" w:color="auto"/>
        <w:bottom w:val="none" w:sz="0" w:space="0" w:color="auto"/>
        <w:right w:val="none" w:sz="0" w:space="0" w:color="auto"/>
      </w:divBdr>
    </w:div>
    <w:div w:id="881600397">
      <w:bodyDiv w:val="1"/>
      <w:marLeft w:val="0"/>
      <w:marRight w:val="0"/>
      <w:marTop w:val="0"/>
      <w:marBottom w:val="0"/>
      <w:divBdr>
        <w:top w:val="none" w:sz="0" w:space="0" w:color="auto"/>
        <w:left w:val="none" w:sz="0" w:space="0" w:color="auto"/>
        <w:bottom w:val="none" w:sz="0" w:space="0" w:color="auto"/>
        <w:right w:val="none" w:sz="0" w:space="0" w:color="auto"/>
      </w:divBdr>
    </w:div>
    <w:div w:id="903678939">
      <w:bodyDiv w:val="1"/>
      <w:marLeft w:val="0"/>
      <w:marRight w:val="0"/>
      <w:marTop w:val="0"/>
      <w:marBottom w:val="0"/>
      <w:divBdr>
        <w:top w:val="none" w:sz="0" w:space="0" w:color="auto"/>
        <w:left w:val="none" w:sz="0" w:space="0" w:color="auto"/>
        <w:bottom w:val="none" w:sz="0" w:space="0" w:color="auto"/>
        <w:right w:val="none" w:sz="0" w:space="0" w:color="auto"/>
      </w:divBdr>
    </w:div>
    <w:div w:id="1023437630">
      <w:bodyDiv w:val="1"/>
      <w:marLeft w:val="0"/>
      <w:marRight w:val="0"/>
      <w:marTop w:val="0"/>
      <w:marBottom w:val="0"/>
      <w:divBdr>
        <w:top w:val="none" w:sz="0" w:space="0" w:color="auto"/>
        <w:left w:val="none" w:sz="0" w:space="0" w:color="auto"/>
        <w:bottom w:val="none" w:sz="0" w:space="0" w:color="auto"/>
        <w:right w:val="none" w:sz="0" w:space="0" w:color="auto"/>
      </w:divBdr>
    </w:div>
    <w:div w:id="1036739764">
      <w:bodyDiv w:val="1"/>
      <w:marLeft w:val="0"/>
      <w:marRight w:val="0"/>
      <w:marTop w:val="0"/>
      <w:marBottom w:val="0"/>
      <w:divBdr>
        <w:top w:val="none" w:sz="0" w:space="0" w:color="auto"/>
        <w:left w:val="none" w:sz="0" w:space="0" w:color="auto"/>
        <w:bottom w:val="none" w:sz="0" w:space="0" w:color="auto"/>
        <w:right w:val="none" w:sz="0" w:space="0" w:color="auto"/>
      </w:divBdr>
    </w:div>
    <w:div w:id="1052001589">
      <w:bodyDiv w:val="1"/>
      <w:marLeft w:val="0"/>
      <w:marRight w:val="0"/>
      <w:marTop w:val="0"/>
      <w:marBottom w:val="0"/>
      <w:divBdr>
        <w:top w:val="none" w:sz="0" w:space="0" w:color="auto"/>
        <w:left w:val="none" w:sz="0" w:space="0" w:color="auto"/>
        <w:bottom w:val="none" w:sz="0" w:space="0" w:color="auto"/>
        <w:right w:val="none" w:sz="0" w:space="0" w:color="auto"/>
      </w:divBdr>
    </w:div>
    <w:div w:id="1056466359">
      <w:bodyDiv w:val="1"/>
      <w:marLeft w:val="0"/>
      <w:marRight w:val="0"/>
      <w:marTop w:val="0"/>
      <w:marBottom w:val="0"/>
      <w:divBdr>
        <w:top w:val="none" w:sz="0" w:space="0" w:color="auto"/>
        <w:left w:val="none" w:sz="0" w:space="0" w:color="auto"/>
        <w:bottom w:val="none" w:sz="0" w:space="0" w:color="auto"/>
        <w:right w:val="none" w:sz="0" w:space="0" w:color="auto"/>
      </w:divBdr>
    </w:div>
    <w:div w:id="1079206996">
      <w:bodyDiv w:val="1"/>
      <w:marLeft w:val="0"/>
      <w:marRight w:val="0"/>
      <w:marTop w:val="0"/>
      <w:marBottom w:val="0"/>
      <w:divBdr>
        <w:top w:val="none" w:sz="0" w:space="0" w:color="auto"/>
        <w:left w:val="none" w:sz="0" w:space="0" w:color="auto"/>
        <w:bottom w:val="none" w:sz="0" w:space="0" w:color="auto"/>
        <w:right w:val="none" w:sz="0" w:space="0" w:color="auto"/>
      </w:divBdr>
    </w:div>
    <w:div w:id="1087001093">
      <w:bodyDiv w:val="1"/>
      <w:marLeft w:val="0"/>
      <w:marRight w:val="0"/>
      <w:marTop w:val="0"/>
      <w:marBottom w:val="0"/>
      <w:divBdr>
        <w:top w:val="none" w:sz="0" w:space="0" w:color="auto"/>
        <w:left w:val="none" w:sz="0" w:space="0" w:color="auto"/>
        <w:bottom w:val="none" w:sz="0" w:space="0" w:color="auto"/>
        <w:right w:val="none" w:sz="0" w:space="0" w:color="auto"/>
      </w:divBdr>
    </w:div>
    <w:div w:id="1108769740">
      <w:bodyDiv w:val="1"/>
      <w:marLeft w:val="0"/>
      <w:marRight w:val="0"/>
      <w:marTop w:val="0"/>
      <w:marBottom w:val="0"/>
      <w:divBdr>
        <w:top w:val="none" w:sz="0" w:space="0" w:color="auto"/>
        <w:left w:val="none" w:sz="0" w:space="0" w:color="auto"/>
        <w:bottom w:val="none" w:sz="0" w:space="0" w:color="auto"/>
        <w:right w:val="none" w:sz="0" w:space="0" w:color="auto"/>
      </w:divBdr>
    </w:div>
    <w:div w:id="1110585931">
      <w:bodyDiv w:val="1"/>
      <w:marLeft w:val="0"/>
      <w:marRight w:val="0"/>
      <w:marTop w:val="0"/>
      <w:marBottom w:val="0"/>
      <w:divBdr>
        <w:top w:val="none" w:sz="0" w:space="0" w:color="auto"/>
        <w:left w:val="none" w:sz="0" w:space="0" w:color="auto"/>
        <w:bottom w:val="none" w:sz="0" w:space="0" w:color="auto"/>
        <w:right w:val="none" w:sz="0" w:space="0" w:color="auto"/>
      </w:divBdr>
    </w:div>
    <w:div w:id="1157649157">
      <w:bodyDiv w:val="1"/>
      <w:marLeft w:val="0"/>
      <w:marRight w:val="0"/>
      <w:marTop w:val="0"/>
      <w:marBottom w:val="0"/>
      <w:divBdr>
        <w:top w:val="none" w:sz="0" w:space="0" w:color="auto"/>
        <w:left w:val="none" w:sz="0" w:space="0" w:color="auto"/>
        <w:bottom w:val="none" w:sz="0" w:space="0" w:color="auto"/>
        <w:right w:val="none" w:sz="0" w:space="0" w:color="auto"/>
      </w:divBdr>
    </w:div>
    <w:div w:id="1227379313">
      <w:bodyDiv w:val="1"/>
      <w:marLeft w:val="0"/>
      <w:marRight w:val="0"/>
      <w:marTop w:val="0"/>
      <w:marBottom w:val="0"/>
      <w:divBdr>
        <w:top w:val="none" w:sz="0" w:space="0" w:color="auto"/>
        <w:left w:val="none" w:sz="0" w:space="0" w:color="auto"/>
        <w:bottom w:val="none" w:sz="0" w:space="0" w:color="auto"/>
        <w:right w:val="none" w:sz="0" w:space="0" w:color="auto"/>
      </w:divBdr>
    </w:div>
    <w:div w:id="1253397050">
      <w:bodyDiv w:val="1"/>
      <w:marLeft w:val="0"/>
      <w:marRight w:val="0"/>
      <w:marTop w:val="0"/>
      <w:marBottom w:val="0"/>
      <w:divBdr>
        <w:top w:val="none" w:sz="0" w:space="0" w:color="auto"/>
        <w:left w:val="none" w:sz="0" w:space="0" w:color="auto"/>
        <w:bottom w:val="none" w:sz="0" w:space="0" w:color="auto"/>
        <w:right w:val="none" w:sz="0" w:space="0" w:color="auto"/>
      </w:divBdr>
    </w:div>
    <w:div w:id="1273824873">
      <w:bodyDiv w:val="1"/>
      <w:marLeft w:val="0"/>
      <w:marRight w:val="0"/>
      <w:marTop w:val="0"/>
      <w:marBottom w:val="0"/>
      <w:divBdr>
        <w:top w:val="none" w:sz="0" w:space="0" w:color="auto"/>
        <w:left w:val="none" w:sz="0" w:space="0" w:color="auto"/>
        <w:bottom w:val="none" w:sz="0" w:space="0" w:color="auto"/>
        <w:right w:val="none" w:sz="0" w:space="0" w:color="auto"/>
      </w:divBdr>
    </w:div>
    <w:div w:id="1284119345">
      <w:bodyDiv w:val="1"/>
      <w:marLeft w:val="0"/>
      <w:marRight w:val="0"/>
      <w:marTop w:val="0"/>
      <w:marBottom w:val="0"/>
      <w:divBdr>
        <w:top w:val="none" w:sz="0" w:space="0" w:color="auto"/>
        <w:left w:val="none" w:sz="0" w:space="0" w:color="auto"/>
        <w:bottom w:val="none" w:sz="0" w:space="0" w:color="auto"/>
        <w:right w:val="none" w:sz="0" w:space="0" w:color="auto"/>
      </w:divBdr>
    </w:div>
    <w:div w:id="1297641829">
      <w:bodyDiv w:val="1"/>
      <w:marLeft w:val="0"/>
      <w:marRight w:val="0"/>
      <w:marTop w:val="0"/>
      <w:marBottom w:val="0"/>
      <w:divBdr>
        <w:top w:val="none" w:sz="0" w:space="0" w:color="auto"/>
        <w:left w:val="none" w:sz="0" w:space="0" w:color="auto"/>
        <w:bottom w:val="none" w:sz="0" w:space="0" w:color="auto"/>
        <w:right w:val="none" w:sz="0" w:space="0" w:color="auto"/>
      </w:divBdr>
    </w:div>
    <w:div w:id="1311904245">
      <w:bodyDiv w:val="1"/>
      <w:marLeft w:val="0"/>
      <w:marRight w:val="0"/>
      <w:marTop w:val="0"/>
      <w:marBottom w:val="0"/>
      <w:divBdr>
        <w:top w:val="none" w:sz="0" w:space="0" w:color="auto"/>
        <w:left w:val="none" w:sz="0" w:space="0" w:color="auto"/>
        <w:bottom w:val="none" w:sz="0" w:space="0" w:color="auto"/>
        <w:right w:val="none" w:sz="0" w:space="0" w:color="auto"/>
      </w:divBdr>
    </w:div>
    <w:div w:id="1314289791">
      <w:bodyDiv w:val="1"/>
      <w:marLeft w:val="0"/>
      <w:marRight w:val="0"/>
      <w:marTop w:val="0"/>
      <w:marBottom w:val="0"/>
      <w:divBdr>
        <w:top w:val="none" w:sz="0" w:space="0" w:color="auto"/>
        <w:left w:val="none" w:sz="0" w:space="0" w:color="auto"/>
        <w:bottom w:val="none" w:sz="0" w:space="0" w:color="auto"/>
        <w:right w:val="none" w:sz="0" w:space="0" w:color="auto"/>
      </w:divBdr>
    </w:div>
    <w:div w:id="1328050145">
      <w:bodyDiv w:val="1"/>
      <w:marLeft w:val="0"/>
      <w:marRight w:val="0"/>
      <w:marTop w:val="0"/>
      <w:marBottom w:val="0"/>
      <w:divBdr>
        <w:top w:val="none" w:sz="0" w:space="0" w:color="auto"/>
        <w:left w:val="none" w:sz="0" w:space="0" w:color="auto"/>
        <w:bottom w:val="none" w:sz="0" w:space="0" w:color="auto"/>
        <w:right w:val="none" w:sz="0" w:space="0" w:color="auto"/>
      </w:divBdr>
    </w:div>
    <w:div w:id="1328363210">
      <w:bodyDiv w:val="1"/>
      <w:marLeft w:val="0"/>
      <w:marRight w:val="0"/>
      <w:marTop w:val="0"/>
      <w:marBottom w:val="0"/>
      <w:divBdr>
        <w:top w:val="none" w:sz="0" w:space="0" w:color="auto"/>
        <w:left w:val="none" w:sz="0" w:space="0" w:color="auto"/>
        <w:bottom w:val="none" w:sz="0" w:space="0" w:color="auto"/>
        <w:right w:val="none" w:sz="0" w:space="0" w:color="auto"/>
      </w:divBdr>
    </w:div>
    <w:div w:id="1332754423">
      <w:bodyDiv w:val="1"/>
      <w:marLeft w:val="0"/>
      <w:marRight w:val="0"/>
      <w:marTop w:val="0"/>
      <w:marBottom w:val="0"/>
      <w:divBdr>
        <w:top w:val="none" w:sz="0" w:space="0" w:color="auto"/>
        <w:left w:val="none" w:sz="0" w:space="0" w:color="auto"/>
        <w:bottom w:val="none" w:sz="0" w:space="0" w:color="auto"/>
        <w:right w:val="none" w:sz="0" w:space="0" w:color="auto"/>
      </w:divBdr>
    </w:div>
    <w:div w:id="1348480312">
      <w:bodyDiv w:val="1"/>
      <w:marLeft w:val="0"/>
      <w:marRight w:val="0"/>
      <w:marTop w:val="0"/>
      <w:marBottom w:val="0"/>
      <w:divBdr>
        <w:top w:val="none" w:sz="0" w:space="0" w:color="auto"/>
        <w:left w:val="none" w:sz="0" w:space="0" w:color="auto"/>
        <w:bottom w:val="none" w:sz="0" w:space="0" w:color="auto"/>
        <w:right w:val="none" w:sz="0" w:space="0" w:color="auto"/>
      </w:divBdr>
    </w:div>
    <w:div w:id="1404058976">
      <w:bodyDiv w:val="1"/>
      <w:marLeft w:val="0"/>
      <w:marRight w:val="0"/>
      <w:marTop w:val="0"/>
      <w:marBottom w:val="0"/>
      <w:divBdr>
        <w:top w:val="none" w:sz="0" w:space="0" w:color="auto"/>
        <w:left w:val="none" w:sz="0" w:space="0" w:color="auto"/>
        <w:bottom w:val="none" w:sz="0" w:space="0" w:color="auto"/>
        <w:right w:val="none" w:sz="0" w:space="0" w:color="auto"/>
      </w:divBdr>
    </w:div>
    <w:div w:id="1414163308">
      <w:bodyDiv w:val="1"/>
      <w:marLeft w:val="0"/>
      <w:marRight w:val="0"/>
      <w:marTop w:val="0"/>
      <w:marBottom w:val="0"/>
      <w:divBdr>
        <w:top w:val="none" w:sz="0" w:space="0" w:color="auto"/>
        <w:left w:val="none" w:sz="0" w:space="0" w:color="auto"/>
        <w:bottom w:val="none" w:sz="0" w:space="0" w:color="auto"/>
        <w:right w:val="none" w:sz="0" w:space="0" w:color="auto"/>
      </w:divBdr>
    </w:div>
    <w:div w:id="1420787660">
      <w:bodyDiv w:val="1"/>
      <w:marLeft w:val="0"/>
      <w:marRight w:val="0"/>
      <w:marTop w:val="0"/>
      <w:marBottom w:val="0"/>
      <w:divBdr>
        <w:top w:val="none" w:sz="0" w:space="0" w:color="auto"/>
        <w:left w:val="none" w:sz="0" w:space="0" w:color="auto"/>
        <w:bottom w:val="none" w:sz="0" w:space="0" w:color="auto"/>
        <w:right w:val="none" w:sz="0" w:space="0" w:color="auto"/>
      </w:divBdr>
    </w:div>
    <w:div w:id="1440829787">
      <w:bodyDiv w:val="1"/>
      <w:marLeft w:val="0"/>
      <w:marRight w:val="0"/>
      <w:marTop w:val="0"/>
      <w:marBottom w:val="0"/>
      <w:divBdr>
        <w:top w:val="none" w:sz="0" w:space="0" w:color="auto"/>
        <w:left w:val="none" w:sz="0" w:space="0" w:color="auto"/>
        <w:bottom w:val="none" w:sz="0" w:space="0" w:color="auto"/>
        <w:right w:val="none" w:sz="0" w:space="0" w:color="auto"/>
      </w:divBdr>
    </w:div>
    <w:div w:id="1444501453">
      <w:bodyDiv w:val="1"/>
      <w:marLeft w:val="0"/>
      <w:marRight w:val="0"/>
      <w:marTop w:val="0"/>
      <w:marBottom w:val="0"/>
      <w:divBdr>
        <w:top w:val="none" w:sz="0" w:space="0" w:color="auto"/>
        <w:left w:val="none" w:sz="0" w:space="0" w:color="auto"/>
        <w:bottom w:val="none" w:sz="0" w:space="0" w:color="auto"/>
        <w:right w:val="none" w:sz="0" w:space="0" w:color="auto"/>
      </w:divBdr>
    </w:div>
    <w:div w:id="1445926302">
      <w:bodyDiv w:val="1"/>
      <w:marLeft w:val="0"/>
      <w:marRight w:val="0"/>
      <w:marTop w:val="0"/>
      <w:marBottom w:val="0"/>
      <w:divBdr>
        <w:top w:val="none" w:sz="0" w:space="0" w:color="auto"/>
        <w:left w:val="none" w:sz="0" w:space="0" w:color="auto"/>
        <w:bottom w:val="none" w:sz="0" w:space="0" w:color="auto"/>
        <w:right w:val="none" w:sz="0" w:space="0" w:color="auto"/>
      </w:divBdr>
    </w:div>
    <w:div w:id="1481313948">
      <w:bodyDiv w:val="1"/>
      <w:marLeft w:val="0"/>
      <w:marRight w:val="0"/>
      <w:marTop w:val="0"/>
      <w:marBottom w:val="0"/>
      <w:divBdr>
        <w:top w:val="none" w:sz="0" w:space="0" w:color="auto"/>
        <w:left w:val="none" w:sz="0" w:space="0" w:color="auto"/>
        <w:bottom w:val="none" w:sz="0" w:space="0" w:color="auto"/>
        <w:right w:val="none" w:sz="0" w:space="0" w:color="auto"/>
      </w:divBdr>
    </w:div>
    <w:div w:id="1539050639">
      <w:bodyDiv w:val="1"/>
      <w:marLeft w:val="0"/>
      <w:marRight w:val="0"/>
      <w:marTop w:val="0"/>
      <w:marBottom w:val="0"/>
      <w:divBdr>
        <w:top w:val="none" w:sz="0" w:space="0" w:color="auto"/>
        <w:left w:val="none" w:sz="0" w:space="0" w:color="auto"/>
        <w:bottom w:val="none" w:sz="0" w:space="0" w:color="auto"/>
        <w:right w:val="none" w:sz="0" w:space="0" w:color="auto"/>
      </w:divBdr>
    </w:div>
    <w:div w:id="1550914523">
      <w:bodyDiv w:val="1"/>
      <w:marLeft w:val="0"/>
      <w:marRight w:val="0"/>
      <w:marTop w:val="0"/>
      <w:marBottom w:val="0"/>
      <w:divBdr>
        <w:top w:val="none" w:sz="0" w:space="0" w:color="auto"/>
        <w:left w:val="none" w:sz="0" w:space="0" w:color="auto"/>
        <w:bottom w:val="none" w:sz="0" w:space="0" w:color="auto"/>
        <w:right w:val="none" w:sz="0" w:space="0" w:color="auto"/>
      </w:divBdr>
    </w:div>
    <w:div w:id="1584413357">
      <w:bodyDiv w:val="1"/>
      <w:marLeft w:val="0"/>
      <w:marRight w:val="0"/>
      <w:marTop w:val="0"/>
      <w:marBottom w:val="0"/>
      <w:divBdr>
        <w:top w:val="none" w:sz="0" w:space="0" w:color="auto"/>
        <w:left w:val="none" w:sz="0" w:space="0" w:color="auto"/>
        <w:bottom w:val="none" w:sz="0" w:space="0" w:color="auto"/>
        <w:right w:val="none" w:sz="0" w:space="0" w:color="auto"/>
      </w:divBdr>
    </w:div>
    <w:div w:id="1601907260">
      <w:bodyDiv w:val="1"/>
      <w:marLeft w:val="0"/>
      <w:marRight w:val="0"/>
      <w:marTop w:val="0"/>
      <w:marBottom w:val="0"/>
      <w:divBdr>
        <w:top w:val="none" w:sz="0" w:space="0" w:color="auto"/>
        <w:left w:val="none" w:sz="0" w:space="0" w:color="auto"/>
        <w:bottom w:val="none" w:sz="0" w:space="0" w:color="auto"/>
        <w:right w:val="none" w:sz="0" w:space="0" w:color="auto"/>
      </w:divBdr>
    </w:div>
    <w:div w:id="1614242066">
      <w:bodyDiv w:val="1"/>
      <w:marLeft w:val="0"/>
      <w:marRight w:val="0"/>
      <w:marTop w:val="0"/>
      <w:marBottom w:val="0"/>
      <w:divBdr>
        <w:top w:val="none" w:sz="0" w:space="0" w:color="auto"/>
        <w:left w:val="none" w:sz="0" w:space="0" w:color="auto"/>
        <w:bottom w:val="none" w:sz="0" w:space="0" w:color="auto"/>
        <w:right w:val="none" w:sz="0" w:space="0" w:color="auto"/>
      </w:divBdr>
    </w:div>
    <w:div w:id="1665934654">
      <w:bodyDiv w:val="1"/>
      <w:marLeft w:val="0"/>
      <w:marRight w:val="0"/>
      <w:marTop w:val="0"/>
      <w:marBottom w:val="0"/>
      <w:divBdr>
        <w:top w:val="none" w:sz="0" w:space="0" w:color="auto"/>
        <w:left w:val="none" w:sz="0" w:space="0" w:color="auto"/>
        <w:bottom w:val="none" w:sz="0" w:space="0" w:color="auto"/>
        <w:right w:val="none" w:sz="0" w:space="0" w:color="auto"/>
      </w:divBdr>
    </w:div>
    <w:div w:id="1675760938">
      <w:bodyDiv w:val="1"/>
      <w:marLeft w:val="0"/>
      <w:marRight w:val="0"/>
      <w:marTop w:val="0"/>
      <w:marBottom w:val="0"/>
      <w:divBdr>
        <w:top w:val="none" w:sz="0" w:space="0" w:color="auto"/>
        <w:left w:val="none" w:sz="0" w:space="0" w:color="auto"/>
        <w:bottom w:val="none" w:sz="0" w:space="0" w:color="auto"/>
        <w:right w:val="none" w:sz="0" w:space="0" w:color="auto"/>
      </w:divBdr>
    </w:div>
    <w:div w:id="1681354409">
      <w:bodyDiv w:val="1"/>
      <w:marLeft w:val="0"/>
      <w:marRight w:val="0"/>
      <w:marTop w:val="0"/>
      <w:marBottom w:val="0"/>
      <w:divBdr>
        <w:top w:val="none" w:sz="0" w:space="0" w:color="auto"/>
        <w:left w:val="none" w:sz="0" w:space="0" w:color="auto"/>
        <w:bottom w:val="none" w:sz="0" w:space="0" w:color="auto"/>
        <w:right w:val="none" w:sz="0" w:space="0" w:color="auto"/>
      </w:divBdr>
    </w:div>
    <w:div w:id="1711298990">
      <w:bodyDiv w:val="1"/>
      <w:marLeft w:val="0"/>
      <w:marRight w:val="0"/>
      <w:marTop w:val="0"/>
      <w:marBottom w:val="0"/>
      <w:divBdr>
        <w:top w:val="none" w:sz="0" w:space="0" w:color="auto"/>
        <w:left w:val="none" w:sz="0" w:space="0" w:color="auto"/>
        <w:bottom w:val="none" w:sz="0" w:space="0" w:color="auto"/>
        <w:right w:val="none" w:sz="0" w:space="0" w:color="auto"/>
      </w:divBdr>
    </w:div>
    <w:div w:id="1716003191">
      <w:bodyDiv w:val="1"/>
      <w:marLeft w:val="0"/>
      <w:marRight w:val="0"/>
      <w:marTop w:val="0"/>
      <w:marBottom w:val="0"/>
      <w:divBdr>
        <w:top w:val="none" w:sz="0" w:space="0" w:color="auto"/>
        <w:left w:val="none" w:sz="0" w:space="0" w:color="auto"/>
        <w:bottom w:val="none" w:sz="0" w:space="0" w:color="auto"/>
        <w:right w:val="none" w:sz="0" w:space="0" w:color="auto"/>
      </w:divBdr>
    </w:div>
    <w:div w:id="1721132454">
      <w:bodyDiv w:val="1"/>
      <w:marLeft w:val="0"/>
      <w:marRight w:val="0"/>
      <w:marTop w:val="0"/>
      <w:marBottom w:val="0"/>
      <w:divBdr>
        <w:top w:val="none" w:sz="0" w:space="0" w:color="auto"/>
        <w:left w:val="none" w:sz="0" w:space="0" w:color="auto"/>
        <w:bottom w:val="none" w:sz="0" w:space="0" w:color="auto"/>
        <w:right w:val="none" w:sz="0" w:space="0" w:color="auto"/>
      </w:divBdr>
    </w:div>
    <w:div w:id="1743486229">
      <w:bodyDiv w:val="1"/>
      <w:marLeft w:val="0"/>
      <w:marRight w:val="0"/>
      <w:marTop w:val="0"/>
      <w:marBottom w:val="0"/>
      <w:divBdr>
        <w:top w:val="none" w:sz="0" w:space="0" w:color="auto"/>
        <w:left w:val="none" w:sz="0" w:space="0" w:color="auto"/>
        <w:bottom w:val="none" w:sz="0" w:space="0" w:color="auto"/>
        <w:right w:val="none" w:sz="0" w:space="0" w:color="auto"/>
      </w:divBdr>
    </w:div>
    <w:div w:id="1757088833">
      <w:bodyDiv w:val="1"/>
      <w:marLeft w:val="0"/>
      <w:marRight w:val="0"/>
      <w:marTop w:val="0"/>
      <w:marBottom w:val="0"/>
      <w:divBdr>
        <w:top w:val="none" w:sz="0" w:space="0" w:color="auto"/>
        <w:left w:val="none" w:sz="0" w:space="0" w:color="auto"/>
        <w:bottom w:val="none" w:sz="0" w:space="0" w:color="auto"/>
        <w:right w:val="none" w:sz="0" w:space="0" w:color="auto"/>
      </w:divBdr>
    </w:div>
    <w:div w:id="1759524846">
      <w:bodyDiv w:val="1"/>
      <w:marLeft w:val="0"/>
      <w:marRight w:val="0"/>
      <w:marTop w:val="0"/>
      <w:marBottom w:val="0"/>
      <w:divBdr>
        <w:top w:val="none" w:sz="0" w:space="0" w:color="auto"/>
        <w:left w:val="none" w:sz="0" w:space="0" w:color="auto"/>
        <w:bottom w:val="none" w:sz="0" w:space="0" w:color="auto"/>
        <w:right w:val="none" w:sz="0" w:space="0" w:color="auto"/>
      </w:divBdr>
    </w:div>
    <w:div w:id="1763338761">
      <w:bodyDiv w:val="1"/>
      <w:marLeft w:val="0"/>
      <w:marRight w:val="0"/>
      <w:marTop w:val="0"/>
      <w:marBottom w:val="0"/>
      <w:divBdr>
        <w:top w:val="none" w:sz="0" w:space="0" w:color="auto"/>
        <w:left w:val="none" w:sz="0" w:space="0" w:color="auto"/>
        <w:bottom w:val="none" w:sz="0" w:space="0" w:color="auto"/>
        <w:right w:val="none" w:sz="0" w:space="0" w:color="auto"/>
      </w:divBdr>
    </w:div>
    <w:div w:id="1797405978">
      <w:bodyDiv w:val="1"/>
      <w:marLeft w:val="0"/>
      <w:marRight w:val="0"/>
      <w:marTop w:val="0"/>
      <w:marBottom w:val="0"/>
      <w:divBdr>
        <w:top w:val="none" w:sz="0" w:space="0" w:color="auto"/>
        <w:left w:val="none" w:sz="0" w:space="0" w:color="auto"/>
        <w:bottom w:val="none" w:sz="0" w:space="0" w:color="auto"/>
        <w:right w:val="none" w:sz="0" w:space="0" w:color="auto"/>
      </w:divBdr>
    </w:div>
    <w:div w:id="1835295653">
      <w:bodyDiv w:val="1"/>
      <w:marLeft w:val="0"/>
      <w:marRight w:val="0"/>
      <w:marTop w:val="0"/>
      <w:marBottom w:val="0"/>
      <w:divBdr>
        <w:top w:val="none" w:sz="0" w:space="0" w:color="auto"/>
        <w:left w:val="none" w:sz="0" w:space="0" w:color="auto"/>
        <w:bottom w:val="none" w:sz="0" w:space="0" w:color="auto"/>
        <w:right w:val="none" w:sz="0" w:space="0" w:color="auto"/>
      </w:divBdr>
    </w:div>
    <w:div w:id="1835416984">
      <w:bodyDiv w:val="1"/>
      <w:marLeft w:val="0"/>
      <w:marRight w:val="0"/>
      <w:marTop w:val="0"/>
      <w:marBottom w:val="0"/>
      <w:divBdr>
        <w:top w:val="none" w:sz="0" w:space="0" w:color="auto"/>
        <w:left w:val="none" w:sz="0" w:space="0" w:color="auto"/>
        <w:bottom w:val="none" w:sz="0" w:space="0" w:color="auto"/>
        <w:right w:val="none" w:sz="0" w:space="0" w:color="auto"/>
      </w:divBdr>
    </w:div>
    <w:div w:id="1873686110">
      <w:bodyDiv w:val="1"/>
      <w:marLeft w:val="0"/>
      <w:marRight w:val="0"/>
      <w:marTop w:val="0"/>
      <w:marBottom w:val="0"/>
      <w:divBdr>
        <w:top w:val="none" w:sz="0" w:space="0" w:color="auto"/>
        <w:left w:val="none" w:sz="0" w:space="0" w:color="auto"/>
        <w:bottom w:val="none" w:sz="0" w:space="0" w:color="auto"/>
        <w:right w:val="none" w:sz="0" w:space="0" w:color="auto"/>
      </w:divBdr>
    </w:div>
    <w:div w:id="1879078141">
      <w:bodyDiv w:val="1"/>
      <w:marLeft w:val="0"/>
      <w:marRight w:val="0"/>
      <w:marTop w:val="0"/>
      <w:marBottom w:val="0"/>
      <w:divBdr>
        <w:top w:val="none" w:sz="0" w:space="0" w:color="auto"/>
        <w:left w:val="none" w:sz="0" w:space="0" w:color="auto"/>
        <w:bottom w:val="none" w:sz="0" w:space="0" w:color="auto"/>
        <w:right w:val="none" w:sz="0" w:space="0" w:color="auto"/>
      </w:divBdr>
    </w:div>
    <w:div w:id="1894779127">
      <w:bodyDiv w:val="1"/>
      <w:marLeft w:val="0"/>
      <w:marRight w:val="0"/>
      <w:marTop w:val="0"/>
      <w:marBottom w:val="0"/>
      <w:divBdr>
        <w:top w:val="none" w:sz="0" w:space="0" w:color="auto"/>
        <w:left w:val="none" w:sz="0" w:space="0" w:color="auto"/>
        <w:bottom w:val="none" w:sz="0" w:space="0" w:color="auto"/>
        <w:right w:val="none" w:sz="0" w:space="0" w:color="auto"/>
      </w:divBdr>
    </w:div>
    <w:div w:id="1896699218">
      <w:bodyDiv w:val="1"/>
      <w:marLeft w:val="0"/>
      <w:marRight w:val="0"/>
      <w:marTop w:val="0"/>
      <w:marBottom w:val="0"/>
      <w:divBdr>
        <w:top w:val="none" w:sz="0" w:space="0" w:color="auto"/>
        <w:left w:val="none" w:sz="0" w:space="0" w:color="auto"/>
        <w:bottom w:val="none" w:sz="0" w:space="0" w:color="auto"/>
        <w:right w:val="none" w:sz="0" w:space="0" w:color="auto"/>
      </w:divBdr>
    </w:div>
    <w:div w:id="1897736692">
      <w:bodyDiv w:val="1"/>
      <w:marLeft w:val="0"/>
      <w:marRight w:val="0"/>
      <w:marTop w:val="0"/>
      <w:marBottom w:val="0"/>
      <w:divBdr>
        <w:top w:val="none" w:sz="0" w:space="0" w:color="auto"/>
        <w:left w:val="none" w:sz="0" w:space="0" w:color="auto"/>
        <w:bottom w:val="none" w:sz="0" w:space="0" w:color="auto"/>
        <w:right w:val="none" w:sz="0" w:space="0" w:color="auto"/>
      </w:divBdr>
    </w:div>
    <w:div w:id="1903517075">
      <w:bodyDiv w:val="1"/>
      <w:marLeft w:val="0"/>
      <w:marRight w:val="0"/>
      <w:marTop w:val="0"/>
      <w:marBottom w:val="0"/>
      <w:divBdr>
        <w:top w:val="none" w:sz="0" w:space="0" w:color="auto"/>
        <w:left w:val="none" w:sz="0" w:space="0" w:color="auto"/>
        <w:bottom w:val="none" w:sz="0" w:space="0" w:color="auto"/>
        <w:right w:val="none" w:sz="0" w:space="0" w:color="auto"/>
      </w:divBdr>
    </w:div>
    <w:div w:id="1918633590">
      <w:bodyDiv w:val="1"/>
      <w:marLeft w:val="0"/>
      <w:marRight w:val="0"/>
      <w:marTop w:val="0"/>
      <w:marBottom w:val="0"/>
      <w:divBdr>
        <w:top w:val="none" w:sz="0" w:space="0" w:color="auto"/>
        <w:left w:val="none" w:sz="0" w:space="0" w:color="auto"/>
        <w:bottom w:val="none" w:sz="0" w:space="0" w:color="auto"/>
        <w:right w:val="none" w:sz="0" w:space="0" w:color="auto"/>
      </w:divBdr>
    </w:div>
    <w:div w:id="1958753070">
      <w:bodyDiv w:val="1"/>
      <w:marLeft w:val="0"/>
      <w:marRight w:val="0"/>
      <w:marTop w:val="0"/>
      <w:marBottom w:val="0"/>
      <w:divBdr>
        <w:top w:val="none" w:sz="0" w:space="0" w:color="auto"/>
        <w:left w:val="none" w:sz="0" w:space="0" w:color="auto"/>
        <w:bottom w:val="none" w:sz="0" w:space="0" w:color="auto"/>
        <w:right w:val="none" w:sz="0" w:space="0" w:color="auto"/>
      </w:divBdr>
    </w:div>
    <w:div w:id="1966111870">
      <w:bodyDiv w:val="1"/>
      <w:marLeft w:val="0"/>
      <w:marRight w:val="0"/>
      <w:marTop w:val="0"/>
      <w:marBottom w:val="0"/>
      <w:divBdr>
        <w:top w:val="none" w:sz="0" w:space="0" w:color="auto"/>
        <w:left w:val="none" w:sz="0" w:space="0" w:color="auto"/>
        <w:bottom w:val="none" w:sz="0" w:space="0" w:color="auto"/>
        <w:right w:val="none" w:sz="0" w:space="0" w:color="auto"/>
      </w:divBdr>
    </w:div>
    <w:div w:id="2008514322">
      <w:bodyDiv w:val="1"/>
      <w:marLeft w:val="0"/>
      <w:marRight w:val="0"/>
      <w:marTop w:val="0"/>
      <w:marBottom w:val="0"/>
      <w:divBdr>
        <w:top w:val="none" w:sz="0" w:space="0" w:color="auto"/>
        <w:left w:val="none" w:sz="0" w:space="0" w:color="auto"/>
        <w:bottom w:val="none" w:sz="0" w:space="0" w:color="auto"/>
        <w:right w:val="none" w:sz="0" w:space="0" w:color="auto"/>
      </w:divBdr>
    </w:div>
    <w:div w:id="2032491721">
      <w:bodyDiv w:val="1"/>
      <w:marLeft w:val="0"/>
      <w:marRight w:val="0"/>
      <w:marTop w:val="0"/>
      <w:marBottom w:val="0"/>
      <w:divBdr>
        <w:top w:val="none" w:sz="0" w:space="0" w:color="auto"/>
        <w:left w:val="none" w:sz="0" w:space="0" w:color="auto"/>
        <w:bottom w:val="none" w:sz="0" w:space="0" w:color="auto"/>
        <w:right w:val="none" w:sz="0" w:space="0" w:color="auto"/>
      </w:divBdr>
    </w:div>
    <w:div w:id="2050645174">
      <w:bodyDiv w:val="1"/>
      <w:marLeft w:val="0"/>
      <w:marRight w:val="0"/>
      <w:marTop w:val="0"/>
      <w:marBottom w:val="0"/>
      <w:divBdr>
        <w:top w:val="none" w:sz="0" w:space="0" w:color="auto"/>
        <w:left w:val="none" w:sz="0" w:space="0" w:color="auto"/>
        <w:bottom w:val="none" w:sz="0" w:space="0" w:color="auto"/>
        <w:right w:val="none" w:sz="0" w:space="0" w:color="auto"/>
      </w:divBdr>
    </w:div>
    <w:div w:id="2050949875">
      <w:bodyDiv w:val="1"/>
      <w:marLeft w:val="0"/>
      <w:marRight w:val="0"/>
      <w:marTop w:val="0"/>
      <w:marBottom w:val="0"/>
      <w:divBdr>
        <w:top w:val="none" w:sz="0" w:space="0" w:color="auto"/>
        <w:left w:val="none" w:sz="0" w:space="0" w:color="auto"/>
        <w:bottom w:val="none" w:sz="0" w:space="0" w:color="auto"/>
        <w:right w:val="none" w:sz="0" w:space="0" w:color="auto"/>
      </w:divBdr>
    </w:div>
    <w:div w:id="2068600680">
      <w:bodyDiv w:val="1"/>
      <w:marLeft w:val="0"/>
      <w:marRight w:val="0"/>
      <w:marTop w:val="0"/>
      <w:marBottom w:val="0"/>
      <w:divBdr>
        <w:top w:val="none" w:sz="0" w:space="0" w:color="auto"/>
        <w:left w:val="none" w:sz="0" w:space="0" w:color="auto"/>
        <w:bottom w:val="none" w:sz="0" w:space="0" w:color="auto"/>
        <w:right w:val="none" w:sz="0" w:space="0" w:color="auto"/>
      </w:divBdr>
    </w:div>
    <w:div w:id="2093576912">
      <w:bodyDiv w:val="1"/>
      <w:marLeft w:val="0"/>
      <w:marRight w:val="0"/>
      <w:marTop w:val="0"/>
      <w:marBottom w:val="0"/>
      <w:divBdr>
        <w:top w:val="none" w:sz="0" w:space="0" w:color="auto"/>
        <w:left w:val="none" w:sz="0" w:space="0" w:color="auto"/>
        <w:bottom w:val="none" w:sz="0" w:space="0" w:color="auto"/>
        <w:right w:val="none" w:sz="0" w:space="0" w:color="auto"/>
      </w:divBdr>
    </w:div>
    <w:div w:id="2098598043">
      <w:bodyDiv w:val="1"/>
      <w:marLeft w:val="0"/>
      <w:marRight w:val="0"/>
      <w:marTop w:val="0"/>
      <w:marBottom w:val="0"/>
      <w:divBdr>
        <w:top w:val="none" w:sz="0" w:space="0" w:color="auto"/>
        <w:left w:val="none" w:sz="0" w:space="0" w:color="auto"/>
        <w:bottom w:val="none" w:sz="0" w:space="0" w:color="auto"/>
        <w:right w:val="none" w:sz="0" w:space="0" w:color="auto"/>
      </w:divBdr>
    </w:div>
    <w:div w:id="2112623512">
      <w:bodyDiv w:val="1"/>
      <w:marLeft w:val="0"/>
      <w:marRight w:val="0"/>
      <w:marTop w:val="0"/>
      <w:marBottom w:val="0"/>
      <w:divBdr>
        <w:top w:val="none" w:sz="0" w:space="0" w:color="auto"/>
        <w:left w:val="none" w:sz="0" w:space="0" w:color="auto"/>
        <w:bottom w:val="none" w:sz="0" w:space="0" w:color="auto"/>
        <w:right w:val="none" w:sz="0" w:space="0" w:color="auto"/>
      </w:divBdr>
    </w:div>
    <w:div w:id="21379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header" Target="header10.xml" Id="rId26" /><Relationship Type="http://schemas.openxmlformats.org/officeDocument/2006/relationships/header" Target="header14.xml" Id="rId39" /><Relationship Type="http://schemas.openxmlformats.org/officeDocument/2006/relationships/styles" Target="styles.xml" Id="rId3" /><Relationship Type="http://schemas.openxmlformats.org/officeDocument/2006/relationships/footer" Target="footer7.xml" Id="rId21" /><Relationship Type="http://schemas.openxmlformats.org/officeDocument/2006/relationships/header" Target="header12.xml" Id="rId34" /><Relationship Type="http://schemas.openxmlformats.org/officeDocument/2006/relationships/footer" Target="footer15.xml" Id="rId42" /><Relationship Type="http://schemas.openxmlformats.org/officeDocument/2006/relationships/fontTable" Target="fontTable.xml" Id="rId47"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header" Target="header9.xml" Id="rId25" /><Relationship Type="http://schemas.openxmlformats.org/officeDocument/2006/relationships/footer" Target="footer11.xml" Id="rId33" /><Relationship Type="http://schemas.openxmlformats.org/officeDocument/2006/relationships/hyperlink" Target="http://emma.msrb.org" TargetMode="External" Id="rId38" /><Relationship Type="http://schemas.openxmlformats.org/officeDocument/2006/relationships/footer" Target="footer18.xml" Id="rId46"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header" Target="header7.xml" Id="rId20" /><Relationship Type="http://schemas.openxmlformats.org/officeDocument/2006/relationships/hyperlink" Target="https://www.fanniemae.com/about-us/investor-relations/quarterly-and-annual-results" TargetMode="External" Id="rId29" /><Relationship Type="http://schemas.openxmlformats.org/officeDocument/2006/relationships/header" Target="header15.xml" Id="rId4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footer" Target="footer9.xml" Id="rId24" /><Relationship Type="http://schemas.openxmlformats.org/officeDocument/2006/relationships/footer" Target="footer10.xml" Id="rId32" /><Relationship Type="http://schemas.openxmlformats.org/officeDocument/2006/relationships/footer" Target="footer13.xml" Id="rId37" /><Relationship Type="http://schemas.openxmlformats.org/officeDocument/2006/relationships/footer" Target="footer14.xml" Id="rId40" /><Relationship Type="http://schemas.openxmlformats.org/officeDocument/2006/relationships/footer" Target="footer17.xml" Id="rId45"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8.xml" Id="rId23" /><Relationship Type="http://schemas.openxmlformats.org/officeDocument/2006/relationships/hyperlink" Target="https://capitalmarkets.fanniemae.com/mortgage-backed-securities/mbs-prospectuses" TargetMode="External" Id="rId28" /><Relationship Type="http://schemas.openxmlformats.org/officeDocument/2006/relationships/header" Target="header13.xml" Id="rId36"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header" Target="header11.xml" Id="rId31" /><Relationship Type="http://schemas.openxmlformats.org/officeDocument/2006/relationships/header" Target="header16.xml" Id="rId44"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header" Target="header8.xml" Id="rId22" /><Relationship Type="http://schemas.openxmlformats.org/officeDocument/2006/relationships/hyperlink" Target="https://www.in.gov/ihcda/files/IHCDA-2023-FY-Audited-FS.pdf" TargetMode="External" Id="rId27" /><Relationship Type="http://schemas.openxmlformats.org/officeDocument/2006/relationships/hyperlink" Target="https://fanniemae.gcs-web.com/proxy-filings" TargetMode="External" Id="rId30" /><Relationship Type="http://schemas.openxmlformats.org/officeDocument/2006/relationships/footer" Target="footer12.xml" Id="rId35" /><Relationship Type="http://schemas.openxmlformats.org/officeDocument/2006/relationships/footer" Target="footer16.xml" Id="rId43" /><Relationship Type="http://schemas.openxmlformats.org/officeDocument/2006/relationships/theme" Target="theme/theme1.xm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1900-01-01T05:00:00.0000000Z</lastPrinted>
  <dcterms:created xsi:type="dcterms:W3CDTF">1900-01-01T05:00:00.0000000Z</dcterms:created>
  <dcterms:modified xsi:type="dcterms:W3CDTF">1900-01-01T05:00:00.0000000Z</dcterms:modified>
</coreProperties>
</file>