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F650" w14:textId="77777777" w:rsidR="00A3044A" w:rsidRPr="001F49A7" w:rsidRDefault="00A3044A" w:rsidP="007E245C">
      <w:pPr>
        <w:pStyle w:val="Heading2"/>
        <w:shd w:val="clear" w:color="auto" w:fill="95B3D7"/>
        <w:ind w:left="0" w:firstLine="0"/>
        <w:jc w:val="center"/>
        <w:rPr>
          <w:color w:val="auto"/>
          <w:sz w:val="22"/>
          <w:szCs w:val="22"/>
        </w:rPr>
      </w:pPr>
      <w:r w:rsidRPr="001F49A7">
        <w:rPr>
          <w:sz w:val="22"/>
          <w:szCs w:val="22"/>
        </w:rPr>
        <w:t>PART ONE – INPUT FROM HOLDING COMPANY GROUP PERSONNEL</w:t>
      </w:r>
    </w:p>
    <w:p w14:paraId="1647118A" w14:textId="77777777" w:rsidR="00AC3135" w:rsidRPr="003B0A58" w:rsidRDefault="00AC3135" w:rsidP="00AC3135">
      <w:pPr>
        <w:rPr>
          <w:rFonts w:ascii="Times New Roman" w:hAnsi="Times New Roman"/>
        </w:rPr>
      </w:pPr>
    </w:p>
    <w:p w14:paraId="3F7890A2" w14:textId="77777777" w:rsidR="00AC3135" w:rsidRPr="003B0A58" w:rsidRDefault="00AC3135" w:rsidP="00AC31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The coordination of financial examinations for insurers within holding company groups is beneficial to state regulators as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well as the companies being examined. In order to assist examiners and to create exam efficiencies for both company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personnel and state examiners, information about the companies that compose a holding company g</w:t>
      </w:r>
      <w:r w:rsidR="00BD167B" w:rsidRPr="003B0A58">
        <w:rPr>
          <w:rFonts w:ascii="Times New Roman" w:hAnsi="Times New Roman"/>
        </w:rPr>
        <w:t>r</w:t>
      </w:r>
      <w:r w:rsidRPr="003B0A58">
        <w:rPr>
          <w:rFonts w:ascii="Times New Roman" w:hAnsi="Times New Roman"/>
        </w:rPr>
        <w:t>oup is needed. Based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on the information below, the holding company group should provide input to state regulators on several items that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provide regulators with a high-level understanding of the interactions of companies in the holding company group. At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least initially, holding company groups that are currently satisfied with the overall coordination of exam efforts within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their groups will only need to submit this information if specifically requested by state regulators. When completing the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exhibit, the group should first consider which state they believe is in the best position to be the managing coordinating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state over the entire group for financial exam purposes. Next, the holding company group should provide input on whether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subgroups for financial exam purposes are appropriate. If so, the group should provide information detailing how it could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be broken out into those subgroups for this exam period. For example, a holding company group is comprised of eight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insurance entities that include five companies writing health insurance and three writing life business. This group may be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separated into two subgroups based on the information discussed above, one for the health companies and one for the life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companies. The group should also provide input on an exam coordinating state for each subgroup created. All of the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recommendations discussed above should have supporting documentation provided to the Financial Examiners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Coordination Working Group. Members of the Working Group will then decide if the recommendations are appropriate or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if adjustments should be made. The holding company group should provide input as to whether a coordinated exam(s)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makes sense given the unique characteristics of a particular group.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At a minimum, the holding company group should provide information on each of the four key topics discussed below to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assist regulators when scheduling exams of the group. Examples of information that the group may consider when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providing input to state regulators for each key topic are also provided. The examples listed below are optional pieces of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information the group may provide for each of the key topics. This list is not all-inclusive and the holding company group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should consider any other sources of information that they believe would be beneficial to the regulators in scheduling and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coordinating group exams. Although the examples are kept at a high level in order to apply to all groups in some fashion,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the information gathered by company personnel should provide sufficient evidence and detail to assist regulators in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determining the best way to coordinate exams for a holding company group.</w:t>
      </w:r>
    </w:p>
    <w:p w14:paraId="0F5164DB" w14:textId="77777777" w:rsidR="00BD167B" w:rsidRPr="003B0A58" w:rsidRDefault="00BD167B" w:rsidP="00AC31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96DC68" w14:textId="77777777" w:rsidR="00AC3135" w:rsidRPr="003B0A58" w:rsidRDefault="00AC3135" w:rsidP="001535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Group Corporate Governance</w:t>
      </w:r>
    </w:p>
    <w:p w14:paraId="76925A1E" w14:textId="77777777" w:rsidR="00AC3135" w:rsidRPr="003B0A58" w:rsidRDefault="00AC3135" w:rsidP="001535F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Organizational chart of the group (Exhibit Y of Annual Statement) including ownership percentages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shown and any significant changes notated.</w:t>
      </w:r>
    </w:p>
    <w:p w14:paraId="67983705" w14:textId="77777777" w:rsidR="00AC3135" w:rsidRPr="003B0A58" w:rsidRDefault="00AC3135" w:rsidP="001535F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Company organizational charts with directors’ names for each legal entity explaining which board(s) of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directors and committees oversee which entities and/or holding companies.</w:t>
      </w:r>
    </w:p>
    <w:p w14:paraId="55839A0D" w14:textId="77777777" w:rsidR="00AC3135" w:rsidRPr="003B0A58" w:rsidRDefault="00AC3135" w:rsidP="001535F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 xml:space="preserve">A general written description of how the board of directors is involved in the decisions made with </w:t>
      </w:r>
      <w:r w:rsidR="00BD167B" w:rsidRPr="003B0A58">
        <w:rPr>
          <w:rFonts w:ascii="Times New Roman" w:hAnsi="Times New Roman"/>
        </w:rPr>
        <w:t>r</w:t>
      </w:r>
      <w:r w:rsidRPr="003B0A58">
        <w:rPr>
          <w:rFonts w:ascii="Times New Roman" w:hAnsi="Times New Roman"/>
        </w:rPr>
        <w:t>espect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to the insurance operations.</w:t>
      </w:r>
    </w:p>
    <w:p w14:paraId="34B9B965" w14:textId="77777777" w:rsidR="00A3044A" w:rsidRPr="003B0A58" w:rsidRDefault="00A3044A" w:rsidP="00AC31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0A14E8" w14:textId="77777777" w:rsidR="00AC3135" w:rsidRPr="003B0A58" w:rsidRDefault="00AC3135" w:rsidP="001535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Risk Management/Decision Making</w:t>
      </w:r>
    </w:p>
    <w:p w14:paraId="21D0F17C" w14:textId="77777777" w:rsidR="00AC3135" w:rsidRPr="003B0A58" w:rsidRDefault="00AC3135" w:rsidP="001535FF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Similarities and differences in lines of authority and communication (including senior management and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board of directors) for group/company operations to facilitate more effective and focused interviews of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management.</w:t>
      </w:r>
    </w:p>
    <w:p w14:paraId="67CCD66B" w14:textId="77777777" w:rsidR="00AC3135" w:rsidRPr="003B0A58" w:rsidRDefault="00AC3135" w:rsidP="001535FF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Risk management and decision making levels for the group.</w:t>
      </w:r>
    </w:p>
    <w:p w14:paraId="384AC5CD" w14:textId="77777777" w:rsidR="00AC3135" w:rsidRPr="003B0A58" w:rsidRDefault="00AC3135" w:rsidP="001535FF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Financial plans and management concerns and risks for each legal entity.</w:t>
      </w:r>
    </w:p>
    <w:p w14:paraId="279317C6" w14:textId="77777777" w:rsidR="00AC3135" w:rsidRPr="003B0A58" w:rsidRDefault="00AC3135" w:rsidP="001535FF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lastRenderedPageBreak/>
        <w:t>Similarities and differences of risk management between companies.</w:t>
      </w:r>
    </w:p>
    <w:p w14:paraId="5103D9A6" w14:textId="77777777" w:rsidR="00AC3135" w:rsidRPr="003B0A58" w:rsidRDefault="00AC3135" w:rsidP="001535F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Internal audit program over multiple companies.</w:t>
      </w:r>
    </w:p>
    <w:p w14:paraId="1BC1A387" w14:textId="77777777" w:rsidR="00A3044A" w:rsidRPr="003B0A58" w:rsidRDefault="00A3044A" w:rsidP="00AC31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AB2CEF" w14:textId="77777777" w:rsidR="00AC3135" w:rsidRPr="003B0A58" w:rsidRDefault="00AC3135" w:rsidP="001535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Key Functional Activities and Processes</w:t>
      </w:r>
    </w:p>
    <w:p w14:paraId="37E7C430" w14:textId="77777777" w:rsidR="00BD167B" w:rsidRPr="003B0A58" w:rsidRDefault="00AC3135" w:rsidP="001535F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“Mutual service” departments or business units that service multiple companies within the group (e.g., IT,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accounting, investments, claims handling, premium processing, executive, etc.), including centralized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functions in place across the legal entities.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• Similarities and differences of significant processes and operations within the group, including markets,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distribution channels and internal controls.</w:t>
      </w:r>
      <w:r w:rsidR="00BD167B" w:rsidRPr="003B0A58">
        <w:rPr>
          <w:rFonts w:ascii="Times New Roman" w:hAnsi="Times New Roman"/>
        </w:rPr>
        <w:t xml:space="preserve"> </w:t>
      </w:r>
    </w:p>
    <w:p w14:paraId="515E268D" w14:textId="77777777" w:rsidR="00BD167B" w:rsidRPr="003B0A58" w:rsidRDefault="00AC3135" w:rsidP="001535FF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Could include documentation from Model Audit Rule or Sarbanes-Oxley requirements such as a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description of the “Group of Insurers” determined for purposes of Model compliance.</w:t>
      </w:r>
      <w:r w:rsidR="00BD167B" w:rsidRPr="003B0A58">
        <w:rPr>
          <w:rFonts w:ascii="Times New Roman" w:hAnsi="Times New Roman"/>
        </w:rPr>
        <w:t xml:space="preserve"> </w:t>
      </w:r>
    </w:p>
    <w:p w14:paraId="23F9C325" w14:textId="77777777" w:rsidR="00BD167B" w:rsidRPr="003B0A58" w:rsidRDefault="00AC3135" w:rsidP="001535FF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This information should be presented in a well-organized and easy to follow manner, as similar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processes will serve as the primary areas where coordinated examination of systems and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processes can occur among the states.</w:t>
      </w:r>
      <w:r w:rsidR="00BD167B" w:rsidRPr="003B0A58">
        <w:rPr>
          <w:rFonts w:ascii="Times New Roman" w:hAnsi="Times New Roman"/>
        </w:rPr>
        <w:t xml:space="preserve"> </w:t>
      </w:r>
    </w:p>
    <w:p w14:paraId="3FC026B4" w14:textId="77777777" w:rsidR="00AC3135" w:rsidRPr="003B0A58" w:rsidRDefault="00AC3135" w:rsidP="001535F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Location of books and records for each insurer.</w:t>
      </w:r>
    </w:p>
    <w:p w14:paraId="49998D13" w14:textId="77777777" w:rsidR="00AC3135" w:rsidRPr="003B0A58" w:rsidRDefault="00AC3135" w:rsidP="001535FF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Information on significant agreements and transactions with affiliates.</w:t>
      </w:r>
    </w:p>
    <w:p w14:paraId="22C5E8E5" w14:textId="77777777" w:rsidR="00A3044A" w:rsidRPr="003B0A58" w:rsidRDefault="00A3044A" w:rsidP="00AC31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846E9D" w14:textId="77777777" w:rsidR="00AC3135" w:rsidRPr="003B0A58" w:rsidRDefault="00AC3135" w:rsidP="001535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Computer Systems</w:t>
      </w:r>
    </w:p>
    <w:p w14:paraId="7C943334" w14:textId="77777777" w:rsidR="00AC3135" w:rsidRPr="003B0A58" w:rsidRDefault="00AC3135" w:rsidP="001535F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Listing of common administration and IT systems used by multiple or all companies in the group,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including flowcharts and locations.</w:t>
      </w:r>
    </w:p>
    <w:p w14:paraId="5C7D5E9B" w14:textId="77777777" w:rsidR="00AC3135" w:rsidRPr="003B0A58" w:rsidRDefault="00AC3135" w:rsidP="001535FF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Names of experts who manage these systems.</w:t>
      </w:r>
    </w:p>
    <w:p w14:paraId="50A33EF1" w14:textId="77777777" w:rsidR="00AC3135" w:rsidRPr="003B0A58" w:rsidRDefault="00AC3135" w:rsidP="001535FF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Location(s) of systems.</w:t>
      </w:r>
    </w:p>
    <w:p w14:paraId="21B28D34" w14:textId="77777777" w:rsidR="00AC3135" w:rsidRPr="003B0A58" w:rsidRDefault="00AC3135" w:rsidP="001535FF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System controls and applications/processes.</w:t>
      </w:r>
    </w:p>
    <w:p w14:paraId="59DFBBB6" w14:textId="77777777" w:rsidR="00AC3135" w:rsidRPr="003B0A58" w:rsidRDefault="00AC3135" w:rsidP="001535FF">
      <w:pPr>
        <w:pStyle w:val="ListParagraph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B0A58">
        <w:rPr>
          <w:rFonts w:ascii="Times New Roman" w:hAnsi="Times New Roman"/>
        </w:rPr>
        <w:t>Could be broken out by dollar amount and percentage of total processed (e.g., 25% of claims</w:t>
      </w:r>
      <w:r w:rsidR="00BD167B" w:rsidRPr="003B0A58">
        <w:rPr>
          <w:rFonts w:ascii="Times New Roman" w:hAnsi="Times New Roman"/>
        </w:rPr>
        <w:t xml:space="preserve"> </w:t>
      </w:r>
      <w:r w:rsidRPr="003B0A58">
        <w:rPr>
          <w:rFonts w:ascii="Times New Roman" w:hAnsi="Times New Roman"/>
        </w:rPr>
        <w:t>processed in Kansas City, 75% in New York City).</w:t>
      </w:r>
    </w:p>
    <w:p w14:paraId="77311B51" w14:textId="77777777" w:rsidR="003B0A58" w:rsidRDefault="003B0A58">
      <w:pPr>
        <w:rPr>
          <w:rFonts w:ascii="Times New Roman" w:hAnsi="Times New Roman"/>
        </w:rPr>
      </w:pPr>
    </w:p>
    <w:sectPr w:rsidR="003B0A58" w:rsidSect="00884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520A"/>
    <w:multiLevelType w:val="hybridMultilevel"/>
    <w:tmpl w:val="46A6C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2E07A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AE56C276">
      <w:start w:val="3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504A"/>
    <w:multiLevelType w:val="hybridMultilevel"/>
    <w:tmpl w:val="C186D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5FE8"/>
    <w:multiLevelType w:val="hybridMultilevel"/>
    <w:tmpl w:val="4904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11B91"/>
    <w:multiLevelType w:val="hybridMultilevel"/>
    <w:tmpl w:val="60C4A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7156A"/>
    <w:multiLevelType w:val="hybridMultilevel"/>
    <w:tmpl w:val="67B2A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10DFC"/>
    <w:multiLevelType w:val="hybridMultilevel"/>
    <w:tmpl w:val="611A8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381"/>
    <w:multiLevelType w:val="hybridMultilevel"/>
    <w:tmpl w:val="689A4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350FA"/>
    <w:multiLevelType w:val="hybridMultilevel"/>
    <w:tmpl w:val="BBBEF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62F7C"/>
    <w:multiLevelType w:val="hybridMultilevel"/>
    <w:tmpl w:val="0F30E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41139"/>
    <w:multiLevelType w:val="hybridMultilevel"/>
    <w:tmpl w:val="D832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823A3"/>
    <w:multiLevelType w:val="hybridMultilevel"/>
    <w:tmpl w:val="DC02B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725CC"/>
    <w:multiLevelType w:val="hybridMultilevel"/>
    <w:tmpl w:val="66043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138554">
    <w:abstractNumId w:val="9"/>
  </w:num>
  <w:num w:numId="2" w16cid:durableId="314453944">
    <w:abstractNumId w:val="0"/>
  </w:num>
  <w:num w:numId="3" w16cid:durableId="1706783722">
    <w:abstractNumId w:val="3"/>
  </w:num>
  <w:num w:numId="4" w16cid:durableId="957636925">
    <w:abstractNumId w:val="8"/>
  </w:num>
  <w:num w:numId="5" w16cid:durableId="558128888">
    <w:abstractNumId w:val="10"/>
  </w:num>
  <w:num w:numId="6" w16cid:durableId="259411929">
    <w:abstractNumId w:val="6"/>
  </w:num>
  <w:num w:numId="7" w16cid:durableId="2071151552">
    <w:abstractNumId w:val="1"/>
  </w:num>
  <w:num w:numId="8" w16cid:durableId="1573616871">
    <w:abstractNumId w:val="4"/>
  </w:num>
  <w:num w:numId="9" w16cid:durableId="169949917">
    <w:abstractNumId w:val="5"/>
  </w:num>
  <w:num w:numId="10" w16cid:durableId="2122409170">
    <w:abstractNumId w:val="7"/>
  </w:num>
  <w:num w:numId="11" w16cid:durableId="110635858">
    <w:abstractNumId w:val="2"/>
  </w:num>
  <w:num w:numId="12" w16cid:durableId="3587029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35"/>
    <w:rsid w:val="00002E12"/>
    <w:rsid w:val="001535FF"/>
    <w:rsid w:val="001B1C5B"/>
    <w:rsid w:val="001F49A7"/>
    <w:rsid w:val="002B6D5B"/>
    <w:rsid w:val="003B0A58"/>
    <w:rsid w:val="004B1880"/>
    <w:rsid w:val="00584046"/>
    <w:rsid w:val="00655E8D"/>
    <w:rsid w:val="0069612F"/>
    <w:rsid w:val="007E245C"/>
    <w:rsid w:val="008715D2"/>
    <w:rsid w:val="008841A3"/>
    <w:rsid w:val="008F70DA"/>
    <w:rsid w:val="008F7F5C"/>
    <w:rsid w:val="009531B1"/>
    <w:rsid w:val="009E4479"/>
    <w:rsid w:val="00A3044A"/>
    <w:rsid w:val="00A56FE5"/>
    <w:rsid w:val="00AC3135"/>
    <w:rsid w:val="00B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517E"/>
  <w15:chartTrackingRefBased/>
  <w15:docId w15:val="{5624B5DB-09C4-4BD8-8541-59B8D9B8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2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3044A"/>
    <w:pPr>
      <w:shd w:val="clear" w:color="auto" w:fill="008080"/>
      <w:spacing w:after="280" w:line="240" w:lineRule="auto"/>
      <w:ind w:left="720" w:hanging="720"/>
      <w:jc w:val="both"/>
      <w:outlineLvl w:val="1"/>
    </w:pPr>
    <w:rPr>
      <w:rFonts w:ascii="Times New Roman" w:eastAsia="Times New Roman" w:hAnsi="Times New Roman"/>
      <w:b/>
      <w:caps/>
      <w:color w:val="FFFFF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044A"/>
    <w:rPr>
      <w:rFonts w:ascii="Times New Roman" w:eastAsia="Times New Roman" w:hAnsi="Times New Roman" w:cs="Times New Roman"/>
      <w:b/>
      <w:caps/>
      <w:color w:val="FFFFFF"/>
      <w:sz w:val="28"/>
      <w:szCs w:val="20"/>
      <w:shd w:val="clear" w:color="auto" w:fill="008080"/>
    </w:rPr>
  </w:style>
  <w:style w:type="paragraph" w:styleId="ListParagraph">
    <w:name w:val="List Paragraph"/>
    <w:basedOn w:val="Normal"/>
    <w:uiPriority w:val="34"/>
    <w:qFormat/>
    <w:rsid w:val="003B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EXHIBIT_Z</vt:lpstr>
    </vt:vector>
  </TitlesOfParts>
  <Company>State of Indiana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EXHIBIT_Z</dc:title>
  <dc:subject/>
  <dc:creator>MGranat</dc:creator>
  <cp:keywords/>
  <cp:lastModifiedBy>Brown, Kurt</cp:lastModifiedBy>
  <cp:revision>2</cp:revision>
  <cp:lastPrinted>2013-10-15T13:41:00Z</cp:lastPrinted>
  <dcterms:created xsi:type="dcterms:W3CDTF">2026-04-23T12:23:00Z</dcterms:created>
  <dcterms:modified xsi:type="dcterms:W3CDTF">2026-04-23T12:23:00Z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