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F6C9D" w14:textId="5F8CD162" w:rsidR="001D7150" w:rsidRPr="007528D4" w:rsidRDefault="00B219A1" w:rsidP="003851D3">
      <w:pPr>
        <w:pStyle w:val="Heading1"/>
        <w:spacing w:before="240" w:line="276" w:lineRule="auto"/>
        <w:rPr>
          <w:rFonts w:ascii="Open Sans" w:hAnsi="Open Sans" w:cs="Open Sans"/>
        </w:rPr>
      </w:pPr>
      <w:r w:rsidRPr="00B219A1">
        <w:t>Appendix 4</w:t>
      </w:r>
      <w:r w:rsidR="007528D4">
        <w:t>.</w:t>
      </w:r>
      <w:r w:rsidRPr="00B219A1">
        <w:t xml:space="preserve"> Allowable and Unallowable Use of Funds</w:t>
      </w:r>
    </w:p>
    <w:p w14:paraId="44A07624" w14:textId="6C10FECE" w:rsidR="00B219A1" w:rsidRPr="005E48FE" w:rsidRDefault="00B219A1" w:rsidP="003851D3">
      <w:pPr>
        <w:pStyle w:val="Heading2"/>
        <w:spacing w:line="276" w:lineRule="auto"/>
        <w:rPr>
          <w:rFonts w:ascii="Open Sans" w:hAnsi="Open Sans" w:cs="Open Sans"/>
        </w:rPr>
      </w:pPr>
      <w:r w:rsidRPr="005E48FE">
        <w:rPr>
          <w:rFonts w:ascii="Open Sans" w:hAnsi="Open Sans" w:cs="Open Sans"/>
        </w:rPr>
        <w:t>A. Allowable Uses of Funding</w:t>
      </w:r>
    </w:p>
    <w:p w14:paraId="0C5B069E" w14:textId="4543A312" w:rsidR="00B219A1" w:rsidRPr="003851D3" w:rsidRDefault="2D691C91" w:rsidP="003851D3">
      <w:pPr>
        <w:spacing w:line="276" w:lineRule="auto"/>
        <w:rPr>
          <w:rFonts w:ascii="Open Sans" w:hAnsi="Open Sans" w:cs="Open Sans"/>
        </w:rPr>
      </w:pPr>
      <w:r w:rsidRPr="44747D9F">
        <w:rPr>
          <w:rFonts w:ascii="Open Sans" w:hAnsi="Open Sans" w:cs="Open Sans"/>
        </w:rPr>
        <w:t xml:space="preserve">In alignment with the Funding Categories described in </w:t>
      </w:r>
      <w:r w:rsidR="155B291E" w:rsidRPr="44747D9F">
        <w:rPr>
          <w:rFonts w:ascii="Open Sans" w:hAnsi="Open Sans" w:cs="Open Sans"/>
        </w:rPr>
        <w:t xml:space="preserve">the </w:t>
      </w:r>
      <w:hyperlink r:id="rId10">
        <w:r w:rsidR="155B291E" w:rsidRPr="44747D9F">
          <w:rPr>
            <w:rStyle w:val="Hyperlink"/>
            <w:rFonts w:ascii="Open Sans" w:hAnsi="Open Sans" w:cs="Open Sans"/>
          </w:rPr>
          <w:t>RFF Document</w:t>
        </w:r>
      </w:hyperlink>
      <w:r w:rsidRPr="44747D9F">
        <w:rPr>
          <w:rFonts w:ascii="Open Sans" w:hAnsi="Open Sans" w:cs="Open Sans"/>
        </w:rPr>
        <w:t>, applicants may seek funding for the following permissible expenses so long as they advance the overall objectives of the RHTP. The State will hold regions accountable to use funds awarded under this opportunity only for the permissible uses specified in federal statute and described here. All proposed Initiatives must follow the requirements in</w:t>
      </w:r>
      <w:r w:rsidRPr="44747D9F">
        <w:rPr>
          <w:rFonts w:ascii="Open Sans" w:hAnsi="Open Sans" w:cs="Open Sans"/>
          <w:b/>
          <w:bCs/>
        </w:rPr>
        <w:t xml:space="preserve"> </w:t>
      </w:r>
      <w:hyperlink r:id="rId11">
        <w:r w:rsidRPr="44747D9F">
          <w:rPr>
            <w:rStyle w:val="Hyperlink"/>
            <w:rFonts w:ascii="Open Sans" w:hAnsi="Open Sans" w:cs="Open Sans"/>
            <w:b/>
            <w:bCs/>
          </w:rPr>
          <w:t>Appendix 1</w:t>
        </w:r>
      </w:hyperlink>
      <w:r w:rsidRPr="44747D9F">
        <w:rPr>
          <w:rFonts w:ascii="Open Sans" w:hAnsi="Open Sans" w:cs="Open Sans"/>
        </w:rPr>
        <w:t>, which captures the RHT Program NOFO. The RHT Program NOFO will be included in all grant agreements and subawards as part of the Primary Subrecipient’s Notice of Award from the State. As a condition of approval, applications must reflect that awarded funds will be used to invest in activities identified as permissible uses that are described in Section 71401 of Public Law 119-21:</w:t>
      </w:r>
    </w:p>
    <w:p w14:paraId="71F99C6C" w14:textId="7E5FF2E1" w:rsidR="00827940" w:rsidRPr="00827940" w:rsidRDefault="00B219A1" w:rsidP="00827940">
      <w:pPr>
        <w:pStyle w:val="ListParagraph"/>
        <w:numPr>
          <w:ilvl w:val="0"/>
          <w:numId w:val="5"/>
        </w:numPr>
        <w:spacing w:line="276" w:lineRule="auto"/>
        <w:rPr>
          <w:rFonts w:ascii="Open Sans" w:hAnsi="Open Sans" w:cs="Open Sans"/>
        </w:rPr>
      </w:pPr>
      <w:r w:rsidRPr="003851D3">
        <w:rPr>
          <w:rFonts w:ascii="Open Sans" w:hAnsi="Open Sans" w:cs="Open Sans"/>
          <w:b/>
          <w:bCs/>
        </w:rPr>
        <w:t>Prevention and chronic disease:</w:t>
      </w:r>
      <w:r w:rsidRPr="003851D3">
        <w:rPr>
          <w:rFonts w:ascii="Open Sans" w:hAnsi="Open Sans" w:cs="Open Sans"/>
        </w:rPr>
        <w:t xml:space="preserve"> Promoting evidence-based, measurable interventions to improve prevention and chronic disease management. </w:t>
      </w:r>
    </w:p>
    <w:p w14:paraId="48DC34CD" w14:textId="34F649B3" w:rsidR="00B219A1" w:rsidRPr="00827940" w:rsidRDefault="00B219A1" w:rsidP="00827940">
      <w:pPr>
        <w:pStyle w:val="ListParagraph"/>
        <w:numPr>
          <w:ilvl w:val="0"/>
          <w:numId w:val="5"/>
        </w:numPr>
        <w:spacing w:line="276" w:lineRule="auto"/>
        <w:rPr>
          <w:rFonts w:ascii="Open Sans" w:hAnsi="Open Sans" w:cs="Open Sans"/>
        </w:rPr>
      </w:pPr>
      <w:r w:rsidRPr="003851D3">
        <w:rPr>
          <w:rFonts w:ascii="Open Sans" w:hAnsi="Open Sans" w:cs="Open Sans"/>
          <w:b/>
          <w:bCs/>
        </w:rPr>
        <w:t>Provider payments:</w:t>
      </w:r>
      <w:r w:rsidRPr="003851D3">
        <w:rPr>
          <w:rFonts w:ascii="Open Sans" w:hAnsi="Open Sans" w:cs="Open Sans"/>
        </w:rPr>
        <w:t xml:space="preserve"> Providing payments to health care providers for the provision of health care items or services, subject to restrictions described in the funding policies and limitations of the RHTP NOFO and CMS Cooperative Agreement Terms and Conditions.</w:t>
      </w:r>
      <w:r w:rsidRPr="00827940">
        <w:rPr>
          <w:rFonts w:ascii="Open Sans" w:hAnsi="Open Sans" w:cs="Open Sans"/>
        </w:rPr>
        <w:t xml:space="preserve"> </w:t>
      </w:r>
    </w:p>
    <w:p w14:paraId="42E27663" w14:textId="5DFB8EEE" w:rsidR="00B219A1" w:rsidRPr="003851D3" w:rsidRDefault="00B219A1" w:rsidP="00827940">
      <w:pPr>
        <w:pStyle w:val="ListParagraph"/>
        <w:numPr>
          <w:ilvl w:val="0"/>
          <w:numId w:val="5"/>
        </w:numPr>
        <w:spacing w:line="276" w:lineRule="auto"/>
        <w:rPr>
          <w:rFonts w:ascii="Open Sans" w:hAnsi="Open Sans" w:cs="Open Sans"/>
        </w:rPr>
      </w:pPr>
      <w:r w:rsidRPr="003851D3">
        <w:rPr>
          <w:rFonts w:ascii="Open Sans" w:hAnsi="Open Sans" w:cs="Open Sans"/>
          <w:b/>
          <w:bCs/>
        </w:rPr>
        <w:t>Consumer tech solutions:</w:t>
      </w:r>
      <w:r w:rsidRPr="003851D3">
        <w:rPr>
          <w:rFonts w:ascii="Open Sans" w:hAnsi="Open Sans" w:cs="Open Sans"/>
        </w:rPr>
        <w:t xml:space="preserve"> Promoting consumer-facing, technology-driven solutions for the prevention and management of chronic diseases. </w:t>
      </w:r>
    </w:p>
    <w:p w14:paraId="04E48C9C" w14:textId="213FE36B" w:rsidR="00B219A1" w:rsidRPr="003851D3" w:rsidRDefault="00B219A1" w:rsidP="00827940">
      <w:pPr>
        <w:pStyle w:val="ListParagraph"/>
        <w:numPr>
          <w:ilvl w:val="0"/>
          <w:numId w:val="5"/>
        </w:numPr>
        <w:spacing w:line="276" w:lineRule="auto"/>
        <w:rPr>
          <w:rFonts w:ascii="Open Sans" w:hAnsi="Open Sans" w:cs="Open Sans"/>
        </w:rPr>
      </w:pPr>
      <w:r w:rsidRPr="003851D3">
        <w:rPr>
          <w:rFonts w:ascii="Open Sans" w:hAnsi="Open Sans" w:cs="Open Sans"/>
          <w:b/>
          <w:bCs/>
        </w:rPr>
        <w:t>Training and technical assistance:</w:t>
      </w:r>
      <w:r w:rsidRPr="003851D3">
        <w:rPr>
          <w:rFonts w:ascii="Open Sans" w:hAnsi="Open Sans" w:cs="Open Sans"/>
        </w:rPr>
        <w:t xml:space="preserve"> Providing training and technical assistance for the development and adoption of technology-enabled solutions that improve care delivery in rural hospitals, including remote monitoring, robotics, artificial intelligence, and other advanced technologies. </w:t>
      </w:r>
    </w:p>
    <w:p w14:paraId="4EF2EB94" w14:textId="75DB42E4" w:rsidR="00B219A1" w:rsidRPr="003851D3" w:rsidRDefault="00B219A1" w:rsidP="00827940">
      <w:pPr>
        <w:pStyle w:val="ListParagraph"/>
        <w:numPr>
          <w:ilvl w:val="0"/>
          <w:numId w:val="5"/>
        </w:numPr>
        <w:spacing w:line="276" w:lineRule="auto"/>
        <w:rPr>
          <w:rFonts w:ascii="Open Sans" w:hAnsi="Open Sans" w:cs="Open Sans"/>
        </w:rPr>
      </w:pPr>
      <w:r w:rsidRPr="003851D3">
        <w:rPr>
          <w:rFonts w:ascii="Open Sans" w:hAnsi="Open Sans" w:cs="Open Sans"/>
          <w:b/>
          <w:bCs/>
        </w:rPr>
        <w:t>Workforce:</w:t>
      </w:r>
      <w:r w:rsidRPr="003851D3">
        <w:rPr>
          <w:rFonts w:ascii="Open Sans" w:hAnsi="Open Sans" w:cs="Open Sans"/>
        </w:rPr>
        <w:t xml:space="preserve"> Recruiting and retaining clinical workforce talent to rural areas, with commitments to serve rural communities for a minimum of 5 years. </w:t>
      </w:r>
    </w:p>
    <w:p w14:paraId="41BBBA76" w14:textId="77777777" w:rsidR="00B219A1" w:rsidRPr="003851D3" w:rsidRDefault="00B219A1" w:rsidP="00827940">
      <w:pPr>
        <w:pStyle w:val="ListParagraph"/>
        <w:numPr>
          <w:ilvl w:val="0"/>
          <w:numId w:val="5"/>
        </w:numPr>
        <w:spacing w:line="276" w:lineRule="auto"/>
        <w:rPr>
          <w:rFonts w:ascii="Open Sans" w:hAnsi="Open Sans" w:cs="Open Sans"/>
        </w:rPr>
      </w:pPr>
      <w:r w:rsidRPr="003851D3">
        <w:rPr>
          <w:rFonts w:ascii="Open Sans" w:hAnsi="Open Sans" w:cs="Open Sans"/>
          <w:b/>
          <w:bCs/>
        </w:rPr>
        <w:t>IT advances:</w:t>
      </w:r>
      <w:r w:rsidRPr="003851D3">
        <w:rPr>
          <w:rFonts w:ascii="Open Sans" w:hAnsi="Open Sans" w:cs="Open Sans"/>
        </w:rPr>
        <w:t xml:space="preserve"> Providing technical assistance, software, and hardware for significant information technology advances designed to improve efficiency, enhance cybersecurity capability development, and improve patient health outcomes. </w:t>
      </w:r>
    </w:p>
    <w:p w14:paraId="12A99AD9" w14:textId="77777777" w:rsidR="00B219A1" w:rsidRPr="003851D3" w:rsidRDefault="00B219A1" w:rsidP="003851D3">
      <w:pPr>
        <w:pStyle w:val="ListParagraph"/>
        <w:numPr>
          <w:ilvl w:val="0"/>
          <w:numId w:val="5"/>
        </w:numPr>
        <w:spacing w:line="276" w:lineRule="auto"/>
        <w:rPr>
          <w:rFonts w:ascii="Open Sans" w:hAnsi="Open Sans" w:cs="Open Sans"/>
        </w:rPr>
      </w:pPr>
      <w:r w:rsidRPr="003851D3">
        <w:rPr>
          <w:rFonts w:ascii="Open Sans" w:hAnsi="Open Sans" w:cs="Open Sans"/>
          <w:b/>
          <w:bCs/>
        </w:rPr>
        <w:t>Appropriate care availability:</w:t>
      </w:r>
      <w:r w:rsidRPr="003851D3">
        <w:rPr>
          <w:rFonts w:ascii="Open Sans" w:hAnsi="Open Sans" w:cs="Open Sans"/>
        </w:rPr>
        <w:t xml:space="preserve"> Assisting rural communities to right size their health care delivery systems by identifying needed preventative, ambulatory, pre-hospital, emergency, acute inpatient care, outpatient care, and post-acute care service lines. </w:t>
      </w:r>
    </w:p>
    <w:p w14:paraId="002352C9" w14:textId="77777777" w:rsidR="00B219A1" w:rsidRPr="003851D3" w:rsidRDefault="00B219A1" w:rsidP="003851D3">
      <w:pPr>
        <w:pStyle w:val="ListParagraph"/>
        <w:numPr>
          <w:ilvl w:val="0"/>
          <w:numId w:val="5"/>
        </w:numPr>
        <w:spacing w:line="276" w:lineRule="auto"/>
        <w:rPr>
          <w:rFonts w:ascii="Open Sans" w:hAnsi="Open Sans" w:cs="Open Sans"/>
        </w:rPr>
      </w:pPr>
      <w:r w:rsidRPr="003851D3">
        <w:rPr>
          <w:rFonts w:ascii="Open Sans" w:hAnsi="Open Sans" w:cs="Open Sans"/>
          <w:b/>
          <w:bCs/>
        </w:rPr>
        <w:t>Behavioral health:</w:t>
      </w:r>
      <w:r w:rsidRPr="003851D3">
        <w:rPr>
          <w:rFonts w:ascii="Open Sans" w:hAnsi="Open Sans" w:cs="Open Sans"/>
        </w:rPr>
        <w:t xml:space="preserve"> Supporting access to opioid use disorder treatment services (as defined in section 1861(jjj)(1) of the Social Security Act), other substance use disorder treatment services, and mental health services.</w:t>
      </w:r>
    </w:p>
    <w:p w14:paraId="17703A25" w14:textId="7D09E857" w:rsidR="00B219A1" w:rsidRPr="003851D3" w:rsidRDefault="00B219A1" w:rsidP="003851D3">
      <w:pPr>
        <w:pStyle w:val="ListParagraph"/>
        <w:numPr>
          <w:ilvl w:val="0"/>
          <w:numId w:val="5"/>
        </w:numPr>
        <w:spacing w:line="276" w:lineRule="auto"/>
        <w:rPr>
          <w:rFonts w:ascii="Open Sans" w:hAnsi="Open Sans" w:cs="Open Sans"/>
        </w:rPr>
      </w:pPr>
      <w:r w:rsidRPr="003851D3">
        <w:rPr>
          <w:rFonts w:ascii="Open Sans" w:hAnsi="Open Sans" w:cs="Open Sans"/>
          <w:b/>
          <w:bCs/>
        </w:rPr>
        <w:t>Innovative care:</w:t>
      </w:r>
      <w:r w:rsidRPr="003851D3">
        <w:rPr>
          <w:rFonts w:ascii="Open Sans" w:hAnsi="Open Sans" w:cs="Open Sans"/>
        </w:rPr>
        <w:t xml:space="preserve"> Developing projects that support innovative models of care that include value-based care arrangements and alternative payment models, as appropriate.  </w:t>
      </w:r>
    </w:p>
    <w:p w14:paraId="674BD728" w14:textId="77777777" w:rsidR="00B219A1" w:rsidRPr="003851D3" w:rsidRDefault="00B219A1" w:rsidP="003851D3">
      <w:pPr>
        <w:spacing w:line="276" w:lineRule="auto"/>
        <w:rPr>
          <w:rFonts w:ascii="Open Sans" w:hAnsi="Open Sans" w:cs="Open Sans"/>
        </w:rPr>
      </w:pPr>
      <w:r w:rsidRPr="003851D3">
        <w:rPr>
          <w:rFonts w:ascii="Open Sans" w:hAnsi="Open Sans" w:cs="Open Sans"/>
        </w:rPr>
        <w:t>Additional uses designed to promote sustainable access to high quality rural health care services, as determined by the State:</w:t>
      </w:r>
    </w:p>
    <w:p w14:paraId="638A0F64" w14:textId="77777777" w:rsidR="00B219A1" w:rsidRPr="003851D3" w:rsidRDefault="00B219A1" w:rsidP="006C7848">
      <w:pPr>
        <w:numPr>
          <w:ilvl w:val="0"/>
          <w:numId w:val="6"/>
        </w:numPr>
        <w:spacing w:line="276" w:lineRule="auto"/>
        <w:rPr>
          <w:rFonts w:ascii="Open Sans" w:hAnsi="Open Sans" w:cs="Open Sans"/>
        </w:rPr>
      </w:pPr>
      <w:r w:rsidRPr="003851D3">
        <w:rPr>
          <w:rFonts w:ascii="Open Sans" w:hAnsi="Open Sans" w:cs="Open Sans"/>
          <w:b/>
          <w:bCs/>
        </w:rPr>
        <w:t>Capital expenditures and infrastructure:</w:t>
      </w:r>
      <w:r w:rsidRPr="003851D3">
        <w:rPr>
          <w:rFonts w:ascii="Open Sans" w:hAnsi="Open Sans" w:cs="Open Sans"/>
        </w:rPr>
        <w:t xml:space="preserve"> Investing in existing rural health care facility buildings and infrastructure, including minor building alterations or renovations and equipment upgrades to ensure long-term overhead and upkeep costs are commensurate with patient volume, subject to restrictions in the funding policies and limitations. </w:t>
      </w:r>
    </w:p>
    <w:p w14:paraId="427D64D1" w14:textId="77777777" w:rsidR="00B219A1" w:rsidRPr="003851D3" w:rsidRDefault="00B219A1" w:rsidP="006C7848">
      <w:pPr>
        <w:numPr>
          <w:ilvl w:val="0"/>
          <w:numId w:val="6"/>
        </w:numPr>
        <w:spacing w:line="276" w:lineRule="auto"/>
        <w:rPr>
          <w:rFonts w:ascii="Open Sans" w:hAnsi="Open Sans" w:cs="Open Sans"/>
        </w:rPr>
      </w:pPr>
      <w:r w:rsidRPr="003851D3">
        <w:rPr>
          <w:rFonts w:ascii="Open Sans" w:hAnsi="Open Sans" w:cs="Open Sans"/>
          <w:b/>
          <w:bCs/>
        </w:rPr>
        <w:t xml:space="preserve">Fostering collaboration: </w:t>
      </w:r>
      <w:r w:rsidRPr="003851D3">
        <w:rPr>
          <w:rFonts w:ascii="Open Sans" w:hAnsi="Open Sans" w:cs="Open Sans"/>
        </w:rPr>
        <w:t>Initiating, fostering, and strengthening local and regional strategic partnerships between rural facilities and other health care providers to promote quality improvement, improve financial stability of rural facilities, and expand access to care.</w:t>
      </w:r>
    </w:p>
    <w:p w14:paraId="5F917892" w14:textId="51253A06" w:rsidR="00B219A1" w:rsidRPr="003851D3" w:rsidRDefault="2D691C91" w:rsidP="003851D3">
      <w:pPr>
        <w:spacing w:line="276" w:lineRule="auto"/>
        <w:rPr>
          <w:rFonts w:ascii="Open Sans" w:hAnsi="Open Sans" w:cs="Open Sans"/>
        </w:rPr>
      </w:pPr>
      <w:hyperlink r:id="rId12">
        <w:r w:rsidRPr="44747D9F">
          <w:rPr>
            <w:rStyle w:val="Hyperlink"/>
            <w:rFonts w:ascii="Open Sans" w:hAnsi="Open Sans" w:cs="Open Sans"/>
            <w:b/>
            <w:bCs/>
          </w:rPr>
          <w:t xml:space="preserve">Section </w:t>
        </w:r>
        <w:r w:rsidR="1ADD3E25" w:rsidRPr="44747D9F">
          <w:rPr>
            <w:rStyle w:val="Hyperlink"/>
            <w:rFonts w:ascii="Open Sans" w:hAnsi="Open Sans" w:cs="Open Sans"/>
            <w:b/>
            <w:bCs/>
          </w:rPr>
          <w:t>4.E.</w:t>
        </w:r>
        <w:r w:rsidR="1ADD3E25" w:rsidRPr="44747D9F">
          <w:rPr>
            <w:rStyle w:val="Hyperlink"/>
            <w:rFonts w:ascii="Open Sans" w:hAnsi="Open Sans" w:cs="Open Sans"/>
          </w:rPr>
          <w:t xml:space="preserve"> of the RFF Document</w:t>
        </w:r>
      </w:hyperlink>
      <w:r w:rsidRPr="44747D9F">
        <w:rPr>
          <w:rFonts w:ascii="Open Sans" w:hAnsi="Open Sans" w:cs="Open Sans"/>
        </w:rPr>
        <w:t>, provides guidance on preparing proposed budgets in alignment with CMS budget preparation guidelines.</w:t>
      </w:r>
    </w:p>
    <w:p w14:paraId="32F9FBFB" w14:textId="469D134B" w:rsidR="00B219A1" w:rsidRPr="005E48FE" w:rsidRDefault="00B219A1" w:rsidP="003851D3">
      <w:pPr>
        <w:pStyle w:val="Heading2"/>
        <w:spacing w:line="276" w:lineRule="auto"/>
        <w:rPr>
          <w:rFonts w:ascii="Open Sans" w:hAnsi="Open Sans" w:cs="Open Sans"/>
        </w:rPr>
      </w:pPr>
      <w:r w:rsidRPr="005E48FE">
        <w:rPr>
          <w:rFonts w:ascii="Open Sans" w:hAnsi="Open Sans" w:cs="Open Sans"/>
        </w:rPr>
        <w:t>B. Unallowable Costs</w:t>
      </w:r>
    </w:p>
    <w:p w14:paraId="0BE73A33" w14:textId="0DCFBDD5" w:rsidR="00B219A1" w:rsidRPr="003851D3" w:rsidRDefault="00B219A1" w:rsidP="003851D3">
      <w:pPr>
        <w:pStyle w:val="Body"/>
        <w:spacing w:line="276" w:lineRule="auto"/>
        <w:rPr>
          <w:rFonts w:eastAsia="Open Sans"/>
        </w:rPr>
      </w:pPr>
      <w:r>
        <w:t xml:space="preserve">In alignment with CMS restrictions, unallowed costs include the following. </w:t>
      </w:r>
      <w:r w:rsidR="0D6EE428">
        <w:t>Reg</w:t>
      </w:r>
      <w:r>
        <w:t>ions shall not pro</w:t>
      </w:r>
      <w:r w:rsidRPr="4051694F">
        <w:rPr>
          <w:rFonts w:eastAsia="Open Sans"/>
        </w:rPr>
        <w:t xml:space="preserve">pose any unallowable costs in their application nor fund any unallowable costs during the grant period. </w:t>
      </w:r>
    </w:p>
    <w:p w14:paraId="40B07791" w14:textId="77777777" w:rsidR="00B219A1" w:rsidRPr="003851D3" w:rsidRDefault="00B219A1" w:rsidP="003851D3">
      <w:pPr>
        <w:pStyle w:val="Body"/>
        <w:numPr>
          <w:ilvl w:val="0"/>
          <w:numId w:val="7"/>
        </w:numPr>
        <w:spacing w:line="276" w:lineRule="auto"/>
        <w:rPr>
          <w:rFonts w:eastAsia="Open Sans"/>
        </w:rPr>
      </w:pPr>
      <w:r w:rsidRPr="4051694F">
        <w:rPr>
          <w:rFonts w:eastAsia="Open Sans"/>
        </w:rPr>
        <w:t xml:space="preserve">Pre-award costs. (Note: the State is separately funding technical assistance to support regional coalitions during the application period) </w:t>
      </w:r>
    </w:p>
    <w:p w14:paraId="42BC4BF6" w14:textId="0DBEE021" w:rsidR="745A53E3" w:rsidRDefault="745A53E3" w:rsidP="4051694F">
      <w:pPr>
        <w:pStyle w:val="Body"/>
        <w:numPr>
          <w:ilvl w:val="0"/>
          <w:numId w:val="7"/>
        </w:numPr>
        <w:spacing w:line="276" w:lineRule="auto"/>
        <w:rPr>
          <w:rFonts w:eastAsia="Open Sans"/>
        </w:rPr>
      </w:pPr>
      <w:r w:rsidRPr="4051694F">
        <w:rPr>
          <w:rFonts w:eastAsia="Open Sans"/>
        </w:rPr>
        <w:t>Meeting matching requirements for any other federal funds or local entities.</w:t>
      </w:r>
    </w:p>
    <w:p w14:paraId="25D46114" w14:textId="5C2EC73A" w:rsidR="745A53E3" w:rsidRDefault="745A53E3" w:rsidP="4051694F">
      <w:pPr>
        <w:pStyle w:val="Body"/>
        <w:numPr>
          <w:ilvl w:val="0"/>
          <w:numId w:val="7"/>
        </w:numPr>
        <w:spacing w:line="276" w:lineRule="auto"/>
        <w:rPr>
          <w:rFonts w:eastAsia="Open Sans"/>
        </w:rPr>
      </w:pPr>
      <w:r w:rsidRPr="4051694F">
        <w:rPr>
          <w:rFonts w:eastAsia="Open Sans"/>
        </w:rPr>
        <w:t>Services, equipment, or supports that are the legal responsibility of another party under federal, State, or tribal law, such as vocational rehabilitation or education services.</w:t>
      </w:r>
    </w:p>
    <w:p w14:paraId="745A5645" w14:textId="5DCB12B9" w:rsidR="00B219A1" w:rsidRDefault="00B219A1" w:rsidP="003851D3">
      <w:pPr>
        <w:pStyle w:val="Body"/>
        <w:numPr>
          <w:ilvl w:val="0"/>
          <w:numId w:val="7"/>
        </w:numPr>
        <w:spacing w:line="276" w:lineRule="auto"/>
        <w:rPr>
          <w:rFonts w:eastAsia="Open Sans"/>
        </w:rPr>
      </w:pPr>
      <w:r w:rsidRPr="4051694F">
        <w:rPr>
          <w:rFonts w:eastAsia="Open Sans"/>
        </w:rPr>
        <w:t xml:space="preserve">Services, equipment, or supports that are the legal responsibility of another party under any civil rights law, such as modifying a workplace or providing accommodations that are obligations under law. </w:t>
      </w:r>
      <w:r w:rsidR="745A53E3" w:rsidRPr="4051694F">
        <w:rPr>
          <w:rFonts w:eastAsia="Open Sans"/>
        </w:rPr>
        <w:t xml:space="preserve"> </w:t>
      </w:r>
    </w:p>
    <w:p w14:paraId="65380C7C" w14:textId="75037A06" w:rsidR="00B219A1" w:rsidRDefault="00B219A1" w:rsidP="003851D3">
      <w:pPr>
        <w:pStyle w:val="Body"/>
        <w:numPr>
          <w:ilvl w:val="0"/>
          <w:numId w:val="7"/>
        </w:numPr>
        <w:spacing w:line="276" w:lineRule="auto"/>
        <w:rPr>
          <w:rFonts w:eastAsia="Open Sans"/>
        </w:rPr>
      </w:pPr>
      <w:r w:rsidRPr="4051694F">
        <w:rPr>
          <w:rFonts w:eastAsia="Open Sans"/>
        </w:rPr>
        <w:t>Goods or services not allocable to the project.</w:t>
      </w:r>
    </w:p>
    <w:p w14:paraId="46B64660" w14:textId="4D8423DF" w:rsidR="745A53E3" w:rsidRDefault="745A53E3" w:rsidP="4051694F">
      <w:pPr>
        <w:pStyle w:val="Body"/>
        <w:numPr>
          <w:ilvl w:val="0"/>
          <w:numId w:val="7"/>
        </w:numPr>
        <w:spacing w:line="276" w:lineRule="auto"/>
        <w:rPr>
          <w:rFonts w:eastAsia="Open Sans"/>
        </w:rPr>
      </w:pPr>
      <w:r w:rsidRPr="4051694F">
        <w:rPr>
          <w:rFonts w:eastAsia="Open Sans"/>
        </w:rPr>
        <w:t>Supplanting existing State, local, tribal, or private funding of infrastructure or services, such as staff salaries.</w:t>
      </w:r>
    </w:p>
    <w:p w14:paraId="5800C1C5" w14:textId="37034152" w:rsidR="00B219A1" w:rsidRPr="003851D3" w:rsidRDefault="00B219A1" w:rsidP="003851D3">
      <w:pPr>
        <w:pStyle w:val="Body"/>
        <w:numPr>
          <w:ilvl w:val="0"/>
          <w:numId w:val="7"/>
        </w:numPr>
        <w:spacing w:line="276" w:lineRule="auto"/>
        <w:rPr>
          <w:rFonts w:eastAsia="Open Sans"/>
        </w:rPr>
      </w:pPr>
      <w:r w:rsidRPr="4051694F">
        <w:rPr>
          <w:rFonts w:eastAsia="Open Sans"/>
        </w:rPr>
        <w:t xml:space="preserve">The cost of independent research and development, including </w:t>
      </w:r>
      <w:r w:rsidR="00964F33" w:rsidRPr="4051694F">
        <w:rPr>
          <w:rFonts w:eastAsia="Open Sans"/>
        </w:rPr>
        <w:t>their</w:t>
      </w:r>
      <w:r w:rsidRPr="4051694F">
        <w:rPr>
          <w:rFonts w:eastAsia="Open Sans"/>
        </w:rPr>
        <w:t xml:space="preserve"> proportionate share of indirect costs. See </w:t>
      </w:r>
      <w:hyperlink r:id="rId13">
        <w:r w:rsidRPr="4051694F">
          <w:rPr>
            <w:rStyle w:val="Hyperlink"/>
            <w:rFonts w:eastAsia="Open Sans"/>
          </w:rPr>
          <w:t>2 CFR 300.477</w:t>
        </w:r>
      </w:hyperlink>
      <w:r w:rsidRPr="4051694F">
        <w:rPr>
          <w:rFonts w:eastAsia="Open Sans"/>
        </w:rPr>
        <w:t xml:space="preserve">. </w:t>
      </w:r>
    </w:p>
    <w:p w14:paraId="301697D5" w14:textId="77777777" w:rsidR="00B219A1" w:rsidRPr="003851D3" w:rsidRDefault="00B219A1" w:rsidP="003851D3">
      <w:pPr>
        <w:pStyle w:val="Body"/>
        <w:numPr>
          <w:ilvl w:val="0"/>
          <w:numId w:val="7"/>
        </w:numPr>
        <w:spacing w:line="276" w:lineRule="auto"/>
        <w:rPr>
          <w:rFonts w:eastAsia="Open Sans"/>
        </w:rPr>
      </w:pPr>
      <w:r w:rsidRPr="4051694F">
        <w:rPr>
          <w:rFonts w:eastAsia="Open Sans"/>
        </w:rPr>
        <w:t xml:space="preserve">Purchase of covered telecommunications and video surveillance equipment (See </w:t>
      </w:r>
      <w:hyperlink r:id="rId14">
        <w:r w:rsidRPr="4051694F">
          <w:rPr>
            <w:rStyle w:val="Hyperlink"/>
            <w:rFonts w:eastAsia="Open Sans"/>
          </w:rPr>
          <w:t>2 CFR 200.216</w:t>
        </w:r>
      </w:hyperlink>
      <w:r w:rsidRPr="4051694F">
        <w:rPr>
          <w:rFonts w:eastAsia="Open Sans"/>
        </w:rPr>
        <w:t xml:space="preserve">) as well as financial assistance to households for installation and monthly broadband internet costs. </w:t>
      </w:r>
    </w:p>
    <w:p w14:paraId="6DCB841E" w14:textId="77777777" w:rsidR="00B219A1" w:rsidRPr="003851D3" w:rsidRDefault="00B219A1" w:rsidP="003851D3">
      <w:pPr>
        <w:pStyle w:val="Body"/>
        <w:numPr>
          <w:ilvl w:val="0"/>
          <w:numId w:val="7"/>
        </w:numPr>
        <w:spacing w:line="276" w:lineRule="auto"/>
        <w:rPr>
          <w:rFonts w:eastAsia="Open Sans"/>
        </w:rPr>
      </w:pPr>
      <w:r w:rsidRPr="4051694F">
        <w:rPr>
          <w:rFonts w:eastAsia="Open Sans"/>
        </w:rPr>
        <w:t xml:space="preserve">Meals, unless in limited circumstances such as: </w:t>
      </w:r>
    </w:p>
    <w:p w14:paraId="33986684" w14:textId="77777777" w:rsidR="00B219A1" w:rsidRPr="003851D3" w:rsidRDefault="00B219A1" w:rsidP="003851D3">
      <w:pPr>
        <w:pStyle w:val="Body"/>
        <w:numPr>
          <w:ilvl w:val="1"/>
          <w:numId w:val="7"/>
        </w:numPr>
        <w:spacing w:line="276" w:lineRule="auto"/>
        <w:rPr>
          <w:rFonts w:eastAsia="Open Sans"/>
        </w:rPr>
      </w:pPr>
      <w:r w:rsidRPr="4051694F">
        <w:rPr>
          <w:rFonts w:eastAsia="Open Sans"/>
        </w:rPr>
        <w:t xml:space="preserve">Subjects and patients under study. </w:t>
      </w:r>
    </w:p>
    <w:p w14:paraId="78A193EA" w14:textId="77777777" w:rsidR="00B219A1" w:rsidRPr="003851D3" w:rsidRDefault="00B219A1" w:rsidP="003851D3">
      <w:pPr>
        <w:pStyle w:val="Body"/>
        <w:numPr>
          <w:ilvl w:val="1"/>
          <w:numId w:val="7"/>
        </w:numPr>
        <w:spacing w:line="276" w:lineRule="auto"/>
      </w:pPr>
      <w:r w:rsidRPr="003851D3">
        <w:t xml:space="preserve">Where specifically approved as part of the project or program activity, such as in programs providing children’s services. </w:t>
      </w:r>
    </w:p>
    <w:p w14:paraId="69B48086" w14:textId="77777777" w:rsidR="00B219A1" w:rsidRPr="003851D3" w:rsidRDefault="00B219A1" w:rsidP="003851D3">
      <w:pPr>
        <w:pStyle w:val="Body"/>
        <w:numPr>
          <w:ilvl w:val="1"/>
          <w:numId w:val="7"/>
        </w:numPr>
        <w:spacing w:line="276" w:lineRule="auto"/>
      </w:pPr>
      <w:r w:rsidRPr="003851D3">
        <w:t xml:space="preserve">As part of a per diem or subsistence allowance provided in conjunction with allowable travel. </w:t>
      </w:r>
    </w:p>
    <w:p w14:paraId="4CB39315" w14:textId="77777777" w:rsidR="00B219A1" w:rsidRPr="003851D3" w:rsidRDefault="00B219A1" w:rsidP="003851D3">
      <w:pPr>
        <w:pStyle w:val="Body"/>
        <w:numPr>
          <w:ilvl w:val="0"/>
          <w:numId w:val="7"/>
        </w:numPr>
        <w:spacing w:line="276" w:lineRule="auto"/>
      </w:pPr>
      <w:r>
        <w:t xml:space="preserve">Activities prohibited under </w:t>
      </w:r>
      <w:hyperlink r:id="rId15">
        <w:r w:rsidRPr="7D04D8F9">
          <w:rPr>
            <w:rStyle w:val="Hyperlink"/>
          </w:rPr>
          <w:t>2 CFR 200.450</w:t>
        </w:r>
      </w:hyperlink>
      <w:r>
        <w:t xml:space="preserve"> and the HHS Grants Policy Statement, including but not limited to: </w:t>
      </w:r>
    </w:p>
    <w:p w14:paraId="2939986D" w14:textId="09EB895B" w:rsidR="35C45C47" w:rsidRDefault="35C45C47" w:rsidP="4051694F">
      <w:pPr>
        <w:pStyle w:val="Body"/>
        <w:numPr>
          <w:ilvl w:val="1"/>
          <w:numId w:val="7"/>
        </w:numPr>
        <w:spacing w:line="276" w:lineRule="auto"/>
      </w:pPr>
      <w:r>
        <w:t>Payments related to any activity designed to influence the enactment of legislation, appropriations, regulation, administrative action, or executive order proposed or pending before the Congress or any State government, State legislature, local legislature or legislative body, including but not limited to paying the salary or expenses of any grant Recipient or agent acting for such Recipient for such activity.</w:t>
      </w:r>
    </w:p>
    <w:p w14:paraId="0C582F6A" w14:textId="6FA75D52" w:rsidR="00B219A1" w:rsidRPr="003851D3" w:rsidRDefault="00B219A1" w:rsidP="003851D3">
      <w:pPr>
        <w:pStyle w:val="Body"/>
        <w:numPr>
          <w:ilvl w:val="1"/>
          <w:numId w:val="7"/>
        </w:numPr>
        <w:spacing w:line="276" w:lineRule="auto"/>
      </w:pPr>
      <w:r w:rsidRPr="003851D3">
        <w:t xml:space="preserve">Lobbying, but </w:t>
      </w:r>
      <w:r w:rsidR="46BF3092">
        <w:t>Recipients</w:t>
      </w:r>
      <w:r w:rsidRPr="003851D3">
        <w:t xml:space="preserve"> can lobby at their own expense if they can segregate federal funds from other financial resources used for lobbying.</w:t>
      </w:r>
    </w:p>
    <w:p w14:paraId="671D4D28" w14:textId="79BF99B3" w:rsidR="00B219A1" w:rsidRPr="003851D3" w:rsidRDefault="00B219A1" w:rsidP="003851D3">
      <w:pPr>
        <w:pStyle w:val="Body"/>
        <w:numPr>
          <w:ilvl w:val="0"/>
          <w:numId w:val="7"/>
        </w:numPr>
        <w:spacing w:line="276" w:lineRule="auto"/>
      </w:pPr>
      <w:r w:rsidRPr="003851D3">
        <w:t>Funds may not be used for new construction. Funds also may not be used to supplant funding for in process or planned construction projects or directing funding towards new construction builds.</w:t>
      </w:r>
    </w:p>
    <w:p w14:paraId="71806059" w14:textId="6953668E" w:rsidR="5E690714" w:rsidRDefault="5E690714" w:rsidP="4051694F">
      <w:pPr>
        <w:pStyle w:val="Body"/>
        <w:numPr>
          <w:ilvl w:val="0"/>
          <w:numId w:val="7"/>
        </w:numPr>
        <w:spacing w:line="276" w:lineRule="auto"/>
      </w:pPr>
      <w:r w:rsidRPr="4051694F">
        <w:t>Construction or building expansion, purchasing or significant retrofitting of buildings, cosmetic upgrades, or any other cost that materially increases the value of the capital or useful life as a direct cost.</w:t>
      </w:r>
    </w:p>
    <w:p w14:paraId="1E03985A" w14:textId="6319E711" w:rsidR="00B219A1" w:rsidRPr="003851D3" w:rsidRDefault="00B219A1" w:rsidP="003851D3">
      <w:pPr>
        <w:pStyle w:val="Body"/>
        <w:numPr>
          <w:ilvl w:val="0"/>
          <w:numId w:val="7"/>
        </w:numPr>
        <w:spacing w:line="276" w:lineRule="auto"/>
      </w:pPr>
      <w:r>
        <w:t xml:space="preserve">Funds may be used for minor renovations or alterations if they are clearly linked to program goals and receive CMS prior approval. </w:t>
      </w:r>
      <w:r w:rsidR="3F32F136">
        <w:t xml:space="preserve">See </w:t>
      </w:r>
      <w:hyperlink r:id="rId16">
        <w:r w:rsidR="3F32F136" w:rsidRPr="4051694F">
          <w:rPr>
            <w:rStyle w:val="Hyperlink"/>
          </w:rPr>
          <w:t>NOFO</w:t>
        </w:r>
      </w:hyperlink>
      <w:r w:rsidR="3F32F136">
        <w:t>, Program requirements and expectations, Use of Funds (pages 11-13), and Program Specific limitations, Unallowable Costs (pages 19-20).</w:t>
      </w:r>
    </w:p>
    <w:p w14:paraId="0AF87C7B" w14:textId="233DDFD1" w:rsidR="00B219A1" w:rsidRPr="003851D3" w:rsidRDefault="00942E38" w:rsidP="003851D3">
      <w:pPr>
        <w:pStyle w:val="Body"/>
        <w:numPr>
          <w:ilvl w:val="1"/>
          <w:numId w:val="7"/>
        </w:numPr>
        <w:spacing w:line="276" w:lineRule="auto"/>
      </w:pPr>
      <w:r w:rsidRPr="003851D3">
        <w:t>Funding used for renovation or alterations cannot exceed 20% of the total funding awarded to the State in each budget period.</w:t>
      </w:r>
    </w:p>
    <w:tbl>
      <w:tblPr>
        <w:tblW w:w="7102" w:type="dxa"/>
        <w:tblInd w:w="1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2"/>
        <w:gridCol w:w="6120"/>
      </w:tblGrid>
      <w:tr w:rsidR="006C7B40" w:rsidRPr="003851D3" w14:paraId="7CB08098" w14:textId="77777777" w:rsidTr="44747D9F">
        <w:trPr>
          <w:trHeight w:val="300"/>
        </w:trPr>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A5898"/>
            <w:hideMark/>
          </w:tcPr>
          <w:p w14:paraId="3AD170EB" w14:textId="42A47952" w:rsidR="006C7B40" w:rsidRPr="003851D3" w:rsidRDefault="05D7FB54" w:rsidP="44747D9F">
            <w:pPr>
              <w:pStyle w:val="Body"/>
              <w:spacing w:after="0" w:line="276" w:lineRule="auto"/>
              <w:jc w:val="center"/>
            </w:pPr>
            <w:r w:rsidRPr="44747D9F">
              <w:rPr>
                <w:b/>
                <w:bCs/>
              </w:rPr>
              <w:t>Region</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A5898"/>
            <w:hideMark/>
          </w:tcPr>
          <w:p w14:paraId="0FE5C483" w14:textId="3ACF06CC" w:rsidR="006C7B40" w:rsidRPr="003851D3" w:rsidRDefault="05D7FB54" w:rsidP="44747D9F">
            <w:pPr>
              <w:pStyle w:val="Body"/>
              <w:spacing w:after="0" w:line="276" w:lineRule="auto"/>
            </w:pPr>
            <w:r w:rsidRPr="44747D9F">
              <w:rPr>
                <w:b/>
                <w:bCs/>
              </w:rPr>
              <w:t>Maximum Capital Expenditures, Budget Period 1</w:t>
            </w:r>
          </w:p>
        </w:tc>
      </w:tr>
      <w:tr w:rsidR="00B200BB" w:rsidRPr="003851D3" w14:paraId="010BA9E5" w14:textId="77777777" w:rsidTr="44747D9F">
        <w:trPr>
          <w:trHeight w:val="300"/>
        </w:trPr>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A425177" w14:textId="334488F1" w:rsidR="00B200BB" w:rsidRPr="003851D3" w:rsidRDefault="00B200BB" w:rsidP="003851D3">
            <w:pPr>
              <w:pStyle w:val="Body"/>
              <w:spacing w:after="0" w:line="276" w:lineRule="auto"/>
              <w:jc w:val="center"/>
              <w:rPr>
                <w:b/>
                <w:bCs/>
              </w:rPr>
            </w:pPr>
            <w:r w:rsidRPr="003851D3">
              <w:rPr>
                <w:b/>
                <w:bCs/>
              </w:rPr>
              <w:t>1</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E1A0832" w14:textId="40319A8F" w:rsidR="61851701" w:rsidRPr="61851701" w:rsidRDefault="61851701" w:rsidP="61851701">
            <w:pPr>
              <w:pStyle w:val="Body"/>
              <w:spacing w:after="0" w:line="276" w:lineRule="auto"/>
              <w:jc w:val="center"/>
              <w:rPr>
                <w:rFonts w:eastAsia="Open Sans"/>
              </w:rPr>
            </w:pPr>
            <w:r w:rsidRPr="61851701">
              <w:rPr>
                <w:rFonts w:eastAsia="Open Sans"/>
              </w:rPr>
              <w:t>$4,405,581</w:t>
            </w:r>
          </w:p>
        </w:tc>
      </w:tr>
      <w:tr w:rsidR="00B200BB" w:rsidRPr="003851D3" w14:paraId="3CBB4C49" w14:textId="77777777" w:rsidTr="44747D9F">
        <w:trPr>
          <w:trHeight w:val="300"/>
        </w:trPr>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78165C6" w14:textId="67464E4E" w:rsidR="00B200BB" w:rsidRPr="003851D3" w:rsidRDefault="00B200BB" w:rsidP="003851D3">
            <w:pPr>
              <w:pStyle w:val="Body"/>
              <w:spacing w:after="0" w:line="276" w:lineRule="auto"/>
              <w:jc w:val="center"/>
              <w:rPr>
                <w:b/>
                <w:bCs/>
              </w:rPr>
            </w:pPr>
            <w:r w:rsidRPr="003851D3">
              <w:rPr>
                <w:b/>
                <w:bCs/>
              </w:rPr>
              <w:t>2</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577A5C3" w14:textId="7584CE95" w:rsidR="61851701" w:rsidRPr="61851701" w:rsidRDefault="61851701" w:rsidP="61851701">
            <w:pPr>
              <w:pStyle w:val="Body"/>
              <w:spacing w:after="0" w:line="276" w:lineRule="auto"/>
              <w:jc w:val="center"/>
              <w:rPr>
                <w:rFonts w:eastAsia="Open Sans"/>
              </w:rPr>
            </w:pPr>
            <w:r w:rsidRPr="61851701">
              <w:rPr>
                <w:rFonts w:eastAsia="Open Sans"/>
              </w:rPr>
              <w:t>$7,881,614</w:t>
            </w:r>
          </w:p>
        </w:tc>
      </w:tr>
      <w:tr w:rsidR="00B200BB" w:rsidRPr="003851D3" w14:paraId="27618822" w14:textId="77777777" w:rsidTr="44747D9F">
        <w:trPr>
          <w:trHeight w:val="300"/>
        </w:trPr>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86A65C2" w14:textId="0F36EE7D" w:rsidR="00B200BB" w:rsidRPr="003851D3" w:rsidRDefault="00B200BB" w:rsidP="003851D3">
            <w:pPr>
              <w:pStyle w:val="Body"/>
              <w:spacing w:after="0" w:line="276" w:lineRule="auto"/>
              <w:jc w:val="center"/>
              <w:rPr>
                <w:b/>
                <w:bCs/>
              </w:rPr>
            </w:pPr>
            <w:r w:rsidRPr="003851D3">
              <w:rPr>
                <w:b/>
                <w:bCs/>
              </w:rPr>
              <w:t>3</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962676" w14:textId="41332FB5" w:rsidR="61851701" w:rsidRPr="61851701" w:rsidRDefault="61851701" w:rsidP="61851701">
            <w:pPr>
              <w:pStyle w:val="Body"/>
              <w:spacing w:after="0" w:line="276" w:lineRule="auto"/>
              <w:jc w:val="center"/>
              <w:rPr>
                <w:rFonts w:eastAsia="Open Sans"/>
              </w:rPr>
            </w:pPr>
            <w:r w:rsidRPr="61851701">
              <w:rPr>
                <w:rFonts w:eastAsia="Open Sans"/>
              </w:rPr>
              <w:t>$3,960,275</w:t>
            </w:r>
          </w:p>
        </w:tc>
      </w:tr>
      <w:tr w:rsidR="00B200BB" w:rsidRPr="003851D3" w14:paraId="2CF6D155" w14:textId="77777777" w:rsidTr="44747D9F">
        <w:trPr>
          <w:trHeight w:val="300"/>
        </w:trPr>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B05984" w14:textId="4967F751" w:rsidR="00B200BB" w:rsidRPr="003851D3" w:rsidRDefault="00B200BB" w:rsidP="003851D3">
            <w:pPr>
              <w:pStyle w:val="Body"/>
              <w:spacing w:after="0" w:line="276" w:lineRule="auto"/>
              <w:jc w:val="center"/>
              <w:rPr>
                <w:b/>
                <w:bCs/>
              </w:rPr>
            </w:pPr>
            <w:r w:rsidRPr="003851D3">
              <w:rPr>
                <w:b/>
                <w:bCs/>
              </w:rPr>
              <w:t>4</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57A00A4" w14:textId="0934E7A4" w:rsidR="61851701" w:rsidRPr="61851701" w:rsidRDefault="61851701" w:rsidP="61851701">
            <w:pPr>
              <w:pStyle w:val="Body"/>
              <w:spacing w:after="0" w:line="276" w:lineRule="auto"/>
              <w:jc w:val="center"/>
              <w:rPr>
                <w:rFonts w:eastAsia="Open Sans"/>
              </w:rPr>
            </w:pPr>
            <w:r w:rsidRPr="61851701">
              <w:rPr>
                <w:rFonts w:eastAsia="Open Sans"/>
              </w:rPr>
              <w:t>$6,186,220</w:t>
            </w:r>
          </w:p>
        </w:tc>
      </w:tr>
      <w:tr w:rsidR="00B200BB" w:rsidRPr="003851D3" w14:paraId="5C911635" w14:textId="77777777" w:rsidTr="44747D9F">
        <w:trPr>
          <w:trHeight w:val="300"/>
        </w:trPr>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C974BC" w14:textId="3487CA53" w:rsidR="00B200BB" w:rsidRPr="003851D3" w:rsidRDefault="00B200BB" w:rsidP="003851D3">
            <w:pPr>
              <w:pStyle w:val="Body"/>
              <w:spacing w:after="0" w:line="276" w:lineRule="auto"/>
              <w:jc w:val="center"/>
              <w:rPr>
                <w:b/>
                <w:bCs/>
              </w:rPr>
            </w:pPr>
            <w:r w:rsidRPr="003851D3">
              <w:rPr>
                <w:b/>
                <w:bCs/>
              </w:rPr>
              <w:t>5</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7F8243C" w14:textId="0F21F4EC" w:rsidR="61851701" w:rsidRPr="61851701" w:rsidRDefault="61851701" w:rsidP="61851701">
            <w:pPr>
              <w:pStyle w:val="Body"/>
              <w:spacing w:after="0" w:line="276" w:lineRule="auto"/>
              <w:jc w:val="center"/>
              <w:rPr>
                <w:rFonts w:eastAsia="Open Sans"/>
              </w:rPr>
            </w:pPr>
            <w:r w:rsidRPr="61851701">
              <w:rPr>
                <w:rFonts w:eastAsia="Open Sans"/>
              </w:rPr>
              <w:t>$4,135,602</w:t>
            </w:r>
          </w:p>
        </w:tc>
      </w:tr>
      <w:tr w:rsidR="00B200BB" w:rsidRPr="003851D3" w14:paraId="5AD1C10F" w14:textId="77777777" w:rsidTr="44747D9F">
        <w:trPr>
          <w:trHeight w:val="300"/>
        </w:trPr>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0DE5A4" w14:textId="58699B35" w:rsidR="00B200BB" w:rsidRPr="003851D3" w:rsidRDefault="00B200BB" w:rsidP="003851D3">
            <w:pPr>
              <w:pStyle w:val="Body"/>
              <w:spacing w:after="0" w:line="276" w:lineRule="auto"/>
              <w:jc w:val="center"/>
              <w:rPr>
                <w:b/>
                <w:bCs/>
              </w:rPr>
            </w:pPr>
            <w:r w:rsidRPr="003851D3">
              <w:rPr>
                <w:b/>
                <w:bCs/>
              </w:rPr>
              <w:t>6</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799B734" w14:textId="09D0BC71" w:rsidR="61851701" w:rsidRPr="61851701" w:rsidRDefault="61851701" w:rsidP="61851701">
            <w:pPr>
              <w:pStyle w:val="Body"/>
              <w:spacing w:after="0" w:line="276" w:lineRule="auto"/>
              <w:jc w:val="center"/>
              <w:rPr>
                <w:rFonts w:eastAsia="Open Sans"/>
              </w:rPr>
            </w:pPr>
            <w:r w:rsidRPr="61851701">
              <w:rPr>
                <w:rFonts w:eastAsia="Open Sans"/>
              </w:rPr>
              <w:t>$5,238,700</w:t>
            </w:r>
          </w:p>
        </w:tc>
      </w:tr>
      <w:tr w:rsidR="00B200BB" w:rsidRPr="003851D3" w14:paraId="714E5393" w14:textId="77777777" w:rsidTr="44747D9F">
        <w:trPr>
          <w:trHeight w:val="300"/>
        </w:trPr>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BE84653" w14:textId="66741DEA" w:rsidR="00B200BB" w:rsidRPr="003851D3" w:rsidRDefault="00B200BB" w:rsidP="003851D3">
            <w:pPr>
              <w:pStyle w:val="Body"/>
              <w:spacing w:after="0" w:line="276" w:lineRule="auto"/>
              <w:jc w:val="center"/>
              <w:rPr>
                <w:b/>
                <w:bCs/>
              </w:rPr>
            </w:pPr>
            <w:r w:rsidRPr="003851D3">
              <w:rPr>
                <w:b/>
                <w:bCs/>
              </w:rPr>
              <w:t>7</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FF6539" w14:textId="710E422B" w:rsidR="61851701" w:rsidRPr="61851701" w:rsidRDefault="61851701" w:rsidP="61851701">
            <w:pPr>
              <w:pStyle w:val="Body"/>
              <w:spacing w:after="0" w:line="276" w:lineRule="auto"/>
              <w:jc w:val="center"/>
              <w:rPr>
                <w:rFonts w:eastAsia="Open Sans"/>
              </w:rPr>
            </w:pPr>
            <w:r w:rsidRPr="61851701">
              <w:rPr>
                <w:rFonts w:eastAsia="Open Sans"/>
              </w:rPr>
              <w:t>$4,817,104</w:t>
            </w:r>
          </w:p>
        </w:tc>
      </w:tr>
      <w:tr w:rsidR="00B200BB" w:rsidRPr="003851D3" w14:paraId="11023D3C" w14:textId="77777777" w:rsidTr="44747D9F">
        <w:trPr>
          <w:trHeight w:val="300"/>
        </w:trPr>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E92670" w14:textId="0FAC75CC" w:rsidR="00B200BB" w:rsidRPr="003851D3" w:rsidRDefault="00B200BB" w:rsidP="003851D3">
            <w:pPr>
              <w:pStyle w:val="Body"/>
              <w:spacing w:after="0" w:line="276" w:lineRule="auto"/>
              <w:jc w:val="center"/>
              <w:rPr>
                <w:b/>
                <w:bCs/>
              </w:rPr>
            </w:pPr>
            <w:r w:rsidRPr="003851D3">
              <w:rPr>
                <w:b/>
                <w:bCs/>
              </w:rPr>
              <w:t>8</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8651ED1" w14:textId="7A0471FF" w:rsidR="61851701" w:rsidRPr="61851701" w:rsidRDefault="61851701" w:rsidP="61851701">
            <w:pPr>
              <w:pStyle w:val="Body"/>
              <w:spacing w:after="0" w:line="276" w:lineRule="auto"/>
              <w:jc w:val="center"/>
              <w:rPr>
                <w:rFonts w:eastAsia="Open Sans"/>
              </w:rPr>
            </w:pPr>
            <w:r w:rsidRPr="61851701">
              <w:rPr>
                <w:rFonts w:eastAsia="Open Sans"/>
              </w:rPr>
              <w:t>$4,760,479</w:t>
            </w:r>
          </w:p>
        </w:tc>
      </w:tr>
    </w:tbl>
    <w:p w14:paraId="3323D0ED" w14:textId="4820DBAB" w:rsidR="43E99BEA" w:rsidRDefault="5096B468" w:rsidP="44747D9F">
      <w:pPr>
        <w:pStyle w:val="Body"/>
        <w:numPr>
          <w:ilvl w:val="0"/>
          <w:numId w:val="7"/>
        </w:numPr>
        <w:spacing w:before="240" w:line="276" w:lineRule="auto"/>
        <w:rPr>
          <w:rFonts w:eastAsia="Open Sans"/>
        </w:rPr>
      </w:pPr>
      <w:r>
        <w:t xml:space="preserve">Funds may not be used to replace payment for clinical services that could be reimbursed by insurance. Funds also may not be used for payments to clinical services if they duplicate billable services and/or attempt to change the payment amounts of existing fee schedules. If the Recipient plans to fund direct health care services, the Recipient must justify why they are not already reimbursable, how the payment will fill a gap in care coverage (such </w:t>
      </w:r>
      <w:r w:rsidRPr="44747D9F">
        <w:rPr>
          <w:rFonts w:eastAsia="Open Sans"/>
        </w:rPr>
        <w:t>as uncompensated care or services not covered by insurance), and/or how they transform the current care delivery model. CMS will have final approval of whether proposed services are allowable.</w:t>
      </w:r>
    </w:p>
    <w:p w14:paraId="4614C953" w14:textId="665B7FE6" w:rsidR="27DE66BE" w:rsidRDefault="27DE66BE" w:rsidP="4051694F">
      <w:pPr>
        <w:pStyle w:val="Body"/>
        <w:numPr>
          <w:ilvl w:val="1"/>
          <w:numId w:val="7"/>
        </w:numPr>
        <w:spacing w:line="276" w:lineRule="auto"/>
        <w:rPr>
          <w:rFonts w:eastAsia="Open Sans"/>
        </w:rPr>
      </w:pPr>
      <w:r w:rsidRPr="4051694F">
        <w:rPr>
          <w:rFonts w:eastAsia="Open Sans"/>
        </w:rPr>
        <w:t xml:space="preserve">Funding used for provider payments, defined in the NOFO as providing payments to health care providers for the provision of health care items or services, cannot exceed 15% of the total funding awarded to the Recipient in a given budget period.  </w:t>
      </w:r>
    </w:p>
    <w:tbl>
      <w:tblPr>
        <w:tblW w:w="0" w:type="auto"/>
        <w:tblInd w:w="712"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167"/>
        <w:gridCol w:w="7465"/>
      </w:tblGrid>
      <w:tr w:rsidR="4051694F" w14:paraId="4550EF97" w14:textId="77777777" w:rsidTr="44747D9F">
        <w:trPr>
          <w:trHeight w:val="300"/>
        </w:trPr>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A5898"/>
          </w:tcPr>
          <w:p w14:paraId="0F701162" w14:textId="77777777" w:rsidR="4051694F" w:rsidRDefault="606AE220" w:rsidP="44747D9F">
            <w:pPr>
              <w:pStyle w:val="Body"/>
              <w:spacing w:after="0" w:line="276" w:lineRule="auto"/>
              <w:jc w:val="center"/>
            </w:pPr>
            <w:r w:rsidRPr="44747D9F">
              <w:rPr>
                <w:b/>
                <w:bCs/>
              </w:rPr>
              <w:t>Region</w:t>
            </w:r>
          </w:p>
        </w:tc>
        <w:tc>
          <w:tcPr>
            <w:tcW w:w="7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A5898"/>
          </w:tcPr>
          <w:p w14:paraId="6A946848" w14:textId="6791D6A8" w:rsidR="4051694F" w:rsidRDefault="606AE220" w:rsidP="44747D9F">
            <w:pPr>
              <w:pStyle w:val="Body"/>
              <w:spacing w:after="0" w:line="276" w:lineRule="auto"/>
            </w:pPr>
            <w:r w:rsidRPr="44747D9F">
              <w:rPr>
                <w:b/>
                <w:bCs/>
              </w:rPr>
              <w:t xml:space="preserve">Maximum </w:t>
            </w:r>
            <w:r w:rsidR="64172DE2" w:rsidRPr="44747D9F">
              <w:rPr>
                <w:b/>
                <w:bCs/>
              </w:rPr>
              <w:t>Provider Payment</w:t>
            </w:r>
            <w:r w:rsidRPr="44747D9F">
              <w:rPr>
                <w:b/>
                <w:bCs/>
              </w:rPr>
              <w:t xml:space="preserve"> Expenditures, Budget Period 1</w:t>
            </w:r>
          </w:p>
        </w:tc>
      </w:tr>
      <w:tr w:rsidR="4051694F" w14:paraId="05C7A534" w14:textId="77777777" w:rsidTr="44747D9F">
        <w:trPr>
          <w:trHeight w:val="300"/>
        </w:trPr>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C71DBF" w14:textId="77777777" w:rsidR="4051694F" w:rsidRDefault="4051694F" w:rsidP="4051694F">
            <w:pPr>
              <w:pStyle w:val="Body"/>
              <w:spacing w:after="0" w:line="276" w:lineRule="auto"/>
              <w:jc w:val="center"/>
              <w:rPr>
                <w:b/>
                <w:bCs/>
              </w:rPr>
            </w:pPr>
            <w:r w:rsidRPr="4051694F">
              <w:rPr>
                <w:b/>
                <w:bCs/>
              </w:rPr>
              <w:t>1</w:t>
            </w:r>
          </w:p>
        </w:tc>
        <w:tc>
          <w:tcPr>
            <w:tcW w:w="7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0E2051" w14:textId="2D9BEDD4" w:rsidR="4051694F" w:rsidRDefault="6B4A4400" w:rsidP="4051694F">
            <w:pPr>
              <w:pStyle w:val="Body"/>
              <w:spacing w:after="0" w:line="276" w:lineRule="auto"/>
              <w:jc w:val="center"/>
              <w:rPr>
                <w:rFonts w:eastAsia="Open Sans"/>
              </w:rPr>
            </w:pPr>
            <w:r w:rsidRPr="0C5AFEA5">
              <w:rPr>
                <w:rFonts w:eastAsia="Open Sans"/>
              </w:rPr>
              <w:t>$1,916,138</w:t>
            </w:r>
          </w:p>
        </w:tc>
      </w:tr>
      <w:tr w:rsidR="4051694F" w14:paraId="1E90A3B3" w14:textId="77777777" w:rsidTr="44747D9F">
        <w:trPr>
          <w:trHeight w:val="300"/>
        </w:trPr>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B762C2" w14:textId="77777777" w:rsidR="4051694F" w:rsidRDefault="4051694F" w:rsidP="4051694F">
            <w:pPr>
              <w:pStyle w:val="Body"/>
              <w:spacing w:after="0" w:line="276" w:lineRule="auto"/>
              <w:jc w:val="center"/>
              <w:rPr>
                <w:b/>
                <w:bCs/>
              </w:rPr>
            </w:pPr>
            <w:r w:rsidRPr="4051694F">
              <w:rPr>
                <w:b/>
                <w:bCs/>
              </w:rPr>
              <w:t>2</w:t>
            </w:r>
          </w:p>
        </w:tc>
        <w:tc>
          <w:tcPr>
            <w:tcW w:w="7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AFC848" w14:textId="3E9E1315" w:rsidR="4051694F" w:rsidRDefault="4051694F" w:rsidP="4051694F">
            <w:pPr>
              <w:pStyle w:val="Body"/>
              <w:spacing w:after="0" w:line="276" w:lineRule="auto"/>
              <w:jc w:val="center"/>
              <w:rPr>
                <w:rFonts w:eastAsia="Open Sans"/>
              </w:rPr>
            </w:pPr>
            <w:r w:rsidRPr="4051694F">
              <w:rPr>
                <w:rFonts w:eastAsia="Open Sans"/>
              </w:rPr>
              <w:t>$3,427,983</w:t>
            </w:r>
          </w:p>
        </w:tc>
      </w:tr>
      <w:tr w:rsidR="4051694F" w14:paraId="02336D77" w14:textId="77777777" w:rsidTr="44747D9F">
        <w:trPr>
          <w:trHeight w:val="300"/>
        </w:trPr>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D33299" w14:textId="77777777" w:rsidR="4051694F" w:rsidRDefault="4051694F" w:rsidP="4051694F">
            <w:pPr>
              <w:pStyle w:val="Body"/>
              <w:spacing w:after="0" w:line="276" w:lineRule="auto"/>
              <w:jc w:val="center"/>
              <w:rPr>
                <w:b/>
                <w:bCs/>
              </w:rPr>
            </w:pPr>
            <w:r w:rsidRPr="4051694F">
              <w:rPr>
                <w:b/>
                <w:bCs/>
              </w:rPr>
              <w:t>3</w:t>
            </w:r>
          </w:p>
        </w:tc>
        <w:tc>
          <w:tcPr>
            <w:tcW w:w="7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111517" w14:textId="1B8B0C8B" w:rsidR="4051694F" w:rsidRDefault="4051694F" w:rsidP="4051694F">
            <w:pPr>
              <w:pStyle w:val="Body"/>
              <w:spacing w:after="0" w:line="276" w:lineRule="auto"/>
              <w:jc w:val="center"/>
              <w:rPr>
                <w:rFonts w:eastAsia="Open Sans"/>
              </w:rPr>
            </w:pPr>
            <w:r w:rsidRPr="4051694F">
              <w:rPr>
                <w:rFonts w:eastAsia="Open Sans"/>
              </w:rPr>
              <w:t>$1,722,459</w:t>
            </w:r>
          </w:p>
        </w:tc>
      </w:tr>
      <w:tr w:rsidR="4051694F" w14:paraId="58FDE2C0" w14:textId="77777777" w:rsidTr="44747D9F">
        <w:trPr>
          <w:trHeight w:val="300"/>
        </w:trPr>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6EEAFA" w14:textId="77777777" w:rsidR="4051694F" w:rsidRDefault="4051694F" w:rsidP="4051694F">
            <w:pPr>
              <w:pStyle w:val="Body"/>
              <w:spacing w:after="0" w:line="276" w:lineRule="auto"/>
              <w:jc w:val="center"/>
              <w:rPr>
                <w:b/>
                <w:bCs/>
              </w:rPr>
            </w:pPr>
            <w:r w:rsidRPr="4051694F">
              <w:rPr>
                <w:b/>
                <w:bCs/>
              </w:rPr>
              <w:t>4</w:t>
            </w:r>
          </w:p>
        </w:tc>
        <w:tc>
          <w:tcPr>
            <w:tcW w:w="7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1D2F72" w14:textId="42D77C5F" w:rsidR="4051694F" w:rsidRDefault="4051694F" w:rsidP="4051694F">
            <w:pPr>
              <w:pStyle w:val="Body"/>
              <w:spacing w:after="0" w:line="276" w:lineRule="auto"/>
              <w:jc w:val="center"/>
              <w:rPr>
                <w:rFonts w:eastAsia="Open Sans"/>
              </w:rPr>
            </w:pPr>
            <w:r w:rsidRPr="4051694F">
              <w:rPr>
                <w:rFonts w:eastAsia="Open Sans"/>
              </w:rPr>
              <w:t>$2,690,598</w:t>
            </w:r>
          </w:p>
        </w:tc>
      </w:tr>
      <w:tr w:rsidR="4051694F" w14:paraId="20DA0517" w14:textId="77777777" w:rsidTr="44747D9F">
        <w:trPr>
          <w:trHeight w:val="300"/>
        </w:trPr>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469494" w14:textId="77777777" w:rsidR="4051694F" w:rsidRDefault="4051694F" w:rsidP="4051694F">
            <w:pPr>
              <w:pStyle w:val="Body"/>
              <w:spacing w:after="0" w:line="276" w:lineRule="auto"/>
              <w:jc w:val="center"/>
              <w:rPr>
                <w:b/>
                <w:bCs/>
              </w:rPr>
            </w:pPr>
            <w:r w:rsidRPr="4051694F">
              <w:rPr>
                <w:b/>
                <w:bCs/>
              </w:rPr>
              <w:t>5</w:t>
            </w:r>
          </w:p>
        </w:tc>
        <w:tc>
          <w:tcPr>
            <w:tcW w:w="7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5BF60B" w14:textId="5ED6DFA7" w:rsidR="4051694F" w:rsidRDefault="4051694F" w:rsidP="4051694F">
            <w:pPr>
              <w:pStyle w:val="Body"/>
              <w:spacing w:after="0" w:line="276" w:lineRule="auto"/>
              <w:jc w:val="center"/>
              <w:rPr>
                <w:rFonts w:eastAsia="Open Sans"/>
              </w:rPr>
            </w:pPr>
            <w:r w:rsidRPr="4051694F">
              <w:rPr>
                <w:rFonts w:eastAsia="Open Sans"/>
              </w:rPr>
              <w:t>$1,798,715</w:t>
            </w:r>
          </w:p>
        </w:tc>
      </w:tr>
      <w:tr w:rsidR="4051694F" w14:paraId="6FA6DFC8" w14:textId="77777777" w:rsidTr="44747D9F">
        <w:trPr>
          <w:trHeight w:val="300"/>
        </w:trPr>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B588E2" w14:textId="77777777" w:rsidR="4051694F" w:rsidRDefault="4051694F" w:rsidP="4051694F">
            <w:pPr>
              <w:pStyle w:val="Body"/>
              <w:spacing w:after="0" w:line="276" w:lineRule="auto"/>
              <w:jc w:val="center"/>
              <w:rPr>
                <w:b/>
                <w:bCs/>
              </w:rPr>
            </w:pPr>
            <w:r w:rsidRPr="4051694F">
              <w:rPr>
                <w:b/>
                <w:bCs/>
              </w:rPr>
              <w:t>6</w:t>
            </w:r>
          </w:p>
        </w:tc>
        <w:tc>
          <w:tcPr>
            <w:tcW w:w="7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56B8DC" w14:textId="47FC42DE" w:rsidR="4051694F" w:rsidRDefault="4051694F" w:rsidP="4051694F">
            <w:pPr>
              <w:pStyle w:val="Body"/>
              <w:spacing w:after="0" w:line="276" w:lineRule="auto"/>
              <w:jc w:val="center"/>
              <w:rPr>
                <w:rFonts w:eastAsia="Open Sans"/>
              </w:rPr>
            </w:pPr>
            <w:r w:rsidRPr="4051694F">
              <w:rPr>
                <w:rFonts w:eastAsia="Open Sans"/>
              </w:rPr>
              <w:t>$2,278,490</w:t>
            </w:r>
          </w:p>
        </w:tc>
      </w:tr>
      <w:tr w:rsidR="4051694F" w14:paraId="55C42C45" w14:textId="77777777" w:rsidTr="44747D9F">
        <w:trPr>
          <w:trHeight w:val="300"/>
        </w:trPr>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87DD1C" w14:textId="77777777" w:rsidR="4051694F" w:rsidRDefault="4051694F" w:rsidP="4051694F">
            <w:pPr>
              <w:pStyle w:val="Body"/>
              <w:spacing w:after="0" w:line="276" w:lineRule="auto"/>
              <w:jc w:val="center"/>
              <w:rPr>
                <w:b/>
                <w:bCs/>
              </w:rPr>
            </w:pPr>
            <w:r w:rsidRPr="4051694F">
              <w:rPr>
                <w:b/>
                <w:bCs/>
              </w:rPr>
              <w:t>7</w:t>
            </w:r>
          </w:p>
        </w:tc>
        <w:tc>
          <w:tcPr>
            <w:tcW w:w="7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5C2A89" w14:textId="479EACDE" w:rsidR="4051694F" w:rsidRDefault="4051694F" w:rsidP="4051694F">
            <w:pPr>
              <w:pStyle w:val="Body"/>
              <w:spacing w:after="0" w:line="276" w:lineRule="auto"/>
              <w:jc w:val="center"/>
              <w:rPr>
                <w:rFonts w:eastAsia="Open Sans"/>
              </w:rPr>
            </w:pPr>
            <w:r w:rsidRPr="4051694F">
              <w:rPr>
                <w:rFonts w:eastAsia="Open Sans"/>
              </w:rPr>
              <w:t>$2,095,123</w:t>
            </w:r>
          </w:p>
        </w:tc>
      </w:tr>
      <w:tr w:rsidR="4051694F" w14:paraId="4BC90184" w14:textId="77777777" w:rsidTr="44747D9F">
        <w:trPr>
          <w:trHeight w:val="300"/>
        </w:trPr>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1F3E8B" w14:textId="77777777" w:rsidR="4051694F" w:rsidRDefault="4051694F" w:rsidP="4051694F">
            <w:pPr>
              <w:pStyle w:val="Body"/>
              <w:spacing w:after="0" w:line="276" w:lineRule="auto"/>
              <w:jc w:val="center"/>
              <w:rPr>
                <w:b/>
                <w:bCs/>
              </w:rPr>
            </w:pPr>
            <w:r w:rsidRPr="4051694F">
              <w:rPr>
                <w:b/>
                <w:bCs/>
              </w:rPr>
              <w:t>8</w:t>
            </w:r>
          </w:p>
        </w:tc>
        <w:tc>
          <w:tcPr>
            <w:tcW w:w="7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ECEC44" w14:textId="333BE2B8" w:rsidR="4051694F" w:rsidRDefault="4051694F" w:rsidP="4051694F">
            <w:pPr>
              <w:pStyle w:val="Body"/>
              <w:spacing w:after="0" w:line="276" w:lineRule="auto"/>
              <w:jc w:val="center"/>
              <w:rPr>
                <w:rFonts w:eastAsia="Open Sans"/>
              </w:rPr>
            </w:pPr>
            <w:r w:rsidRPr="4051694F">
              <w:rPr>
                <w:rFonts w:eastAsia="Open Sans"/>
              </w:rPr>
              <w:t>$2,070,495</w:t>
            </w:r>
          </w:p>
        </w:tc>
      </w:tr>
    </w:tbl>
    <w:p w14:paraId="0100E777" w14:textId="75DA8B73" w:rsidR="27DE66BE" w:rsidRDefault="27DE66BE" w:rsidP="4051694F">
      <w:pPr>
        <w:pStyle w:val="ListParagraph"/>
        <w:numPr>
          <w:ilvl w:val="1"/>
          <w:numId w:val="7"/>
        </w:numPr>
        <w:spacing w:before="240" w:after="240"/>
        <w:rPr>
          <w:rFonts w:ascii="Open Sans" w:eastAsia="Open Sans" w:hAnsi="Open Sans" w:cs="Open Sans"/>
        </w:rPr>
      </w:pPr>
      <w:r w:rsidRPr="4051694F">
        <w:rPr>
          <w:rFonts w:ascii="Open Sans" w:eastAsia="Open Sans" w:hAnsi="Open Sans" w:cs="Open Sans"/>
        </w:rPr>
        <w:t>Funding cannot be used for initiatives that fund certain cosmetic and experimental procedures that fall within the definition of a specified sex-trait modification procedure at 45 CFR 156.400 because that is beyond the scope of this program.</w:t>
      </w:r>
    </w:p>
    <w:p w14:paraId="79CC2E9B" w14:textId="2B0F005C" w:rsidR="00B219A1" w:rsidRPr="003851D3" w:rsidRDefault="00B200BB" w:rsidP="003851D3">
      <w:pPr>
        <w:pStyle w:val="Body"/>
        <w:numPr>
          <w:ilvl w:val="0"/>
          <w:numId w:val="7"/>
        </w:numPr>
        <w:spacing w:line="276" w:lineRule="auto"/>
      </w:pPr>
      <w:r w:rsidRPr="003851D3">
        <w:t>No more than 5% of total funding awarded to the State in a given budget period can support funding the replacement of an EMR system if a previous HITECH certified EMR system is already in place as of September 1, 2025.</w:t>
      </w:r>
    </w:p>
    <w:tbl>
      <w:tblPr>
        <w:tblW w:w="8730"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0"/>
        <w:gridCol w:w="7560"/>
      </w:tblGrid>
      <w:tr w:rsidR="006C7B40" w:rsidRPr="003851D3" w14:paraId="2574DE11" w14:textId="77777777" w:rsidTr="44747D9F">
        <w:trPr>
          <w:trHeight w:val="300"/>
        </w:trPr>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A5898"/>
            <w:hideMark/>
          </w:tcPr>
          <w:p w14:paraId="77EFD349" w14:textId="77777777" w:rsidR="006C7B40" w:rsidRPr="003851D3" w:rsidRDefault="05D7FB54" w:rsidP="44747D9F">
            <w:pPr>
              <w:pStyle w:val="Body"/>
              <w:spacing w:after="0" w:line="276" w:lineRule="auto"/>
              <w:jc w:val="center"/>
            </w:pPr>
            <w:r w:rsidRPr="44747D9F">
              <w:rPr>
                <w:b/>
                <w:bCs/>
              </w:rPr>
              <w:t>Region</w:t>
            </w:r>
          </w:p>
        </w:tc>
        <w:tc>
          <w:tcPr>
            <w:tcW w:w="7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A5898"/>
            <w:hideMark/>
          </w:tcPr>
          <w:p w14:paraId="468989B6" w14:textId="42875C3C" w:rsidR="006C7B40" w:rsidRPr="003851D3" w:rsidRDefault="7A928C70" w:rsidP="44747D9F">
            <w:pPr>
              <w:pStyle w:val="Body"/>
              <w:spacing w:after="0" w:line="276" w:lineRule="auto"/>
            </w:pPr>
            <w:r w:rsidRPr="44747D9F">
              <w:rPr>
                <w:b/>
                <w:bCs/>
              </w:rPr>
              <w:t>Maximum EMR Replacement Expenditures, Budget Period 1</w:t>
            </w:r>
          </w:p>
        </w:tc>
      </w:tr>
      <w:tr w:rsidR="00B200BB" w:rsidRPr="003851D3" w14:paraId="66D749BB" w14:textId="77777777" w:rsidTr="44747D9F">
        <w:trPr>
          <w:trHeight w:val="300"/>
        </w:trPr>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77E894" w14:textId="77777777" w:rsidR="00B200BB" w:rsidRPr="003851D3" w:rsidRDefault="00B200BB" w:rsidP="003851D3">
            <w:pPr>
              <w:pStyle w:val="Body"/>
              <w:spacing w:after="0" w:line="276" w:lineRule="auto"/>
              <w:jc w:val="center"/>
              <w:rPr>
                <w:b/>
                <w:bCs/>
              </w:rPr>
            </w:pPr>
            <w:r w:rsidRPr="003851D3">
              <w:rPr>
                <w:b/>
                <w:bCs/>
              </w:rPr>
              <w:t>1</w:t>
            </w:r>
          </w:p>
        </w:tc>
        <w:tc>
          <w:tcPr>
            <w:tcW w:w="75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FC80FD8" w14:textId="1B891761" w:rsidR="61851701" w:rsidRPr="61851701" w:rsidRDefault="61851701" w:rsidP="61851701">
            <w:pPr>
              <w:pStyle w:val="Body"/>
              <w:spacing w:after="0" w:line="276" w:lineRule="auto"/>
              <w:jc w:val="center"/>
              <w:rPr>
                <w:rFonts w:eastAsia="Open Sans"/>
              </w:rPr>
            </w:pPr>
            <w:r w:rsidRPr="61851701">
              <w:rPr>
                <w:rFonts w:eastAsia="Open Sans"/>
              </w:rPr>
              <w:t>$1,101,395</w:t>
            </w:r>
          </w:p>
        </w:tc>
      </w:tr>
      <w:tr w:rsidR="00B200BB" w:rsidRPr="003851D3" w14:paraId="4218661D" w14:textId="77777777" w:rsidTr="44747D9F">
        <w:trPr>
          <w:trHeight w:val="300"/>
        </w:trPr>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C3467C4" w14:textId="77777777" w:rsidR="00B200BB" w:rsidRPr="003851D3" w:rsidRDefault="00B200BB" w:rsidP="003851D3">
            <w:pPr>
              <w:pStyle w:val="Body"/>
              <w:spacing w:after="0" w:line="276" w:lineRule="auto"/>
              <w:jc w:val="center"/>
              <w:rPr>
                <w:b/>
                <w:bCs/>
              </w:rPr>
            </w:pPr>
            <w:r w:rsidRPr="003851D3">
              <w:rPr>
                <w:b/>
                <w:bCs/>
              </w:rPr>
              <w:t>2</w:t>
            </w:r>
          </w:p>
        </w:tc>
        <w:tc>
          <w:tcPr>
            <w:tcW w:w="75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3162060" w14:textId="3D2CB16E" w:rsidR="61851701" w:rsidRPr="61851701" w:rsidRDefault="61851701" w:rsidP="61851701">
            <w:pPr>
              <w:pStyle w:val="Body"/>
              <w:spacing w:after="0" w:line="276" w:lineRule="auto"/>
              <w:jc w:val="center"/>
              <w:rPr>
                <w:rFonts w:eastAsia="Open Sans"/>
              </w:rPr>
            </w:pPr>
            <w:r w:rsidRPr="61851701">
              <w:rPr>
                <w:rFonts w:eastAsia="Open Sans"/>
              </w:rPr>
              <w:t>$1,970,403</w:t>
            </w:r>
          </w:p>
        </w:tc>
      </w:tr>
      <w:tr w:rsidR="00B200BB" w:rsidRPr="003851D3" w14:paraId="1F05BCFA" w14:textId="77777777" w:rsidTr="44747D9F">
        <w:trPr>
          <w:trHeight w:val="300"/>
        </w:trPr>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D122B52" w14:textId="77777777" w:rsidR="00B200BB" w:rsidRPr="003851D3" w:rsidRDefault="00B200BB" w:rsidP="003851D3">
            <w:pPr>
              <w:pStyle w:val="Body"/>
              <w:spacing w:after="0" w:line="276" w:lineRule="auto"/>
              <w:jc w:val="center"/>
              <w:rPr>
                <w:b/>
                <w:bCs/>
              </w:rPr>
            </w:pPr>
            <w:r w:rsidRPr="003851D3">
              <w:rPr>
                <w:b/>
                <w:bCs/>
              </w:rPr>
              <w:t>3</w:t>
            </w:r>
          </w:p>
        </w:tc>
        <w:tc>
          <w:tcPr>
            <w:tcW w:w="75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BC076A9" w14:textId="3371F245" w:rsidR="61851701" w:rsidRPr="61851701" w:rsidRDefault="61851701" w:rsidP="61851701">
            <w:pPr>
              <w:pStyle w:val="Body"/>
              <w:spacing w:after="0" w:line="276" w:lineRule="auto"/>
              <w:jc w:val="center"/>
              <w:rPr>
                <w:rFonts w:eastAsia="Open Sans"/>
              </w:rPr>
            </w:pPr>
            <w:r w:rsidRPr="61851701">
              <w:rPr>
                <w:rFonts w:eastAsia="Open Sans"/>
              </w:rPr>
              <w:t>$990,068</w:t>
            </w:r>
          </w:p>
        </w:tc>
      </w:tr>
      <w:tr w:rsidR="00B200BB" w:rsidRPr="003851D3" w14:paraId="77889D2B" w14:textId="77777777" w:rsidTr="44747D9F">
        <w:trPr>
          <w:trHeight w:val="300"/>
        </w:trPr>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A2F7480" w14:textId="77777777" w:rsidR="00B200BB" w:rsidRPr="003851D3" w:rsidRDefault="00B200BB" w:rsidP="003851D3">
            <w:pPr>
              <w:pStyle w:val="Body"/>
              <w:spacing w:after="0" w:line="276" w:lineRule="auto"/>
              <w:jc w:val="center"/>
              <w:rPr>
                <w:b/>
                <w:bCs/>
              </w:rPr>
            </w:pPr>
            <w:r w:rsidRPr="003851D3">
              <w:rPr>
                <w:b/>
                <w:bCs/>
              </w:rPr>
              <w:t>4</w:t>
            </w:r>
          </w:p>
        </w:tc>
        <w:tc>
          <w:tcPr>
            <w:tcW w:w="75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1EB0E1" w14:textId="15127A9D" w:rsidR="61851701" w:rsidRPr="61851701" w:rsidRDefault="61851701" w:rsidP="61851701">
            <w:pPr>
              <w:pStyle w:val="Body"/>
              <w:spacing w:after="0" w:line="276" w:lineRule="auto"/>
              <w:jc w:val="center"/>
              <w:rPr>
                <w:rFonts w:eastAsia="Open Sans"/>
              </w:rPr>
            </w:pPr>
            <w:r w:rsidRPr="61851701">
              <w:rPr>
                <w:rFonts w:eastAsia="Open Sans"/>
              </w:rPr>
              <w:t>$1,546,555</w:t>
            </w:r>
          </w:p>
        </w:tc>
      </w:tr>
      <w:tr w:rsidR="00B200BB" w:rsidRPr="003851D3" w14:paraId="003E039D" w14:textId="77777777" w:rsidTr="44747D9F">
        <w:trPr>
          <w:trHeight w:val="300"/>
        </w:trPr>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F026638" w14:textId="77777777" w:rsidR="00B200BB" w:rsidRPr="003851D3" w:rsidRDefault="00B200BB" w:rsidP="003851D3">
            <w:pPr>
              <w:pStyle w:val="Body"/>
              <w:spacing w:after="0" w:line="276" w:lineRule="auto"/>
              <w:jc w:val="center"/>
              <w:rPr>
                <w:b/>
                <w:bCs/>
              </w:rPr>
            </w:pPr>
            <w:r w:rsidRPr="003851D3">
              <w:rPr>
                <w:b/>
                <w:bCs/>
              </w:rPr>
              <w:t>5</w:t>
            </w:r>
          </w:p>
        </w:tc>
        <w:tc>
          <w:tcPr>
            <w:tcW w:w="75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577C5C" w14:textId="58768283" w:rsidR="61851701" w:rsidRPr="61851701" w:rsidRDefault="61851701" w:rsidP="61851701">
            <w:pPr>
              <w:pStyle w:val="Body"/>
              <w:spacing w:after="0" w:line="276" w:lineRule="auto"/>
              <w:jc w:val="center"/>
              <w:rPr>
                <w:rFonts w:eastAsia="Open Sans"/>
              </w:rPr>
            </w:pPr>
            <w:r w:rsidRPr="61851701">
              <w:rPr>
                <w:rFonts w:eastAsia="Open Sans"/>
              </w:rPr>
              <w:t>$1,033,900</w:t>
            </w:r>
          </w:p>
        </w:tc>
      </w:tr>
      <w:tr w:rsidR="00B200BB" w:rsidRPr="003851D3" w14:paraId="1D6ACD76" w14:textId="77777777" w:rsidTr="44747D9F">
        <w:trPr>
          <w:trHeight w:val="300"/>
        </w:trPr>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61D51F5" w14:textId="77777777" w:rsidR="00B200BB" w:rsidRPr="003851D3" w:rsidRDefault="00B200BB" w:rsidP="003851D3">
            <w:pPr>
              <w:pStyle w:val="Body"/>
              <w:spacing w:after="0" w:line="276" w:lineRule="auto"/>
              <w:jc w:val="center"/>
              <w:rPr>
                <w:b/>
                <w:bCs/>
              </w:rPr>
            </w:pPr>
            <w:r w:rsidRPr="003851D3">
              <w:rPr>
                <w:b/>
                <w:bCs/>
              </w:rPr>
              <w:t>6</w:t>
            </w:r>
          </w:p>
        </w:tc>
        <w:tc>
          <w:tcPr>
            <w:tcW w:w="75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C826004" w14:textId="718771FB" w:rsidR="61851701" w:rsidRPr="61851701" w:rsidRDefault="61851701" w:rsidP="61851701">
            <w:pPr>
              <w:pStyle w:val="Body"/>
              <w:spacing w:after="0" w:line="276" w:lineRule="auto"/>
              <w:jc w:val="center"/>
              <w:rPr>
                <w:rFonts w:eastAsia="Open Sans"/>
              </w:rPr>
            </w:pPr>
            <w:r w:rsidRPr="61851701">
              <w:rPr>
                <w:rFonts w:eastAsia="Open Sans"/>
              </w:rPr>
              <w:t>$1,309,675</w:t>
            </w:r>
          </w:p>
        </w:tc>
      </w:tr>
      <w:tr w:rsidR="00B200BB" w:rsidRPr="003851D3" w14:paraId="440857A7" w14:textId="77777777" w:rsidTr="44747D9F">
        <w:trPr>
          <w:trHeight w:val="300"/>
        </w:trPr>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558F38C" w14:textId="77777777" w:rsidR="00B200BB" w:rsidRPr="003851D3" w:rsidRDefault="00B200BB" w:rsidP="003851D3">
            <w:pPr>
              <w:pStyle w:val="Body"/>
              <w:spacing w:after="0" w:line="276" w:lineRule="auto"/>
              <w:jc w:val="center"/>
              <w:rPr>
                <w:b/>
                <w:bCs/>
              </w:rPr>
            </w:pPr>
            <w:r w:rsidRPr="003851D3">
              <w:rPr>
                <w:b/>
                <w:bCs/>
              </w:rPr>
              <w:t>7</w:t>
            </w:r>
          </w:p>
        </w:tc>
        <w:tc>
          <w:tcPr>
            <w:tcW w:w="75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4691F54" w14:textId="564D217C" w:rsidR="61851701" w:rsidRPr="61851701" w:rsidRDefault="61851701" w:rsidP="61851701">
            <w:pPr>
              <w:pStyle w:val="Body"/>
              <w:spacing w:after="0" w:line="276" w:lineRule="auto"/>
              <w:jc w:val="center"/>
              <w:rPr>
                <w:rFonts w:eastAsia="Open Sans"/>
              </w:rPr>
            </w:pPr>
            <w:r w:rsidRPr="61851701">
              <w:rPr>
                <w:rFonts w:eastAsia="Open Sans"/>
              </w:rPr>
              <w:t>$1,204,276</w:t>
            </w:r>
          </w:p>
        </w:tc>
      </w:tr>
      <w:tr w:rsidR="00B200BB" w:rsidRPr="003851D3" w14:paraId="788A1040" w14:textId="77777777" w:rsidTr="44747D9F">
        <w:trPr>
          <w:trHeight w:val="300"/>
        </w:trPr>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1775D1" w14:textId="77777777" w:rsidR="00B200BB" w:rsidRPr="003851D3" w:rsidRDefault="00B200BB" w:rsidP="003851D3">
            <w:pPr>
              <w:pStyle w:val="Body"/>
              <w:spacing w:after="0" w:line="276" w:lineRule="auto"/>
              <w:jc w:val="center"/>
              <w:rPr>
                <w:b/>
                <w:bCs/>
              </w:rPr>
            </w:pPr>
            <w:r w:rsidRPr="003851D3">
              <w:rPr>
                <w:b/>
                <w:bCs/>
              </w:rPr>
              <w:t>8</w:t>
            </w:r>
          </w:p>
        </w:tc>
        <w:tc>
          <w:tcPr>
            <w:tcW w:w="75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8BBAEF8" w14:textId="67CE19BB" w:rsidR="61851701" w:rsidRPr="61851701" w:rsidRDefault="61851701" w:rsidP="61851701">
            <w:pPr>
              <w:pStyle w:val="Body"/>
              <w:spacing w:after="0" w:line="276" w:lineRule="auto"/>
              <w:jc w:val="center"/>
              <w:rPr>
                <w:rFonts w:eastAsia="Open Sans"/>
              </w:rPr>
            </w:pPr>
            <w:r w:rsidRPr="61851701">
              <w:rPr>
                <w:rFonts w:eastAsia="Open Sans"/>
              </w:rPr>
              <w:t>$1,190,119</w:t>
            </w:r>
          </w:p>
        </w:tc>
      </w:tr>
    </w:tbl>
    <w:p w14:paraId="798C9F53" w14:textId="576E5239" w:rsidR="71BC974A" w:rsidRDefault="71BC974A" w:rsidP="4051694F">
      <w:pPr>
        <w:pStyle w:val="Body"/>
        <w:numPr>
          <w:ilvl w:val="0"/>
          <w:numId w:val="7"/>
        </w:numPr>
        <w:spacing w:line="276" w:lineRule="auto"/>
      </w:pPr>
      <w:r>
        <w:t>Funding towards initiatives similar to the “Rural Tech Catalyst Fund Initiative”, as described in the NOFO Appendix (pages 115-118), cannot exceed the lesser of (1) 10% of total funding awarded to the Recipient in a given budget period or (2) $20M of total funding awarded to the Recipient in a given budget period. Funding is subject to all restrictions and requirements described in the example initiative.</w:t>
      </w:r>
    </w:p>
    <w:p w14:paraId="10FFA021" w14:textId="7CBBFF29" w:rsidR="6225A860" w:rsidRDefault="6225A860" w:rsidP="7D04D8F9">
      <w:pPr>
        <w:pStyle w:val="Body"/>
        <w:numPr>
          <w:ilvl w:val="0"/>
          <w:numId w:val="7"/>
        </w:numPr>
        <w:spacing w:line="276" w:lineRule="auto"/>
      </w:pPr>
      <w:r>
        <w:t xml:space="preserve">Funds may not be used for clinician salaries or wage supports if clinicians work for </w:t>
      </w:r>
      <w:r w:rsidRPr="7D04D8F9">
        <w:rPr>
          <w:b/>
          <w:bCs/>
        </w:rPr>
        <w:t>facilities that subject clinicians to non-compete contractual limitations</w:t>
      </w:r>
      <w:r>
        <w:t>. Funds may go towards clinician salaries and wage supports if the clinician is not subject to a non-compete agreement and the salary/wage support is being funded as part of an approved initiative.</w:t>
      </w:r>
    </w:p>
    <w:p w14:paraId="7A3A83C3" w14:textId="0CB6F2B4" w:rsidR="04794590" w:rsidRDefault="04794590" w:rsidP="4051694F">
      <w:pPr>
        <w:pStyle w:val="Body"/>
        <w:numPr>
          <w:ilvl w:val="0"/>
          <w:numId w:val="7"/>
        </w:numPr>
        <w:spacing w:line="276" w:lineRule="auto"/>
        <w:rPr>
          <w:rFonts w:eastAsia="Open Sans"/>
        </w:rPr>
      </w:pPr>
      <w:r w:rsidRPr="4051694F">
        <w:rPr>
          <w:rFonts w:eastAsia="Open Sans"/>
        </w:rPr>
        <w:t>None of the funding shall be used by the Recipient for an expenditure that is attributable to an intergovernmental transfer, certified public expenditure, or any other expenditure to finance the non-Federal share of expenditures required under any provision of law.</w:t>
      </w:r>
    </w:p>
    <w:p w14:paraId="31A1B014" w14:textId="350C96A0" w:rsidR="00B219A1" w:rsidRDefault="00B219A1" w:rsidP="4051694F">
      <w:pPr>
        <w:pStyle w:val="ListParagraph"/>
        <w:numPr>
          <w:ilvl w:val="0"/>
          <w:numId w:val="7"/>
        </w:numPr>
        <w:spacing w:before="240" w:after="240"/>
        <w:rPr>
          <w:rFonts w:ascii="Open Sans" w:eastAsia="Open Sans" w:hAnsi="Open Sans" w:cs="Open Sans"/>
        </w:rPr>
      </w:pPr>
      <w:r w:rsidRPr="4051694F">
        <w:rPr>
          <w:rFonts w:ascii="Open Sans" w:eastAsia="Open Sans" w:hAnsi="Open Sans" w:cs="Open Sans"/>
        </w:rPr>
        <w:t>Social Security Act 2105(c) (42 USC 1397ee), paragraphs (1), (7), and (9) apply as funding limitations. These limitations are related to general limitations, limitations on payment for abortions, and citizenship documentation requirements for payments made with respect to an individual.</w:t>
      </w:r>
    </w:p>
    <w:p w14:paraId="5D164314" w14:textId="77777777" w:rsidR="00E466A8" w:rsidRDefault="00E466A8" w:rsidP="00E466A8">
      <w:pPr>
        <w:pStyle w:val="ListParagraph"/>
        <w:spacing w:before="240" w:after="240"/>
        <w:rPr>
          <w:rFonts w:ascii="Open Sans" w:eastAsia="Open Sans" w:hAnsi="Open Sans" w:cs="Open Sans"/>
        </w:rPr>
      </w:pPr>
    </w:p>
    <w:p w14:paraId="64A0B29E" w14:textId="5F594F94" w:rsidR="04794590" w:rsidRDefault="04794590" w:rsidP="4051694F">
      <w:pPr>
        <w:pStyle w:val="ListParagraph"/>
        <w:numPr>
          <w:ilvl w:val="0"/>
          <w:numId w:val="7"/>
        </w:numPr>
        <w:spacing w:before="240" w:after="240"/>
        <w:rPr>
          <w:rFonts w:ascii="Open Sans" w:eastAsia="Open Sans" w:hAnsi="Open Sans" w:cs="Open Sans"/>
        </w:rPr>
      </w:pPr>
      <w:r w:rsidRPr="4051694F">
        <w:rPr>
          <w:rFonts w:ascii="Open Sans" w:eastAsia="Open Sans" w:hAnsi="Open Sans" w:cs="Open Sans"/>
        </w:rPr>
        <w:t>Funds related to any activity designed to influence the enactment of legislation, appropriations, regulation, administrative action, or executive order.</w:t>
      </w:r>
    </w:p>
    <w:p w14:paraId="0FFD8963" w14:textId="77777777" w:rsidR="00B219A1" w:rsidRPr="003851D3" w:rsidRDefault="00B219A1" w:rsidP="003851D3">
      <w:pPr>
        <w:pStyle w:val="Body"/>
        <w:spacing w:line="276" w:lineRule="auto"/>
      </w:pPr>
      <w:r>
        <w:t xml:space="preserve">For guidance on some types of costs that CMS restricts or does not allow, and therefore a prohibition in this funding opportunity, see </w:t>
      </w:r>
      <w:hyperlink r:id="rId17">
        <w:r w:rsidRPr="7D04D8F9">
          <w:rPr>
            <w:rStyle w:val="Hyperlink"/>
          </w:rPr>
          <w:t>2 CFR Part 200 Subpart E - General Provisions for Selected Items of Cost</w:t>
        </w:r>
      </w:hyperlink>
      <w:r>
        <w:t xml:space="preserve">. </w:t>
      </w:r>
    </w:p>
    <w:p w14:paraId="47920C3C" w14:textId="73D4F93D" w:rsidR="00B219A1" w:rsidRPr="003851D3" w:rsidRDefault="2D691C91" w:rsidP="003851D3">
      <w:pPr>
        <w:pStyle w:val="Body"/>
        <w:spacing w:line="276" w:lineRule="auto"/>
      </w:pPr>
      <w:r>
        <w:t xml:space="preserve">The State expects that an applicant </w:t>
      </w:r>
      <w:r w:rsidRPr="44747D9F">
        <w:rPr>
          <w:b/>
          <w:bCs/>
        </w:rPr>
        <w:t xml:space="preserve">not </w:t>
      </w:r>
      <w:r>
        <w:t>receive funding from the State and another source for reimbursement of the same expense. While applicants can receive funding from different sources for different types of projects, the unique projects submitted for this application may not be currently receiving funding from any other source.</w:t>
      </w:r>
      <w:r w:rsidRPr="44747D9F">
        <w:rPr>
          <w:b/>
          <w:bCs/>
        </w:rPr>
        <w:t xml:space="preserve"> The State reserves the right to make all final funding decisions. </w:t>
      </w:r>
      <w:r>
        <w:t>If an awarded entity fails to use the grant funds in accordance with the criteria described herein or comply with the agreement entered into with the State, that entity shall repay the total amount of the grant awarded.</w:t>
      </w:r>
    </w:p>
    <w:p w14:paraId="30AF975F" w14:textId="51E0E9D7" w:rsidR="00B219A1" w:rsidRPr="005E48FE" w:rsidRDefault="00B219A1" w:rsidP="003851D3">
      <w:pPr>
        <w:pStyle w:val="Heading2"/>
        <w:spacing w:line="276" w:lineRule="auto"/>
        <w:rPr>
          <w:rFonts w:ascii="Open Sans" w:hAnsi="Open Sans" w:cs="Open Sans"/>
        </w:rPr>
      </w:pPr>
      <w:r w:rsidRPr="005E48FE">
        <w:rPr>
          <w:rFonts w:ascii="Open Sans" w:hAnsi="Open Sans" w:cs="Open Sans"/>
        </w:rPr>
        <w:t>C. Indirect Costs</w:t>
      </w:r>
    </w:p>
    <w:p w14:paraId="56AF7F39" w14:textId="6CD07BDB" w:rsidR="00B219A1" w:rsidRPr="003851D3" w:rsidRDefault="2D691C91" w:rsidP="7D04D8F9">
      <w:pPr>
        <w:spacing w:line="276" w:lineRule="auto"/>
        <w:rPr>
          <w:rFonts w:ascii="Open Sans" w:hAnsi="Open Sans" w:cs="Open Sans"/>
        </w:rPr>
      </w:pPr>
      <w:commentRangeStart w:id="0"/>
      <w:r w:rsidRPr="44747D9F">
        <w:rPr>
          <w:rFonts w:ascii="Open Sans" w:hAnsi="Open Sans" w:cs="Open Sans"/>
        </w:rPr>
        <w:t xml:space="preserve">Applicants may not include any Indirect Costs in their proposed budgets. All proposed costs must be categorized under one of the CMS Cost Categories as Direct Costs. Please see </w:t>
      </w:r>
      <w:hyperlink r:id="rId18">
        <w:r w:rsidR="38D53449" w:rsidRPr="44747D9F">
          <w:rPr>
            <w:rStyle w:val="Hyperlink"/>
            <w:rFonts w:ascii="Open Sans" w:hAnsi="Open Sans" w:cs="Open Sans"/>
            <w:b/>
            <w:bCs/>
          </w:rPr>
          <w:t>Section 4.E.</w:t>
        </w:r>
        <w:r w:rsidR="38D53449" w:rsidRPr="44747D9F">
          <w:rPr>
            <w:rStyle w:val="Hyperlink"/>
            <w:rFonts w:ascii="Open Sans" w:hAnsi="Open Sans" w:cs="Open Sans"/>
          </w:rPr>
          <w:t xml:space="preserve"> of the RFF Document</w:t>
        </w:r>
      </w:hyperlink>
      <w:r w:rsidRPr="44747D9F">
        <w:rPr>
          <w:rFonts w:ascii="Open Sans" w:hAnsi="Open Sans" w:cs="Open Sans"/>
        </w:rPr>
        <w:t xml:space="preserve"> for </w:t>
      </w:r>
      <w:commentRangeEnd w:id="0"/>
      <w:r w:rsidR="00B219A1" w:rsidRPr="44747D9F">
        <w:rPr>
          <w:rStyle w:val="CommentReference"/>
          <w:rFonts w:ascii="Open Sans" w:hAnsi="Open Sans" w:cs="Open Sans"/>
          <w:sz w:val="24"/>
          <w:szCs w:val="24"/>
        </w:rPr>
        <w:commentReference w:id="0"/>
      </w:r>
      <w:r w:rsidRPr="44747D9F">
        <w:rPr>
          <w:rFonts w:ascii="Open Sans" w:hAnsi="Open Sans" w:cs="Open Sans"/>
        </w:rPr>
        <w:t xml:space="preserve">guidance on preparing proposed budgets in alignment with CMS budget preparation guidelines, including </w:t>
      </w:r>
      <w:hyperlink r:id="rId22">
        <w:r w:rsidRPr="44747D9F">
          <w:rPr>
            <w:rStyle w:val="Hyperlink"/>
            <w:rFonts w:ascii="Open Sans" w:hAnsi="Open Sans" w:cs="Open Sans"/>
          </w:rPr>
          <w:t>2 CFR 200.412 - 414</w:t>
        </w:r>
      </w:hyperlink>
      <w:r w:rsidRPr="44747D9F">
        <w:rPr>
          <w:rFonts w:ascii="Open Sans" w:hAnsi="Open Sans" w:cs="Open Sans"/>
        </w:rPr>
        <w:t>.</w:t>
      </w:r>
    </w:p>
    <w:p w14:paraId="6CA65A08" w14:textId="18FBE2DC" w:rsidR="00B219A1" w:rsidRPr="00033E5B" w:rsidRDefault="00B219A1" w:rsidP="003851D3">
      <w:pPr>
        <w:pStyle w:val="Heading2"/>
        <w:spacing w:line="276" w:lineRule="auto"/>
        <w:rPr>
          <w:rFonts w:ascii="Open Sans" w:hAnsi="Open Sans" w:cs="Open Sans"/>
        </w:rPr>
      </w:pPr>
      <w:r w:rsidRPr="00033E5B">
        <w:rPr>
          <w:rFonts w:ascii="Open Sans" w:hAnsi="Open Sans" w:cs="Open Sans"/>
        </w:rPr>
        <w:t>D. Administrative Costs</w:t>
      </w:r>
    </w:p>
    <w:p w14:paraId="2F4106E7" w14:textId="77777777" w:rsidR="00B219A1" w:rsidRPr="003851D3" w:rsidRDefault="00B219A1" w:rsidP="003851D3">
      <w:pPr>
        <w:spacing w:line="276" w:lineRule="auto"/>
        <w:rPr>
          <w:rFonts w:ascii="Open Sans" w:hAnsi="Open Sans" w:cs="Open Sans"/>
        </w:rPr>
      </w:pPr>
      <w:r w:rsidRPr="003851D3">
        <w:rPr>
          <w:rFonts w:ascii="Open Sans" w:hAnsi="Open Sans" w:cs="Open Sans"/>
        </w:rPr>
        <w:t xml:space="preserve">Applicants may propose costs to support administration of grant funds, but the sum of all administrative costs must not exceed 10% of total proposed costs in a given Budget Period. Administrative costs must be identified in the Budget Workbook and would include, but is not limited to, the items listed below. Please see </w:t>
      </w:r>
      <w:hyperlink r:id="rId23" w:history="1">
        <w:r w:rsidRPr="003851D3">
          <w:rPr>
            <w:rStyle w:val="Hyperlink"/>
            <w:rFonts w:ascii="Open Sans" w:hAnsi="Open Sans" w:cs="Open Sans"/>
          </w:rPr>
          <w:t>2 CFR 200.412 - 414</w:t>
        </w:r>
      </w:hyperlink>
      <w:r w:rsidRPr="003851D3">
        <w:rPr>
          <w:rFonts w:ascii="Open Sans" w:hAnsi="Open Sans" w:cs="Open Sans"/>
        </w:rPr>
        <w:t xml:space="preserve"> for more detail on direct, indirect, and administrative costs.</w:t>
      </w:r>
    </w:p>
    <w:p w14:paraId="6CB2A90D" w14:textId="77777777" w:rsidR="00B219A1" w:rsidRPr="003851D3" w:rsidRDefault="00B219A1" w:rsidP="003851D3">
      <w:pPr>
        <w:numPr>
          <w:ilvl w:val="0"/>
          <w:numId w:val="8"/>
        </w:numPr>
        <w:spacing w:line="276" w:lineRule="auto"/>
        <w:rPr>
          <w:rFonts w:ascii="Open Sans" w:hAnsi="Open Sans" w:cs="Open Sans"/>
        </w:rPr>
      </w:pPr>
      <w:r w:rsidRPr="003851D3">
        <w:rPr>
          <w:rFonts w:ascii="Open Sans" w:hAnsi="Open Sans" w:cs="Open Sans"/>
        </w:rPr>
        <w:t>Personnel and fringe benefits costs for staff serving in an administrative role</w:t>
      </w:r>
    </w:p>
    <w:p w14:paraId="697401CB" w14:textId="32861DE2" w:rsidR="00B219A1" w:rsidRPr="003851D3" w:rsidRDefault="00B219A1" w:rsidP="003851D3">
      <w:pPr>
        <w:numPr>
          <w:ilvl w:val="0"/>
          <w:numId w:val="8"/>
        </w:numPr>
        <w:spacing w:line="276" w:lineRule="auto"/>
        <w:rPr>
          <w:rFonts w:ascii="Open Sans" w:hAnsi="Open Sans" w:cs="Open Sans"/>
        </w:rPr>
      </w:pPr>
      <w:r w:rsidRPr="003851D3">
        <w:rPr>
          <w:rFonts w:ascii="Open Sans" w:hAnsi="Open Sans" w:cs="Open Sans"/>
        </w:rPr>
        <w:t>All travel costs</w:t>
      </w:r>
    </w:p>
    <w:p w14:paraId="10277925" w14:textId="1698AAAB" w:rsidR="00B219A1" w:rsidRPr="00770D87" w:rsidRDefault="76EDE81B" w:rsidP="003851D3">
      <w:pPr>
        <w:pStyle w:val="Heading2"/>
        <w:spacing w:line="276" w:lineRule="auto"/>
        <w:rPr>
          <w:rFonts w:ascii="Open Sans" w:hAnsi="Open Sans" w:cs="Open Sans"/>
        </w:rPr>
      </w:pPr>
      <w:r w:rsidRPr="4051694F">
        <w:rPr>
          <w:rFonts w:ascii="Open Sans" w:hAnsi="Open Sans" w:cs="Open Sans"/>
        </w:rPr>
        <w:t xml:space="preserve">E. </w:t>
      </w:r>
      <w:r w:rsidR="359F2BBD" w:rsidRPr="4051694F">
        <w:rPr>
          <w:rFonts w:ascii="Open Sans" w:hAnsi="Open Sans" w:cs="Open Sans"/>
        </w:rPr>
        <w:t>Prohibition on Sub-Awards/Sub-Granting</w:t>
      </w:r>
      <w:r w:rsidR="00B219A1">
        <w:tab/>
      </w:r>
    </w:p>
    <w:p w14:paraId="6196AE37" w14:textId="3DE2B0BA" w:rsidR="00B219A1" w:rsidRPr="003851D3" w:rsidRDefault="00B219A1" w:rsidP="003851D3">
      <w:pPr>
        <w:spacing w:line="276" w:lineRule="auto"/>
        <w:rPr>
          <w:rFonts w:ascii="Open Sans" w:hAnsi="Open Sans" w:cs="Open Sans"/>
        </w:rPr>
      </w:pPr>
      <w:commentRangeStart w:id="1"/>
      <w:r w:rsidRPr="7D04D8F9">
        <w:rPr>
          <w:rFonts w:ascii="Open Sans" w:hAnsi="Open Sans" w:cs="Open Sans"/>
        </w:rPr>
        <w:t xml:space="preserve">Primary subrecipients will be prohibited from awarding funds granted by the State to other subrecipients via sub-awards/sub-grants. Primary subrecipients may still award funds to contractors. HHS regulation </w:t>
      </w:r>
      <w:hyperlink r:id="rId24">
        <w:r w:rsidRPr="7D04D8F9">
          <w:rPr>
            <w:rStyle w:val="Hyperlink"/>
            <w:rFonts w:ascii="Open Sans" w:hAnsi="Open Sans" w:cs="Open Sans"/>
          </w:rPr>
          <w:t>2 CFR 200.331 “Subrecipient and Contractor Determinations”</w:t>
        </w:r>
      </w:hyperlink>
      <w:r w:rsidRPr="7D04D8F9">
        <w:rPr>
          <w:rFonts w:ascii="Open Sans" w:hAnsi="Open Sans" w:cs="Open Sans"/>
        </w:rPr>
        <w:t xml:space="preserve"> provides guidance on the distinction between subrecipients and contractors.</w:t>
      </w:r>
      <w:commentRangeEnd w:id="1"/>
      <w:r w:rsidRPr="003851D3">
        <w:rPr>
          <w:rStyle w:val="CommentReference"/>
          <w:rFonts w:ascii="Open Sans" w:hAnsi="Open Sans" w:cs="Open Sans"/>
          <w:sz w:val="24"/>
          <w:szCs w:val="24"/>
        </w:rPr>
        <w:commentReference w:id="1"/>
      </w:r>
    </w:p>
    <w:p w14:paraId="54954C25" w14:textId="13AA6187" w:rsidR="00B219A1" w:rsidRPr="00770D87" w:rsidRDefault="00B219A1" w:rsidP="003851D3">
      <w:pPr>
        <w:pStyle w:val="Heading2"/>
        <w:spacing w:line="276" w:lineRule="auto"/>
        <w:rPr>
          <w:rFonts w:ascii="Open Sans" w:hAnsi="Open Sans" w:cs="Open Sans"/>
        </w:rPr>
      </w:pPr>
      <w:r w:rsidRPr="00770D87">
        <w:rPr>
          <w:rFonts w:ascii="Open Sans" w:hAnsi="Open Sans" w:cs="Open Sans"/>
        </w:rPr>
        <w:t xml:space="preserve">F. </w:t>
      </w:r>
      <w:r w:rsidR="15C85A04" w:rsidRPr="4051694F">
        <w:rPr>
          <w:rFonts w:ascii="Open Sans" w:hAnsi="Open Sans" w:cs="Open Sans"/>
        </w:rPr>
        <w:t>Salary Rate Limitation</w:t>
      </w:r>
    </w:p>
    <w:p w14:paraId="651A9EEB" w14:textId="427322BF" w:rsidR="00B219A1" w:rsidRPr="003851D3" w:rsidRDefault="2D691C91" w:rsidP="003851D3">
      <w:pPr>
        <w:spacing w:line="276" w:lineRule="auto"/>
        <w:rPr>
          <w:rFonts w:ascii="Open Sans" w:hAnsi="Open Sans" w:cs="Open Sans"/>
        </w:rPr>
      </w:pPr>
      <w:r w:rsidRPr="44747D9F">
        <w:rPr>
          <w:rFonts w:ascii="Open Sans" w:hAnsi="Open Sans" w:cs="Open Sans"/>
        </w:rPr>
        <w:t>The salary rate limitation in the current Appropriations Act applies to this program. As of January 202</w:t>
      </w:r>
      <w:r w:rsidR="14AE0599" w:rsidRPr="44747D9F">
        <w:rPr>
          <w:rFonts w:ascii="Open Sans" w:hAnsi="Open Sans" w:cs="Open Sans"/>
        </w:rPr>
        <w:t>6</w:t>
      </w:r>
      <w:r w:rsidRPr="44747D9F">
        <w:rPr>
          <w:rFonts w:ascii="Open Sans" w:hAnsi="Open Sans" w:cs="Open Sans"/>
        </w:rPr>
        <w:t>, the salary rate limitation is $225,700. Applicants may not propose salary costs for any individual staff member that exceed this amount per year. Personnel may receive salaries in excess of this limit, but only $225,700 may be drawn from RHT Program funds.</w:t>
      </w:r>
    </w:p>
    <w:p w14:paraId="4A483A7F" w14:textId="782FD7A4" w:rsidR="00B219A1" w:rsidRPr="005E48FE" w:rsidRDefault="00B219A1" w:rsidP="003851D3">
      <w:pPr>
        <w:pStyle w:val="Heading2"/>
        <w:spacing w:line="276" w:lineRule="auto"/>
        <w:rPr>
          <w:rFonts w:ascii="Open Sans" w:hAnsi="Open Sans" w:cs="Open Sans"/>
        </w:rPr>
      </w:pPr>
      <w:r w:rsidRPr="005E48FE">
        <w:rPr>
          <w:rFonts w:ascii="Open Sans" w:hAnsi="Open Sans" w:cs="Open Sans"/>
        </w:rPr>
        <w:t>F. Program Income</w:t>
      </w:r>
    </w:p>
    <w:p w14:paraId="6FABF0FA" w14:textId="7F234FD1" w:rsidR="0022547E" w:rsidRPr="003851D3" w:rsidRDefault="00B219A1" w:rsidP="003851D3">
      <w:pPr>
        <w:spacing w:line="276" w:lineRule="auto"/>
        <w:rPr>
          <w:rFonts w:ascii="Open Sans" w:hAnsi="Open Sans" w:cs="Open Sans"/>
        </w:rPr>
      </w:pPr>
      <w:r w:rsidRPr="7D04D8F9">
        <w:rPr>
          <w:rFonts w:ascii="Open Sans" w:hAnsi="Open Sans" w:cs="Open Sans"/>
        </w:rPr>
        <w:t xml:space="preserve">If a region earns any money from award-supported project activities (known as program income), it is the responsibility of the region to use it for the purposes and under the conditions of the award. Find more about program income at </w:t>
      </w:r>
      <w:hyperlink r:id="rId25">
        <w:r w:rsidRPr="7D04D8F9">
          <w:rPr>
            <w:rStyle w:val="Hyperlink"/>
            <w:rFonts w:ascii="Open Sans" w:hAnsi="Open Sans" w:cs="Open Sans"/>
          </w:rPr>
          <w:t>2 CFR 200.307</w:t>
        </w:r>
      </w:hyperlink>
      <w:r w:rsidRPr="7D04D8F9">
        <w:rPr>
          <w:rFonts w:ascii="Open Sans" w:hAnsi="Open Sans" w:cs="Open Sans"/>
        </w:rPr>
        <w:t>.</w:t>
      </w:r>
    </w:p>
    <w:p w14:paraId="53197C8F" w14:textId="3D99B3D0" w:rsidR="00E97FF6" w:rsidRDefault="7461C2BD" w:rsidP="4051694F">
      <w:pPr>
        <w:pStyle w:val="Heading2"/>
        <w:spacing w:line="276" w:lineRule="auto"/>
        <w:rPr>
          <w:rFonts w:ascii="Open Sans" w:hAnsi="Open Sans" w:cs="Open Sans"/>
        </w:rPr>
      </w:pPr>
      <w:r w:rsidRPr="4051694F">
        <w:rPr>
          <w:rFonts w:ascii="Open Sans" w:hAnsi="Open Sans" w:cs="Open Sans"/>
        </w:rPr>
        <w:t xml:space="preserve">G. </w:t>
      </w:r>
      <w:r w:rsidR="002F5744">
        <w:rPr>
          <w:rFonts w:ascii="Open Sans" w:hAnsi="Open Sans" w:cs="Open Sans"/>
        </w:rPr>
        <w:t xml:space="preserve">Additional </w:t>
      </w:r>
      <w:r w:rsidRPr="4051694F">
        <w:rPr>
          <w:rFonts w:ascii="Open Sans" w:hAnsi="Open Sans" w:cs="Open Sans"/>
        </w:rPr>
        <w:t>Primary Subrecipient Requirements</w:t>
      </w:r>
    </w:p>
    <w:p w14:paraId="546568A4" w14:textId="4901719B" w:rsidR="00E97FF6" w:rsidRDefault="7461C2BD" w:rsidP="4051694F">
      <w:pPr>
        <w:spacing w:after="0" w:line="257" w:lineRule="auto"/>
        <w:rPr>
          <w:rFonts w:ascii="Open Sans" w:eastAsia="Open Sans" w:hAnsi="Open Sans" w:cs="Open Sans"/>
          <w:b/>
          <w:bCs/>
        </w:rPr>
      </w:pPr>
      <w:r w:rsidRPr="4051694F">
        <w:rPr>
          <w:rFonts w:ascii="Open Sans" w:eastAsia="Open Sans" w:hAnsi="Open Sans" w:cs="Open Sans"/>
          <w:b/>
          <w:bCs/>
        </w:rPr>
        <w:t>Monitoring and Program Evaluation</w:t>
      </w:r>
    </w:p>
    <w:p w14:paraId="6077505A" w14:textId="7B8B2013" w:rsidR="00E97FF6" w:rsidRDefault="7461C2BD" w:rsidP="4051694F">
      <w:pPr>
        <w:spacing w:after="0" w:line="257" w:lineRule="auto"/>
        <w:rPr>
          <w:rFonts w:ascii="Open Sans" w:eastAsia="Open Sans" w:hAnsi="Open Sans" w:cs="Open Sans"/>
        </w:rPr>
      </w:pPr>
      <w:r w:rsidRPr="4051694F">
        <w:rPr>
          <w:rFonts w:ascii="Open Sans" w:eastAsia="Open Sans" w:hAnsi="Open Sans" w:cs="Open Sans"/>
        </w:rPr>
        <w:t>Contractor/grantee shall participate in all monitoring and program evaluation activities requested by CMS and/or its contractor(s).</w:t>
      </w:r>
    </w:p>
    <w:p w14:paraId="2EE462A3" w14:textId="6CA7541B" w:rsidR="00E97FF6" w:rsidRDefault="7461C2BD" w:rsidP="4051694F">
      <w:pPr>
        <w:spacing w:after="0" w:line="257" w:lineRule="auto"/>
        <w:rPr>
          <w:rFonts w:ascii="Open Sans" w:eastAsia="Open Sans" w:hAnsi="Open Sans" w:cs="Open Sans"/>
        </w:rPr>
      </w:pPr>
      <w:r w:rsidRPr="4051694F">
        <w:rPr>
          <w:rFonts w:ascii="Open Sans" w:eastAsia="Open Sans" w:hAnsi="Open Sans" w:cs="Open Sans"/>
        </w:rPr>
        <w:t xml:space="preserve"> </w:t>
      </w:r>
    </w:p>
    <w:p w14:paraId="1CC99675" w14:textId="3180C59A" w:rsidR="00E97FF6" w:rsidRDefault="7461C2BD" w:rsidP="4051694F">
      <w:pPr>
        <w:spacing w:after="0" w:line="257" w:lineRule="auto"/>
        <w:rPr>
          <w:rFonts w:ascii="Open Sans" w:eastAsia="Open Sans" w:hAnsi="Open Sans" w:cs="Open Sans"/>
          <w:b/>
          <w:bCs/>
        </w:rPr>
      </w:pPr>
      <w:r w:rsidRPr="4051694F">
        <w:rPr>
          <w:rFonts w:ascii="Open Sans" w:eastAsia="Open Sans" w:hAnsi="Open Sans" w:cs="Open Sans"/>
          <w:b/>
          <w:bCs/>
        </w:rPr>
        <w:t xml:space="preserve">Health Information Technology (HIT) Interoperability </w:t>
      </w:r>
    </w:p>
    <w:p w14:paraId="55766F45" w14:textId="6AE92E71" w:rsidR="00E97FF6" w:rsidRDefault="7461C2BD" w:rsidP="4051694F">
      <w:pPr>
        <w:spacing w:after="0" w:line="257" w:lineRule="auto"/>
        <w:rPr>
          <w:rFonts w:ascii="Open Sans" w:eastAsia="Open Sans" w:hAnsi="Open Sans" w:cs="Open Sans"/>
        </w:rPr>
      </w:pPr>
      <w:r w:rsidRPr="4051694F">
        <w:rPr>
          <w:rFonts w:ascii="Open Sans" w:eastAsia="Open Sans" w:hAnsi="Open Sans" w:cs="Open Sans"/>
        </w:rPr>
        <w:t xml:space="preserve">If the Contract/Grant implements, acquires, or upgrades health IT and the related standards support a related activity, the contractor/grantee is subject to the Health Information Technology and Interoperability requirements in </w:t>
      </w:r>
      <w:hyperlink r:id="rId26">
        <w:r w:rsidRPr="4051694F">
          <w:rPr>
            <w:rStyle w:val="Hyperlink"/>
            <w:rFonts w:ascii="Open Sans" w:eastAsia="Open Sans" w:hAnsi="Open Sans" w:cs="Open Sans"/>
          </w:rPr>
          <w:t>45 CFR part 170, subpart B</w:t>
        </w:r>
      </w:hyperlink>
      <w:r w:rsidRPr="4051694F">
        <w:rPr>
          <w:rFonts w:ascii="Open Sans" w:eastAsia="Open Sans" w:hAnsi="Open Sans" w:cs="Open Sans"/>
        </w:rPr>
        <w:t xml:space="preserve">. </w:t>
      </w:r>
    </w:p>
    <w:p w14:paraId="2317C1E7" w14:textId="1CCC4317" w:rsidR="00E97FF6" w:rsidRDefault="7461C2BD" w:rsidP="4051694F">
      <w:pPr>
        <w:spacing w:after="0" w:line="257" w:lineRule="auto"/>
        <w:rPr>
          <w:rFonts w:ascii="Open Sans" w:eastAsia="Open Sans" w:hAnsi="Open Sans" w:cs="Open Sans"/>
        </w:rPr>
      </w:pPr>
      <w:r w:rsidRPr="4051694F">
        <w:rPr>
          <w:rFonts w:ascii="Open Sans" w:eastAsia="Open Sans" w:hAnsi="Open Sans" w:cs="Open Sans"/>
        </w:rPr>
        <w:t xml:space="preserve"> </w:t>
      </w:r>
    </w:p>
    <w:p w14:paraId="68C69392" w14:textId="5BEC4E1E" w:rsidR="00E97FF6" w:rsidRDefault="7461C2BD" w:rsidP="4051694F">
      <w:pPr>
        <w:spacing w:after="0" w:line="257" w:lineRule="auto"/>
        <w:rPr>
          <w:rFonts w:ascii="Open Sans" w:eastAsia="Open Sans" w:hAnsi="Open Sans" w:cs="Open Sans"/>
          <w:b/>
          <w:bCs/>
        </w:rPr>
      </w:pPr>
      <w:r w:rsidRPr="4051694F">
        <w:rPr>
          <w:rFonts w:ascii="Open Sans" w:eastAsia="Open Sans" w:hAnsi="Open Sans" w:cs="Open Sans"/>
          <w:b/>
          <w:bCs/>
        </w:rPr>
        <w:t>Privacy and Security of Health Information</w:t>
      </w:r>
    </w:p>
    <w:p w14:paraId="72D50366" w14:textId="76AE159D" w:rsidR="00E97FF6" w:rsidRDefault="7461C2BD" w:rsidP="4051694F">
      <w:pPr>
        <w:spacing w:after="0" w:line="257" w:lineRule="auto"/>
        <w:rPr>
          <w:rFonts w:ascii="Open Sans" w:eastAsia="Open Sans" w:hAnsi="Open Sans" w:cs="Open Sans"/>
        </w:rPr>
      </w:pPr>
      <w:r w:rsidRPr="4051694F">
        <w:rPr>
          <w:rFonts w:ascii="Open Sans" w:eastAsia="Open Sans" w:hAnsi="Open Sans" w:cs="Open Sans"/>
        </w:rPr>
        <w:t xml:space="preserve">If the Contract/Grant involves individually identifiable health information, the Contractor/Grantee shall put all appropriate regulatory, administrative, technical, and physical safeguards in place before applicable program activities begin to protect the privacy and security of individually identifiable health information. In doing so, regardless of whether it is a covered entity (CE) or business associate (BA) as those terms are defined under the HIPAA Privacy Rule, the recipient shall ensure its own and its contractors’ policies and procedures are at least as stringent (i.e., protective of privacy) as those governing the use and disclosure of protected health information by HIPAA CEs and their BAs under </w:t>
      </w:r>
      <w:hyperlink r:id="rId27">
        <w:r w:rsidRPr="4051694F">
          <w:rPr>
            <w:rStyle w:val="Hyperlink"/>
            <w:rFonts w:ascii="Open Sans" w:eastAsia="Open Sans" w:hAnsi="Open Sans" w:cs="Open Sans"/>
          </w:rPr>
          <w:t>45 CFR Part 160</w:t>
        </w:r>
      </w:hyperlink>
      <w:r w:rsidRPr="4051694F">
        <w:rPr>
          <w:rFonts w:ascii="Open Sans" w:eastAsia="Open Sans" w:hAnsi="Open Sans" w:cs="Open Sans"/>
        </w:rPr>
        <w:t xml:space="preserve"> and </w:t>
      </w:r>
      <w:hyperlink r:id="rId28">
        <w:r w:rsidRPr="4051694F">
          <w:rPr>
            <w:rStyle w:val="Hyperlink"/>
            <w:rFonts w:ascii="Open Sans" w:eastAsia="Open Sans" w:hAnsi="Open Sans" w:cs="Open Sans"/>
          </w:rPr>
          <w:t>45 CFR Part 164</w:t>
        </w:r>
      </w:hyperlink>
      <w:r w:rsidRPr="4051694F">
        <w:rPr>
          <w:rFonts w:ascii="Open Sans" w:eastAsia="Open Sans" w:hAnsi="Open Sans" w:cs="Open Sans"/>
        </w:rPr>
        <w:t>.</w:t>
      </w:r>
    </w:p>
    <w:p w14:paraId="6F52538B" w14:textId="4321C54E" w:rsidR="00E97FF6" w:rsidRDefault="00E97FF6" w:rsidP="4051694F">
      <w:pPr>
        <w:spacing w:after="0" w:line="257" w:lineRule="auto"/>
        <w:rPr>
          <w:rFonts w:ascii="Open Sans" w:eastAsia="Open Sans" w:hAnsi="Open Sans" w:cs="Open Sans"/>
        </w:rPr>
      </w:pPr>
    </w:p>
    <w:p w14:paraId="0EEA039A" w14:textId="374EA768" w:rsidR="00E97FF6" w:rsidRDefault="7461C2BD" w:rsidP="4051694F">
      <w:pPr>
        <w:spacing w:after="0" w:line="257" w:lineRule="auto"/>
        <w:rPr>
          <w:rFonts w:ascii="Open Sans" w:eastAsia="Open Sans" w:hAnsi="Open Sans" w:cs="Open Sans"/>
          <w:b/>
          <w:bCs/>
        </w:rPr>
      </w:pPr>
      <w:r w:rsidRPr="4051694F">
        <w:rPr>
          <w:rFonts w:ascii="Open Sans" w:eastAsia="Open Sans" w:hAnsi="Open Sans" w:cs="Open Sans"/>
          <w:b/>
          <w:bCs/>
        </w:rPr>
        <w:t>Publications and Acknowledgement of Support</w:t>
      </w:r>
    </w:p>
    <w:p w14:paraId="7FE425A2" w14:textId="512FF972" w:rsidR="00E97FF6" w:rsidRDefault="7461C2BD" w:rsidP="4051694F">
      <w:pPr>
        <w:spacing w:after="0" w:line="257" w:lineRule="auto"/>
        <w:rPr>
          <w:rFonts w:ascii="Open Sans" w:eastAsia="Open Sans" w:hAnsi="Open Sans" w:cs="Open Sans"/>
        </w:rPr>
      </w:pPr>
      <w:r w:rsidRPr="4051694F">
        <w:rPr>
          <w:rFonts w:ascii="Open Sans" w:eastAsia="Open Sans" w:hAnsi="Open Sans" w:cs="Open Sans"/>
        </w:rPr>
        <w:t xml:space="preserve">When issuing statements, press releases, publications, and other documents – such as toolkits, resource guides, websites, and presentations – describing the projects or programs funded in whole or in part with HHS funds, the Contractor/Grantee must clearly state: </w:t>
      </w:r>
    </w:p>
    <w:p w14:paraId="5B70AFE5" w14:textId="02103A86" w:rsidR="00E97FF6" w:rsidRDefault="7F6C82EF" w:rsidP="44747D9F">
      <w:pPr>
        <w:pStyle w:val="ListParagraph"/>
        <w:numPr>
          <w:ilvl w:val="0"/>
          <w:numId w:val="1"/>
        </w:numPr>
        <w:spacing w:after="0" w:line="257" w:lineRule="auto"/>
        <w:rPr>
          <w:rFonts w:ascii="Open Sans" w:eastAsia="Open Sans" w:hAnsi="Open Sans" w:cs="Open Sans"/>
        </w:rPr>
      </w:pPr>
      <w:r w:rsidRPr="44747D9F">
        <w:rPr>
          <w:rFonts w:ascii="Open Sans" w:eastAsia="Open Sans" w:hAnsi="Open Sans" w:cs="Open Sans"/>
        </w:rPr>
        <w:t xml:space="preserve">the percentage and dollar amount of the total costs of the program or project funded with Federal money; and </w:t>
      </w:r>
    </w:p>
    <w:p w14:paraId="2452307E" w14:textId="17C15285" w:rsidR="00E97FF6" w:rsidRDefault="7F6C82EF" w:rsidP="44747D9F">
      <w:pPr>
        <w:pStyle w:val="ListParagraph"/>
        <w:numPr>
          <w:ilvl w:val="0"/>
          <w:numId w:val="1"/>
        </w:numPr>
        <w:spacing w:after="0" w:line="257" w:lineRule="auto"/>
        <w:rPr>
          <w:rFonts w:ascii="Open Sans" w:eastAsia="Open Sans" w:hAnsi="Open Sans" w:cs="Open Sans"/>
        </w:rPr>
      </w:pPr>
      <w:r w:rsidRPr="44747D9F">
        <w:rPr>
          <w:rFonts w:ascii="Open Sans" w:eastAsia="Open Sans" w:hAnsi="Open Sans" w:cs="Open Sans"/>
        </w:rPr>
        <w:t xml:space="preserve">the percentage and dollar amount of the total costs of the project or program funded by non-governmental sources. Acknowledgement of Support When issuing statements resulting from activities supported by HHS financial assistance, the recipient entity must include an acknowledgement of federal assistance using one of the following or a similar statement (see immediately below). </w:t>
      </w:r>
    </w:p>
    <w:p w14:paraId="29B12A40" w14:textId="01496C72" w:rsidR="00E97FF6" w:rsidRDefault="7461C2BD" w:rsidP="4051694F">
      <w:pPr>
        <w:spacing w:after="0" w:line="257" w:lineRule="auto"/>
        <w:rPr>
          <w:rFonts w:ascii="Open Sans" w:eastAsia="Open Sans" w:hAnsi="Open Sans" w:cs="Open Sans"/>
        </w:rPr>
      </w:pPr>
      <w:r w:rsidRPr="4051694F">
        <w:rPr>
          <w:rFonts w:ascii="Open Sans" w:eastAsia="Open Sans" w:hAnsi="Open Sans" w:cs="Open Sans"/>
        </w:rPr>
        <w:t xml:space="preserve"> </w:t>
      </w:r>
    </w:p>
    <w:p w14:paraId="7BC7B4AD" w14:textId="367A4561" w:rsidR="00E97FF6" w:rsidRDefault="7461C2BD" w:rsidP="4051694F">
      <w:pPr>
        <w:spacing w:after="0" w:line="257" w:lineRule="auto"/>
        <w:rPr>
          <w:rFonts w:ascii="Open Sans" w:eastAsia="Open Sans" w:hAnsi="Open Sans" w:cs="Open Sans"/>
        </w:rPr>
      </w:pPr>
      <w:r w:rsidRPr="4051694F">
        <w:rPr>
          <w:rFonts w:ascii="Open Sans" w:eastAsia="Open Sans" w:hAnsi="Open Sans" w:cs="Open Sans"/>
        </w:rPr>
        <w:t xml:space="preserve">If the HHS grant or cooperative agreement is NOT funded with other non-governmental sources: This </w:t>
      </w:r>
      <w:r w:rsidRPr="4051694F">
        <w:rPr>
          <w:rFonts w:ascii="Open Sans" w:eastAsia="Open Sans" w:hAnsi="Open Sans" w:cs="Open Sans"/>
          <w:b/>
          <w:bCs/>
        </w:rPr>
        <w:t xml:space="preserve">[project/publication/program/website, etc.] [is/was] </w:t>
      </w:r>
      <w:r w:rsidRPr="4051694F">
        <w:rPr>
          <w:rFonts w:ascii="Open Sans" w:eastAsia="Open Sans" w:hAnsi="Open Sans" w:cs="Open Sans"/>
        </w:rPr>
        <w:t>supported by the Centers for Medicare &amp; Medicaid Services (CMS) of the U.S. Department of Health and</w:t>
      </w:r>
    </w:p>
    <w:p w14:paraId="33B404BF" w14:textId="0828713A" w:rsidR="00E97FF6" w:rsidRDefault="7461C2BD" w:rsidP="4051694F">
      <w:pPr>
        <w:spacing w:line="257" w:lineRule="auto"/>
        <w:rPr>
          <w:rFonts w:ascii="Open Sans" w:eastAsia="Open Sans" w:hAnsi="Open Sans" w:cs="Open Sans"/>
        </w:rPr>
      </w:pPr>
      <w:r w:rsidRPr="4051694F">
        <w:rPr>
          <w:rFonts w:ascii="Open Sans" w:eastAsia="Open Sans" w:hAnsi="Open Sans" w:cs="Open Sans"/>
        </w:rPr>
        <w:t>Human</w:t>
      </w:r>
    </w:p>
    <w:p w14:paraId="0AC296C6" w14:textId="3E1ACEFC" w:rsidR="00E97FF6" w:rsidRDefault="7461C2BD" w:rsidP="4051694F">
      <w:pPr>
        <w:spacing w:line="257" w:lineRule="auto"/>
        <w:rPr>
          <w:rFonts w:ascii="Open Sans" w:eastAsia="Open Sans" w:hAnsi="Open Sans" w:cs="Open Sans"/>
        </w:rPr>
      </w:pPr>
      <w:r w:rsidRPr="4051694F">
        <w:rPr>
          <w:rFonts w:ascii="Open Sans" w:eastAsia="Open Sans" w:hAnsi="Open Sans" w:cs="Open Sans"/>
        </w:rPr>
        <w:t xml:space="preserve">Services (HHS) as part of a financial assistance award totaling </w:t>
      </w:r>
      <w:r w:rsidRPr="4051694F">
        <w:rPr>
          <w:rFonts w:ascii="Open Sans" w:eastAsia="Open Sans" w:hAnsi="Open Sans" w:cs="Open Sans"/>
          <w:b/>
          <w:bCs/>
        </w:rPr>
        <w:t xml:space="preserve">$XX </w:t>
      </w:r>
      <w:r w:rsidRPr="4051694F">
        <w:rPr>
          <w:rFonts w:ascii="Open Sans" w:eastAsia="Open Sans" w:hAnsi="Open Sans" w:cs="Open Sans"/>
        </w:rPr>
        <w:t xml:space="preserve">with 100 percent funded by CMS/HHS. The contents are those of the author(s) and do not necessarily represent the official views of, nor an endorsement, by CMS/HHS, or the U.S. Government. </w:t>
      </w:r>
    </w:p>
    <w:p w14:paraId="7E3E1F6F" w14:textId="7948B5E2" w:rsidR="00E97FF6" w:rsidRDefault="7461C2BD" w:rsidP="4051694F">
      <w:pPr>
        <w:spacing w:line="257" w:lineRule="auto"/>
        <w:rPr>
          <w:rFonts w:ascii="Open Sans" w:eastAsia="Open Sans" w:hAnsi="Open Sans" w:cs="Open Sans"/>
        </w:rPr>
      </w:pPr>
      <w:r w:rsidRPr="4051694F">
        <w:rPr>
          <w:rFonts w:ascii="Open Sans" w:eastAsia="Open Sans" w:hAnsi="Open Sans" w:cs="Open Sans"/>
        </w:rPr>
        <w:t xml:space="preserve">The HHS grant or cooperative agreement IS partially funded with other nongovernmental sources: This </w:t>
      </w:r>
      <w:r w:rsidRPr="4051694F">
        <w:rPr>
          <w:rFonts w:ascii="Open Sans" w:eastAsia="Open Sans" w:hAnsi="Open Sans" w:cs="Open Sans"/>
          <w:b/>
          <w:bCs/>
        </w:rPr>
        <w:t xml:space="preserve">[project/publication/program/website, etc.] [is/was] </w:t>
      </w:r>
      <w:r w:rsidRPr="4051694F">
        <w:rPr>
          <w:rFonts w:ascii="Open Sans" w:eastAsia="Open Sans" w:hAnsi="Open Sans" w:cs="Open Sans"/>
        </w:rPr>
        <w:t xml:space="preserve">supported by the Centers for Medicare &amp; Medicaid Services (CMS) of the U.S. Department of Health and Human Services (HHS) as part of a financial assistance award totaling </w:t>
      </w:r>
      <w:r w:rsidRPr="4051694F">
        <w:rPr>
          <w:rFonts w:ascii="Open Sans" w:eastAsia="Open Sans" w:hAnsi="Open Sans" w:cs="Open Sans"/>
          <w:b/>
          <w:bCs/>
        </w:rPr>
        <w:t xml:space="preserve">$XX </w:t>
      </w:r>
      <w:r w:rsidRPr="4051694F">
        <w:rPr>
          <w:rFonts w:ascii="Open Sans" w:eastAsia="Open Sans" w:hAnsi="Open Sans" w:cs="Open Sans"/>
        </w:rPr>
        <w:t xml:space="preserve">with </w:t>
      </w:r>
      <w:r w:rsidRPr="4051694F">
        <w:rPr>
          <w:rFonts w:ascii="Open Sans" w:eastAsia="Open Sans" w:hAnsi="Open Sans" w:cs="Open Sans"/>
          <w:b/>
          <w:bCs/>
        </w:rPr>
        <w:t xml:space="preserve">XX </w:t>
      </w:r>
      <w:r w:rsidRPr="4051694F">
        <w:rPr>
          <w:rFonts w:ascii="Open Sans" w:eastAsia="Open Sans" w:hAnsi="Open Sans" w:cs="Open Sans"/>
        </w:rPr>
        <w:t xml:space="preserve">percentage funded by CMS/HHS and </w:t>
      </w:r>
      <w:r w:rsidRPr="4051694F">
        <w:rPr>
          <w:rFonts w:ascii="Open Sans" w:eastAsia="Open Sans" w:hAnsi="Open Sans" w:cs="Open Sans"/>
          <w:b/>
          <w:bCs/>
        </w:rPr>
        <w:t xml:space="preserve">$XX </w:t>
      </w:r>
      <w:r w:rsidRPr="4051694F">
        <w:rPr>
          <w:rFonts w:ascii="Open Sans" w:eastAsia="Open Sans" w:hAnsi="Open Sans" w:cs="Open Sans"/>
        </w:rPr>
        <w:t xml:space="preserve">amount and </w:t>
      </w:r>
      <w:r w:rsidRPr="4051694F">
        <w:rPr>
          <w:rFonts w:ascii="Open Sans" w:eastAsia="Open Sans" w:hAnsi="Open Sans" w:cs="Open Sans"/>
          <w:b/>
          <w:bCs/>
        </w:rPr>
        <w:t xml:space="preserve">XX </w:t>
      </w:r>
      <w:r w:rsidRPr="4051694F">
        <w:rPr>
          <w:rFonts w:ascii="Open Sans" w:eastAsia="Open Sans" w:hAnsi="Open Sans" w:cs="Open Sans"/>
        </w:rPr>
        <w:t>percentage funded by non-government source(s). The contents are those of the author(s) and do not necessarily represent the official views of, nor an endorsement, by CMS/HHS, or the U.S. Government.</w:t>
      </w:r>
    </w:p>
    <w:p w14:paraId="1A3899DC" w14:textId="1826788B" w:rsidR="00E97FF6" w:rsidRDefault="7461C2BD" w:rsidP="4051694F">
      <w:pPr>
        <w:spacing w:line="257" w:lineRule="auto"/>
        <w:rPr>
          <w:rFonts w:ascii="Open Sans" w:eastAsia="Open Sans" w:hAnsi="Open Sans" w:cs="Open Sans"/>
          <w:b/>
          <w:bCs/>
        </w:rPr>
      </w:pPr>
      <w:r w:rsidRPr="4051694F">
        <w:rPr>
          <w:rFonts w:ascii="Open Sans" w:eastAsia="Open Sans" w:hAnsi="Open Sans" w:cs="Open Sans"/>
          <w:b/>
          <w:bCs/>
        </w:rPr>
        <w:t xml:space="preserve">Review by CMS </w:t>
      </w:r>
    </w:p>
    <w:p w14:paraId="7C1AE76C" w14:textId="6D0F2E17" w:rsidR="00E97FF6" w:rsidRDefault="7F6C82EF" w:rsidP="44747D9F">
      <w:pPr>
        <w:spacing w:after="240" w:line="257" w:lineRule="auto"/>
        <w:ind w:left="720"/>
        <w:rPr>
          <w:rFonts w:ascii="Open Sans" w:eastAsia="Open Sans" w:hAnsi="Open Sans" w:cs="Open Sans"/>
        </w:rPr>
      </w:pPr>
      <w:r w:rsidRPr="44747D9F">
        <w:rPr>
          <w:rFonts w:ascii="Open Sans" w:eastAsia="Open Sans" w:hAnsi="Open Sans" w:cs="Open Sans"/>
        </w:rPr>
        <w:t>(a) Contractor/Grantee shall submit the following to the CMS PO for review:</w:t>
      </w:r>
    </w:p>
    <w:p w14:paraId="524582A8" w14:textId="2351A66A" w:rsidR="00E97FF6" w:rsidRDefault="7F6C82EF" w:rsidP="44747D9F">
      <w:pPr>
        <w:spacing w:after="240" w:line="257" w:lineRule="auto"/>
        <w:ind w:left="720" w:firstLine="720"/>
        <w:rPr>
          <w:rFonts w:ascii="Open Sans" w:eastAsia="Open Sans" w:hAnsi="Open Sans" w:cs="Open Sans"/>
        </w:rPr>
      </w:pPr>
      <w:r w:rsidRPr="44747D9F">
        <w:rPr>
          <w:rFonts w:ascii="Open Sans" w:eastAsia="Open Sans" w:hAnsi="Open Sans" w:cs="Open Sans"/>
        </w:rPr>
        <w:t>(i) At least 30 days prior to its release:</w:t>
      </w:r>
    </w:p>
    <w:p w14:paraId="3DB56CA0" w14:textId="6F89148A" w:rsidR="00E97FF6" w:rsidRDefault="7F6C82EF" w:rsidP="44747D9F">
      <w:pPr>
        <w:pStyle w:val="ListParagraph"/>
        <w:numPr>
          <w:ilvl w:val="0"/>
          <w:numId w:val="10"/>
        </w:numPr>
        <w:spacing w:after="240" w:line="257" w:lineRule="auto"/>
        <w:rPr>
          <w:rFonts w:ascii="Open Sans" w:eastAsia="Open Sans" w:hAnsi="Open Sans" w:cs="Open Sans"/>
        </w:rPr>
      </w:pPr>
      <w:r w:rsidRPr="44747D9F">
        <w:rPr>
          <w:rFonts w:ascii="Open Sans" w:eastAsia="Open Sans" w:hAnsi="Open Sans" w:cs="Open Sans"/>
        </w:rPr>
        <w:t xml:space="preserve">publications that report results from or describe information obtained through this award. </w:t>
      </w:r>
    </w:p>
    <w:p w14:paraId="1854A3BE" w14:textId="5431B593" w:rsidR="00E97FF6" w:rsidRDefault="7F6C82EF" w:rsidP="44747D9F">
      <w:pPr>
        <w:pStyle w:val="ListParagraph"/>
        <w:numPr>
          <w:ilvl w:val="0"/>
          <w:numId w:val="10"/>
        </w:numPr>
        <w:spacing w:after="240" w:line="257" w:lineRule="auto"/>
        <w:rPr>
          <w:rFonts w:ascii="Open Sans" w:eastAsia="Open Sans" w:hAnsi="Open Sans" w:cs="Open Sans"/>
        </w:rPr>
      </w:pPr>
      <w:r w:rsidRPr="44747D9F">
        <w:rPr>
          <w:rFonts w:ascii="Open Sans" w:eastAsia="Open Sans" w:hAnsi="Open Sans" w:cs="Open Sans"/>
        </w:rPr>
        <w:t>any external formal presentation of any report or statistical or analytical material based on information obtained through this award. Formal presentation includes papers, articles, professional publication, speeches, and testimony.</w:t>
      </w:r>
    </w:p>
    <w:p w14:paraId="6E91BBA6" w14:textId="2D4CBF2D" w:rsidR="00E97FF6" w:rsidRDefault="7F6C82EF" w:rsidP="44747D9F">
      <w:pPr>
        <w:pStyle w:val="ListParagraph"/>
        <w:numPr>
          <w:ilvl w:val="0"/>
          <w:numId w:val="10"/>
        </w:numPr>
        <w:spacing w:after="240" w:line="257" w:lineRule="auto"/>
        <w:rPr>
          <w:rFonts w:ascii="Open Sans" w:eastAsia="Open Sans" w:hAnsi="Open Sans" w:cs="Open Sans"/>
        </w:rPr>
      </w:pPr>
      <w:r w:rsidRPr="44747D9F">
        <w:rPr>
          <w:rFonts w:ascii="Open Sans" w:eastAsia="Open Sans" w:hAnsi="Open Sans" w:cs="Open Sans"/>
        </w:rPr>
        <w:t xml:space="preserve">external presentation-related material, such as abstracts, power point presentations or other slide decks, posters, and videos.  </w:t>
      </w:r>
    </w:p>
    <w:p w14:paraId="37437DD3" w14:textId="65E3622C" w:rsidR="00E97FF6" w:rsidRDefault="7F6C82EF" w:rsidP="44747D9F">
      <w:pPr>
        <w:pStyle w:val="ListParagraph"/>
        <w:numPr>
          <w:ilvl w:val="0"/>
          <w:numId w:val="10"/>
        </w:numPr>
        <w:spacing w:after="240" w:line="257" w:lineRule="auto"/>
        <w:rPr>
          <w:rFonts w:ascii="Open Sans" w:eastAsia="Open Sans" w:hAnsi="Open Sans" w:cs="Open Sans"/>
        </w:rPr>
      </w:pPr>
      <w:r w:rsidRPr="44747D9F">
        <w:rPr>
          <w:rFonts w:ascii="Open Sans" w:eastAsia="Open Sans" w:hAnsi="Open Sans" w:cs="Open Sans"/>
        </w:rPr>
        <w:t xml:space="preserve">all public materials specific to the program including but not limited to, brochures, recruitment materials, informational materials, advertisements, website copy, website pages, videos, and op-ed articles. </w:t>
      </w:r>
    </w:p>
    <w:p w14:paraId="44794D89" w14:textId="098402C5" w:rsidR="00E97FF6" w:rsidRDefault="7F6C82EF" w:rsidP="44747D9F">
      <w:pPr>
        <w:spacing w:after="240" w:line="257" w:lineRule="auto"/>
        <w:ind w:left="720" w:firstLine="720"/>
        <w:rPr>
          <w:rFonts w:ascii="Open Sans" w:eastAsia="Open Sans" w:hAnsi="Open Sans" w:cs="Open Sans"/>
        </w:rPr>
      </w:pPr>
      <w:r w:rsidRPr="44747D9F">
        <w:rPr>
          <w:rFonts w:ascii="Open Sans" w:eastAsia="Open Sans" w:hAnsi="Open Sans" w:cs="Open Sans"/>
        </w:rPr>
        <w:t>(ii) At least 7 days prior to release:</w:t>
      </w:r>
    </w:p>
    <w:p w14:paraId="31BAE6EE" w14:textId="38BA6356" w:rsidR="00E97FF6" w:rsidRDefault="7F6C82EF" w:rsidP="44747D9F">
      <w:pPr>
        <w:pStyle w:val="ListParagraph"/>
        <w:numPr>
          <w:ilvl w:val="0"/>
          <w:numId w:val="9"/>
        </w:numPr>
        <w:spacing w:after="240" w:line="257" w:lineRule="auto"/>
        <w:rPr>
          <w:rFonts w:ascii="Open Sans" w:eastAsia="Open Sans" w:hAnsi="Open Sans" w:cs="Open Sans"/>
        </w:rPr>
      </w:pPr>
      <w:r w:rsidRPr="44747D9F">
        <w:rPr>
          <w:rFonts w:ascii="Open Sans" w:eastAsia="Open Sans" w:hAnsi="Open Sans" w:cs="Open Sans"/>
        </w:rPr>
        <w:t xml:space="preserve">any press release or media advisory concerning the outcome of activities supported through this award. </w:t>
      </w:r>
    </w:p>
    <w:p w14:paraId="44D691EA" w14:textId="714BF119" w:rsidR="00E97FF6" w:rsidRDefault="7F6C82EF" w:rsidP="44747D9F">
      <w:pPr>
        <w:pStyle w:val="ListParagraph"/>
        <w:numPr>
          <w:ilvl w:val="0"/>
          <w:numId w:val="9"/>
        </w:numPr>
        <w:spacing w:after="240" w:line="257" w:lineRule="auto"/>
        <w:rPr>
          <w:rFonts w:ascii="Open Sans" w:eastAsia="Open Sans" w:hAnsi="Open Sans" w:cs="Open Sans"/>
        </w:rPr>
      </w:pPr>
      <w:r w:rsidRPr="44747D9F">
        <w:rPr>
          <w:rFonts w:ascii="Open Sans" w:eastAsia="Open Sans" w:hAnsi="Open Sans" w:cs="Open Sans"/>
        </w:rPr>
        <w:t>all media interviews, media requests, releases of information, filming, and broadcasts.</w:t>
      </w:r>
    </w:p>
    <w:p w14:paraId="097B0282" w14:textId="3FF38093" w:rsidR="00E97FF6" w:rsidRDefault="7F6C82EF" w:rsidP="44747D9F">
      <w:pPr>
        <w:spacing w:after="240" w:line="257" w:lineRule="auto"/>
        <w:ind w:left="720"/>
        <w:rPr>
          <w:rFonts w:ascii="Open Sans" w:eastAsia="Open Sans" w:hAnsi="Open Sans" w:cs="Open Sans"/>
        </w:rPr>
      </w:pPr>
      <w:r w:rsidRPr="44747D9F">
        <w:rPr>
          <w:rFonts w:ascii="Open Sans" w:eastAsia="Open Sans" w:hAnsi="Open Sans" w:cs="Open Sans"/>
        </w:rPr>
        <w:t xml:space="preserve">(b) For 1 year after completion of the project, the Contractor/Grantee shall continue to submit for review and comment all publications, presentations, and communications resulting from this award or based on information obtained through this award, including papers, articles, professional publications, power point presentations, posters, speeches, announcements, and testimony in any format, including digital technology. </w:t>
      </w:r>
    </w:p>
    <w:p w14:paraId="3CFE21DB" w14:textId="37ABD1EB" w:rsidR="00E97FF6" w:rsidRDefault="7F6C82EF" w:rsidP="44747D9F">
      <w:pPr>
        <w:spacing w:after="240" w:line="257" w:lineRule="auto"/>
        <w:ind w:left="720"/>
        <w:rPr>
          <w:rFonts w:ascii="Open Sans" w:eastAsia="Open Sans" w:hAnsi="Open Sans" w:cs="Open Sans"/>
        </w:rPr>
      </w:pPr>
      <w:r w:rsidRPr="44747D9F">
        <w:rPr>
          <w:rFonts w:ascii="Open Sans" w:eastAsia="Open Sans" w:hAnsi="Open Sans" w:cs="Open Sans"/>
        </w:rPr>
        <w:t xml:space="preserve">(c) It is the policy of the HHS that the Contractor/Grantee must communicate to CMS how the dollar amounts and funding percentages are calculated, including whether or not indirect costs have been incorporated. Contractor/Grantee must submit this information to CMS for review and comment for each applicable type of result/accomplishment according to the same timeline schedule outlined in (a). </w:t>
      </w:r>
    </w:p>
    <w:p w14:paraId="1BE952BE" w14:textId="16BCDB56" w:rsidR="00E97FF6" w:rsidRDefault="7F6C82EF" w:rsidP="44747D9F">
      <w:pPr>
        <w:spacing w:after="240" w:line="257" w:lineRule="auto"/>
        <w:ind w:left="720"/>
        <w:rPr>
          <w:rFonts w:ascii="Open Sans" w:eastAsia="Open Sans" w:hAnsi="Open Sans" w:cs="Open Sans"/>
        </w:rPr>
      </w:pPr>
      <w:r w:rsidRPr="44747D9F">
        <w:rPr>
          <w:rFonts w:ascii="Open Sans" w:eastAsia="Open Sans" w:hAnsi="Open Sans" w:cs="Open Sans"/>
        </w:rPr>
        <w:t xml:space="preserve">(d) Specifically excluded from the review and comment process are internal presentations, information discussions, in general, class lectures, and informal meetings and conversations with community leaders. However, if such a presentation or slide deck is later re-purposed for a public event, it will need to be submitted in advance for CMS review. </w:t>
      </w:r>
    </w:p>
    <w:p w14:paraId="26BE1434" w14:textId="4E22C847" w:rsidR="00E97FF6" w:rsidRDefault="7F6C82EF" w:rsidP="44747D9F">
      <w:pPr>
        <w:spacing w:after="240" w:line="257" w:lineRule="auto"/>
        <w:ind w:left="720"/>
        <w:rPr>
          <w:rFonts w:ascii="Open Sans" w:eastAsia="Open Sans" w:hAnsi="Open Sans" w:cs="Open Sans"/>
        </w:rPr>
      </w:pPr>
      <w:r w:rsidRPr="44747D9F">
        <w:rPr>
          <w:rFonts w:ascii="Open Sans" w:eastAsia="Open Sans" w:hAnsi="Open Sans" w:cs="Open Sans"/>
        </w:rPr>
        <w:t>(e) One copy of each publication resulting from work performed under an HHS grant- supported project must accompany the final progress report.</w:t>
      </w:r>
    </w:p>
    <w:p w14:paraId="66CFEE2A" w14:textId="56034901" w:rsidR="7461C2BD" w:rsidRDefault="7461C2BD" w:rsidP="4051694F">
      <w:pPr>
        <w:spacing w:after="0" w:line="257" w:lineRule="auto"/>
        <w:rPr>
          <w:rFonts w:ascii="Open Sans" w:eastAsia="Open Sans" w:hAnsi="Open Sans" w:cs="Open Sans"/>
          <w:b/>
          <w:bCs/>
        </w:rPr>
      </w:pPr>
      <w:r w:rsidRPr="4051694F">
        <w:rPr>
          <w:rFonts w:ascii="Open Sans" w:eastAsia="Open Sans" w:hAnsi="Open Sans" w:cs="Open Sans"/>
          <w:b/>
          <w:bCs/>
        </w:rPr>
        <w:t>Additional Requirements</w:t>
      </w:r>
    </w:p>
    <w:p w14:paraId="0DAC8C5E" w14:textId="282C0AB8" w:rsidR="7461C2BD" w:rsidRDefault="7461C2BD" w:rsidP="4051694F">
      <w:pPr>
        <w:spacing w:after="0" w:line="257" w:lineRule="auto"/>
        <w:rPr>
          <w:rFonts w:ascii="Open Sans" w:eastAsia="Open Sans" w:hAnsi="Open Sans" w:cs="Open Sans"/>
        </w:rPr>
      </w:pPr>
      <w:r w:rsidRPr="4051694F">
        <w:rPr>
          <w:rFonts w:ascii="Open Sans" w:eastAsia="Open Sans" w:hAnsi="Open Sans" w:cs="Open Sans"/>
        </w:rPr>
        <w:t>The Contractor/Grantee must comply with:</w:t>
      </w:r>
    </w:p>
    <w:p w14:paraId="5FEBA02C" w14:textId="1E290B88" w:rsidR="7461C2BD" w:rsidRDefault="7461C2BD" w:rsidP="4051694F">
      <w:pPr>
        <w:pStyle w:val="ListParagraph"/>
        <w:numPr>
          <w:ilvl w:val="0"/>
          <w:numId w:val="12"/>
        </w:numPr>
        <w:spacing w:after="0" w:line="257" w:lineRule="auto"/>
        <w:rPr>
          <w:rFonts w:ascii="Open Sans" w:eastAsia="Open Sans" w:hAnsi="Open Sans" w:cs="Open Sans"/>
        </w:rPr>
      </w:pPr>
      <w:hyperlink r:id="rId29">
        <w:r w:rsidRPr="4051694F">
          <w:rPr>
            <w:rStyle w:val="Hyperlink"/>
            <w:rFonts w:ascii="Open Sans" w:eastAsia="Open Sans" w:hAnsi="Open Sans" w:cs="Open Sans"/>
          </w:rPr>
          <w:t>2 CFR Part 200</w:t>
        </w:r>
      </w:hyperlink>
      <w:r w:rsidRPr="4051694F">
        <w:rPr>
          <w:rFonts w:ascii="Open Sans" w:eastAsia="Open Sans" w:hAnsi="Open Sans" w:cs="Open Sans"/>
        </w:rPr>
        <w:t>, including 2 CFR 200.101</w:t>
      </w:r>
    </w:p>
    <w:p w14:paraId="7C787B81" w14:textId="28C15BC7" w:rsidR="7461C2BD" w:rsidRDefault="7461C2BD" w:rsidP="4051694F">
      <w:pPr>
        <w:pStyle w:val="ListParagraph"/>
        <w:numPr>
          <w:ilvl w:val="0"/>
          <w:numId w:val="12"/>
        </w:numPr>
        <w:spacing w:after="0" w:line="257" w:lineRule="auto"/>
        <w:rPr>
          <w:rFonts w:ascii="Open Sans" w:eastAsia="Open Sans" w:hAnsi="Open Sans" w:cs="Open Sans"/>
        </w:rPr>
      </w:pPr>
      <w:hyperlink r:id="rId30">
        <w:r w:rsidRPr="4051694F">
          <w:rPr>
            <w:rStyle w:val="Hyperlink"/>
            <w:rFonts w:ascii="Open Sans" w:eastAsia="Open Sans" w:hAnsi="Open Sans" w:cs="Open Sans"/>
          </w:rPr>
          <w:t>2</w:t>
        </w:r>
        <w:r w:rsidR="4CCDDF82" w:rsidRPr="4051694F">
          <w:rPr>
            <w:rStyle w:val="Hyperlink"/>
            <w:rFonts w:ascii="Open Sans" w:eastAsia="Open Sans" w:hAnsi="Open Sans" w:cs="Open Sans"/>
          </w:rPr>
          <w:t xml:space="preserve"> </w:t>
        </w:r>
        <w:r w:rsidRPr="4051694F">
          <w:rPr>
            <w:rStyle w:val="Hyperlink"/>
            <w:rFonts w:ascii="Open Sans" w:eastAsia="Open Sans" w:hAnsi="Open Sans" w:cs="Open Sans"/>
          </w:rPr>
          <w:t>CFR Part 300</w:t>
        </w:r>
      </w:hyperlink>
    </w:p>
    <w:p w14:paraId="093B58C3" w14:textId="7FC406CF" w:rsidR="7461C2BD" w:rsidRDefault="7461C2BD" w:rsidP="4051694F">
      <w:pPr>
        <w:pStyle w:val="ListParagraph"/>
        <w:numPr>
          <w:ilvl w:val="0"/>
          <w:numId w:val="12"/>
        </w:numPr>
        <w:spacing w:after="0" w:line="257" w:lineRule="auto"/>
        <w:rPr>
          <w:rFonts w:ascii="Open Sans" w:eastAsia="Open Sans" w:hAnsi="Open Sans" w:cs="Open Sans"/>
        </w:rPr>
      </w:pPr>
      <w:r w:rsidRPr="4051694F">
        <w:rPr>
          <w:rFonts w:ascii="Open Sans" w:eastAsia="Open Sans" w:hAnsi="Open Sans" w:cs="Open Sans"/>
        </w:rPr>
        <w:t xml:space="preserve">The </w:t>
      </w:r>
      <w:hyperlink r:id="rId31">
        <w:r w:rsidRPr="4051694F">
          <w:rPr>
            <w:rStyle w:val="Hyperlink"/>
            <w:rFonts w:ascii="Open Sans" w:eastAsia="Open Sans" w:hAnsi="Open Sans" w:cs="Open Sans"/>
            <w:color w:val="467886"/>
          </w:rPr>
          <w:t>HHS Administrative and National Policy Requirements</w:t>
        </w:r>
      </w:hyperlink>
      <w:r w:rsidRPr="4051694F">
        <w:rPr>
          <w:rFonts w:ascii="Open Sans" w:eastAsia="Open Sans" w:hAnsi="Open Sans" w:cs="Open Sans"/>
        </w:rPr>
        <w:t xml:space="preserve"> </w:t>
      </w:r>
    </w:p>
    <w:p w14:paraId="5EFC5CFF" w14:textId="54B9D97F" w:rsidR="7461C2BD" w:rsidRDefault="7461C2BD" w:rsidP="4051694F">
      <w:pPr>
        <w:pStyle w:val="ListParagraph"/>
        <w:numPr>
          <w:ilvl w:val="0"/>
          <w:numId w:val="12"/>
        </w:numPr>
        <w:spacing w:after="0" w:line="257" w:lineRule="auto"/>
        <w:rPr>
          <w:rFonts w:ascii="Open Sans" w:eastAsia="Open Sans" w:hAnsi="Open Sans" w:cs="Open Sans"/>
        </w:rPr>
      </w:pPr>
      <w:r w:rsidRPr="4051694F">
        <w:rPr>
          <w:rFonts w:ascii="Open Sans" w:eastAsia="Open Sans" w:hAnsi="Open Sans" w:cs="Open Sans"/>
        </w:rPr>
        <w:t xml:space="preserve">All federal statutes and regulations relevant to federal financial assistance, including those highlights in the </w:t>
      </w:r>
      <w:hyperlink r:id="rId32">
        <w:r w:rsidRPr="4051694F">
          <w:rPr>
            <w:rStyle w:val="Hyperlink"/>
            <w:rFonts w:ascii="Open Sans" w:eastAsia="Open Sans" w:hAnsi="Open Sans" w:cs="Open Sans"/>
            <w:color w:val="467886"/>
          </w:rPr>
          <w:t>HHS Administrative and National Policy Requirements</w:t>
        </w:r>
      </w:hyperlink>
      <w:r w:rsidRPr="4051694F">
        <w:rPr>
          <w:rFonts w:ascii="Open Sans" w:eastAsia="Open Sans" w:hAnsi="Open Sans" w:cs="Open Sans"/>
        </w:rPr>
        <w:t xml:space="preserve">. </w:t>
      </w:r>
    </w:p>
    <w:p w14:paraId="7DA51417" w14:textId="08E7E11E" w:rsidR="7461C2BD" w:rsidRDefault="7461C2BD" w:rsidP="4051694F">
      <w:pPr>
        <w:spacing w:after="0" w:line="257" w:lineRule="auto"/>
        <w:rPr>
          <w:rFonts w:ascii="Open Sans" w:eastAsia="Open Sans" w:hAnsi="Open Sans" w:cs="Open Sans"/>
          <w:b/>
          <w:bCs/>
        </w:rPr>
      </w:pPr>
      <w:r w:rsidRPr="4051694F">
        <w:rPr>
          <w:rFonts w:ascii="Open Sans" w:eastAsia="Open Sans" w:hAnsi="Open Sans" w:cs="Open Sans"/>
          <w:b/>
          <w:bCs/>
        </w:rPr>
        <w:t xml:space="preserve"> </w:t>
      </w:r>
    </w:p>
    <w:p w14:paraId="7494279A" w14:textId="1EE27471" w:rsidR="7461C2BD" w:rsidRDefault="7461C2BD" w:rsidP="4051694F">
      <w:pPr>
        <w:spacing w:after="0" w:line="257" w:lineRule="auto"/>
        <w:rPr>
          <w:rFonts w:ascii="Open Sans" w:eastAsia="Open Sans" w:hAnsi="Open Sans" w:cs="Open Sans"/>
          <w:b/>
          <w:bCs/>
        </w:rPr>
      </w:pPr>
      <w:r w:rsidRPr="4051694F">
        <w:rPr>
          <w:rFonts w:ascii="Open Sans" w:eastAsia="Open Sans" w:hAnsi="Open Sans" w:cs="Open Sans"/>
          <w:b/>
          <w:bCs/>
        </w:rPr>
        <w:t>Cybersecurity Requirements</w:t>
      </w:r>
    </w:p>
    <w:p w14:paraId="3478222D" w14:textId="170AD85C" w:rsidR="7461C2BD" w:rsidRDefault="7461C2BD" w:rsidP="4051694F">
      <w:pPr>
        <w:spacing w:after="0" w:line="257" w:lineRule="auto"/>
        <w:rPr>
          <w:rFonts w:ascii="Open Sans" w:eastAsia="Open Sans" w:hAnsi="Open Sans" w:cs="Open Sans"/>
        </w:rPr>
      </w:pPr>
      <w:r w:rsidRPr="4051694F">
        <w:rPr>
          <w:rFonts w:ascii="Open Sans" w:eastAsia="Open Sans" w:hAnsi="Open Sans" w:cs="Open Sans"/>
        </w:rPr>
        <w:t xml:space="preserve">You must create a cybersecurity plan if your project involves both of the following conditions: </w:t>
      </w:r>
    </w:p>
    <w:p w14:paraId="0B2E638B" w14:textId="2DA0E97C" w:rsidR="7461C2BD" w:rsidRDefault="7461C2BD" w:rsidP="4051694F">
      <w:pPr>
        <w:pStyle w:val="ListParagraph"/>
        <w:numPr>
          <w:ilvl w:val="0"/>
          <w:numId w:val="11"/>
        </w:numPr>
        <w:spacing w:after="0" w:line="257" w:lineRule="auto"/>
        <w:rPr>
          <w:rFonts w:ascii="Open Sans" w:eastAsia="Open Sans" w:hAnsi="Open Sans" w:cs="Open Sans"/>
        </w:rPr>
      </w:pPr>
      <w:r w:rsidRPr="4051694F">
        <w:rPr>
          <w:rFonts w:ascii="Open Sans" w:eastAsia="Open Sans" w:hAnsi="Open Sans" w:cs="Open Sans"/>
        </w:rPr>
        <w:t xml:space="preserve">You have ongoing access to HHS information or technology systems. </w:t>
      </w:r>
    </w:p>
    <w:p w14:paraId="747AB4F4" w14:textId="41EF9030" w:rsidR="7461C2BD" w:rsidRDefault="7461C2BD" w:rsidP="4051694F">
      <w:pPr>
        <w:pStyle w:val="ListParagraph"/>
        <w:numPr>
          <w:ilvl w:val="0"/>
          <w:numId w:val="11"/>
        </w:numPr>
        <w:spacing w:after="0" w:line="257" w:lineRule="auto"/>
        <w:rPr>
          <w:rFonts w:ascii="Open Sans" w:eastAsia="Open Sans" w:hAnsi="Open Sans" w:cs="Open Sans"/>
        </w:rPr>
      </w:pPr>
      <w:r w:rsidRPr="4051694F">
        <w:rPr>
          <w:rFonts w:ascii="Open Sans" w:eastAsia="Open Sans" w:hAnsi="Open Sans" w:cs="Open Sans"/>
        </w:rPr>
        <w:t xml:space="preserve">You handle personal identifiable information (PII) or personal health information (PHI) from HHS. </w:t>
      </w:r>
    </w:p>
    <w:p w14:paraId="0D0B8B5B" w14:textId="423C5DF5" w:rsidR="7461C2BD" w:rsidRDefault="7461C2BD" w:rsidP="4051694F">
      <w:pPr>
        <w:spacing w:after="0" w:line="257" w:lineRule="auto"/>
        <w:rPr>
          <w:rFonts w:ascii="Open Sans" w:eastAsia="Open Sans" w:hAnsi="Open Sans" w:cs="Open Sans"/>
        </w:rPr>
      </w:pPr>
      <w:r w:rsidRPr="4051694F">
        <w:rPr>
          <w:rFonts w:ascii="Open Sans" w:eastAsia="Open Sans" w:hAnsi="Open Sans" w:cs="Open Sans"/>
        </w:rPr>
        <w:t xml:space="preserve"> </w:t>
      </w:r>
    </w:p>
    <w:p w14:paraId="294B21C4" w14:textId="4E64B64A" w:rsidR="7461C2BD" w:rsidRDefault="7461C2BD" w:rsidP="4051694F">
      <w:pPr>
        <w:spacing w:after="0" w:line="257" w:lineRule="auto"/>
        <w:rPr>
          <w:rFonts w:ascii="Open Sans" w:eastAsia="Open Sans" w:hAnsi="Open Sans" w:cs="Open Sans"/>
        </w:rPr>
      </w:pPr>
      <w:r w:rsidRPr="4051694F">
        <w:rPr>
          <w:rFonts w:ascii="Open Sans" w:eastAsia="Open Sans" w:hAnsi="Open Sans" w:cs="Open Sans"/>
        </w:rPr>
        <w:t xml:space="preserve">See the </w:t>
      </w:r>
      <w:hyperlink r:id="rId33" w:anchor="page=16">
        <w:r w:rsidRPr="4051694F">
          <w:rPr>
            <w:rStyle w:val="Hyperlink"/>
            <w:rFonts w:ascii="Open Sans" w:eastAsia="Open Sans" w:hAnsi="Open Sans" w:cs="Open Sans"/>
            <w:color w:val="467886"/>
          </w:rPr>
          <w:t>HHS Administrative and National Policy Requirements [PDF]</w:t>
        </w:r>
      </w:hyperlink>
      <w:r w:rsidRPr="4051694F">
        <w:rPr>
          <w:rFonts w:ascii="Open Sans" w:eastAsia="Open Sans" w:hAnsi="Open Sans" w:cs="Open Sans"/>
        </w:rPr>
        <w:t xml:space="preserve"> for full information.</w:t>
      </w:r>
    </w:p>
    <w:p w14:paraId="2E709BCF" w14:textId="3963DA77" w:rsidR="4051694F" w:rsidRDefault="4051694F" w:rsidP="4051694F">
      <w:pPr>
        <w:spacing w:line="257" w:lineRule="auto"/>
        <w:rPr>
          <w:rFonts w:ascii="Open Sans" w:eastAsia="Open Sans" w:hAnsi="Open Sans" w:cs="Open Sans"/>
        </w:rPr>
      </w:pPr>
    </w:p>
    <w:p w14:paraId="6519DADE" w14:textId="77777777" w:rsidR="00E97FF6" w:rsidRDefault="00E97FF6" w:rsidP="00E97FF6"/>
    <w:p w14:paraId="2BEE5788" w14:textId="77777777" w:rsidR="00E97FF6" w:rsidRDefault="00E97FF6" w:rsidP="00E97FF6"/>
    <w:p w14:paraId="71A0D0EC" w14:textId="77777777" w:rsidR="002F4581" w:rsidRDefault="002F4581" w:rsidP="00E97FF6"/>
    <w:p w14:paraId="417BE9BE" w14:textId="77777777" w:rsidR="002F4581" w:rsidRDefault="002F4581" w:rsidP="00E97FF6"/>
    <w:p w14:paraId="49C2E92D" w14:textId="77777777" w:rsidR="002F4581" w:rsidRDefault="002F4581" w:rsidP="00E97FF6"/>
    <w:p w14:paraId="5578444E" w14:textId="77777777" w:rsidR="00E97FF6" w:rsidRDefault="00E97FF6" w:rsidP="00E97FF6"/>
    <w:p w14:paraId="01E13FD4" w14:textId="77777777" w:rsidR="00E97FF6" w:rsidRPr="00E97FF6" w:rsidRDefault="00E97FF6" w:rsidP="00E97FF6"/>
    <w:sectPr w:rsidR="00E97FF6" w:rsidRPr="00E97FF6" w:rsidSect="007C4CA2">
      <w:headerReference w:type="default" r:id="rId34"/>
      <w:footerReference w:type="default" r:id="rId35"/>
      <w:footerReference w:type="first" r:id="rId36"/>
      <w:pgSz w:w="12240" w:h="15840"/>
      <w:pgMar w:top="1440" w:right="1440" w:bottom="1440" w:left="1440" w:header="144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4973CB0B" w14:textId="77777777" w:rsidR="00B219A1" w:rsidRDefault="00B219A1">
      <w:pPr>
        <w:pStyle w:val="CommentText"/>
      </w:pPr>
      <w:r>
        <w:rPr>
          <w:rStyle w:val="CommentReference"/>
        </w:rPr>
        <w:annotationRef/>
      </w:r>
      <w:r>
        <w:t>Updated 1/27 per Laurie's note that subrecipients cannot propose indirects</w:t>
      </w:r>
    </w:p>
  </w:comment>
  <w:comment w:id="1" w:author="Author" w:initials="A">
    <w:p w14:paraId="7DED26C8" w14:textId="77777777" w:rsidR="00B219A1" w:rsidRDefault="00B219A1">
      <w:pPr>
        <w:pStyle w:val="CommentText"/>
      </w:pPr>
      <w:r>
        <w:rPr>
          <w:rStyle w:val="CommentReference"/>
        </w:rPr>
        <w:annotationRef/>
      </w:r>
      <w:r>
        <w:t>Can we discuss tomorrow? This is news to 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73CB0B" w15:done="1"/>
  <w15:commentEx w15:paraId="7DED26C8"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73CB0B" w16cid:durableId="1882C317"/>
  <w16cid:commentId w16cid:paraId="7DED26C8" w16cid:durableId="635B48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D5E38" w14:textId="77777777" w:rsidR="00F9518C" w:rsidRDefault="00F9518C" w:rsidP="001D02B8">
      <w:pPr>
        <w:spacing w:after="0" w:line="240" w:lineRule="auto"/>
      </w:pPr>
      <w:r>
        <w:separator/>
      </w:r>
    </w:p>
  </w:endnote>
  <w:endnote w:type="continuationSeparator" w:id="0">
    <w:p w14:paraId="6CD46081" w14:textId="77777777" w:rsidR="00F9518C" w:rsidRDefault="00F9518C" w:rsidP="001D0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Montserrat">
    <w:charset w:val="00"/>
    <w:family w:val="auto"/>
    <w:pitch w:val="variable"/>
    <w:sig w:usb0="2000020F" w:usb1="00000003" w:usb2="00000000" w:usb3="00000000" w:csb0="00000197" w:csb1="00000000"/>
  </w:font>
  <w:font w:name="Open Sans">
    <w:altName w:val="Segoe UI"/>
    <w:charset w:val="00"/>
    <w:family w:val="swiss"/>
    <w:pitch w:val="variable"/>
    <w:sig w:usb0="E00002EF" w:usb1="4000205B" w:usb2="00000028" w:usb3="00000000" w:csb0="0000019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7A99" w14:textId="77777777" w:rsidR="008C15E9" w:rsidRPr="00A53AD6" w:rsidRDefault="00E97FF6">
    <w:pPr>
      <w:pStyle w:val="Footer"/>
      <w:jc w:val="right"/>
      <w:rPr>
        <w:rFonts w:ascii="Montserrat" w:hAnsi="Montserrat"/>
        <w:sz w:val="20"/>
        <w:szCs w:val="20"/>
      </w:rPr>
    </w:pPr>
    <w:r>
      <w:rPr>
        <w:noProof/>
        <w:sz w:val="20"/>
        <w:szCs w:val="20"/>
      </w:rPr>
      <mc:AlternateContent>
        <mc:Choice Requires="wps">
          <w:drawing>
            <wp:anchor distT="0" distB="0" distL="114300" distR="114300" simplePos="0" relativeHeight="251658240" behindDoc="0" locked="0" layoutInCell="1" allowOverlap="1" wp14:anchorId="7E9AA885" wp14:editId="77EBA655">
              <wp:simplePos x="0" y="0"/>
              <wp:positionH relativeFrom="column">
                <wp:posOffset>-309367</wp:posOffset>
              </wp:positionH>
              <wp:positionV relativeFrom="paragraph">
                <wp:posOffset>-119993</wp:posOffset>
              </wp:positionV>
              <wp:extent cx="6305550" cy="0"/>
              <wp:effectExtent l="0" t="0" r="0" b="0"/>
              <wp:wrapNone/>
              <wp:docPr id="1536838564" name="Straight Connector 11"/>
              <wp:cNvGraphicFramePr/>
              <a:graphic xmlns:a="http://schemas.openxmlformats.org/drawingml/2006/main">
                <a:graphicData uri="http://schemas.microsoft.com/office/word/2010/wordprocessingShape">
                  <wps:wsp>
                    <wps:cNvCnPr/>
                    <wps:spPr>
                      <a:xfrm>
                        <a:off x="0" y="0"/>
                        <a:ext cx="6305550" cy="0"/>
                      </a:xfrm>
                      <a:prstGeom prst="line">
                        <a:avLst/>
                      </a:prstGeom>
                      <a:ln>
                        <a:solidFill>
                          <a:srgbClr val="01539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http://schemas.openxmlformats.org/drawingml/2006/main" xmlns:arto="http://schemas.microsoft.com/office/word/2006/arto">
          <w:pict>
            <v:line id="Straight Connector 11" style="position:absolute;z-index:251461120;visibility:visible;mso-wrap-style:square;mso-wrap-distance-left:9pt;mso-wrap-distance-top:0;mso-wrap-distance-right:9pt;mso-wrap-distance-bottom:0;mso-position-horizontal:absolute;mso-position-horizontal-relative:text;mso-position-vertical:absolute;mso-position-vertical-relative:text" o:spid="_x0000_s1026" strokecolor="#015390" strokeweight="1pt" from="-24.35pt,-9.45pt" to="472.15pt,-9.45pt" w14:anchorId="36402C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">
              <v:stroke joinstyle="miter"/>
            </v:line>
          </w:pict>
        </mc:Fallback>
      </mc:AlternateContent>
    </w:r>
    <w:r w:rsidR="008C15E9" w:rsidRPr="00A53AD6">
      <w:rPr>
        <w:sz w:val="20"/>
        <w:szCs w:val="20"/>
      </w:rPr>
      <w:t xml:space="preserve"> </w:t>
    </w:r>
    <w:sdt>
      <w:sdtPr>
        <w:rPr>
          <w:sz w:val="20"/>
          <w:szCs w:val="20"/>
        </w:rPr>
        <w:id w:val="571091466"/>
        <w:docPartObj>
          <w:docPartGallery w:val="Page Numbers (Bottom of Page)"/>
          <w:docPartUnique/>
        </w:docPartObj>
      </w:sdtPr>
      <w:sdtEndPr>
        <w:rPr>
          <w:rFonts w:ascii="Montserrat" w:hAnsi="Montserrat"/>
          <w:noProof/>
        </w:rPr>
      </w:sdtEndPr>
      <w:sdtContent>
        <w:r w:rsidR="008C15E9" w:rsidRPr="0007269C">
          <w:rPr>
            <w:rFonts w:ascii="Montserrat" w:hAnsi="Montserrat"/>
            <w:sz w:val="16"/>
            <w:szCs w:val="16"/>
          </w:rPr>
          <w:fldChar w:fldCharType="begin"/>
        </w:r>
        <w:r w:rsidR="008C15E9" w:rsidRPr="0007269C">
          <w:rPr>
            <w:rFonts w:ascii="Montserrat" w:hAnsi="Montserrat"/>
            <w:sz w:val="16"/>
            <w:szCs w:val="16"/>
          </w:rPr>
          <w:instrText xml:space="preserve"> PAGE   \* MERGEFORMAT </w:instrText>
        </w:r>
        <w:r w:rsidR="008C15E9" w:rsidRPr="0007269C">
          <w:rPr>
            <w:rFonts w:ascii="Montserrat" w:hAnsi="Montserrat"/>
            <w:sz w:val="16"/>
            <w:szCs w:val="16"/>
          </w:rPr>
          <w:fldChar w:fldCharType="separate"/>
        </w:r>
        <w:r w:rsidR="008C15E9" w:rsidRPr="0007269C">
          <w:rPr>
            <w:rFonts w:ascii="Montserrat" w:hAnsi="Montserrat"/>
            <w:noProof/>
            <w:sz w:val="16"/>
            <w:szCs w:val="16"/>
          </w:rPr>
          <w:t>2</w:t>
        </w:r>
        <w:r w:rsidR="008C15E9" w:rsidRPr="0007269C">
          <w:rPr>
            <w:rFonts w:ascii="Montserrat" w:hAnsi="Montserrat"/>
            <w:noProof/>
            <w:sz w:val="16"/>
            <w:szCs w:val="16"/>
          </w:rPr>
          <w:fldChar w:fldCharType="end"/>
        </w:r>
      </w:sdtContent>
    </w:sdt>
  </w:p>
  <w:p w14:paraId="3C5931EC" w14:textId="77777777" w:rsidR="00801116" w:rsidRDefault="00690D3B">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80EA" w14:textId="77777777" w:rsidR="00887CF4" w:rsidRPr="00887CF4" w:rsidRDefault="00887CF4">
    <w:pPr>
      <w:pStyle w:val="Footer"/>
      <w:jc w:val="right"/>
      <w:rPr>
        <w:rFonts w:ascii="Open Sans" w:hAnsi="Open Sans" w:cs="Open Sans"/>
        <w:sz w:val="22"/>
        <w:szCs w:val="22"/>
      </w:rPr>
    </w:pPr>
  </w:p>
  <w:p w14:paraId="5A458D03" w14:textId="77777777" w:rsidR="00887CF4" w:rsidRDefault="00887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EAAF2" w14:textId="77777777" w:rsidR="00F9518C" w:rsidRDefault="00F9518C" w:rsidP="001D02B8">
      <w:pPr>
        <w:spacing w:after="0" w:line="240" w:lineRule="auto"/>
      </w:pPr>
      <w:r>
        <w:separator/>
      </w:r>
    </w:p>
  </w:footnote>
  <w:footnote w:type="continuationSeparator" w:id="0">
    <w:p w14:paraId="36DBD675" w14:textId="77777777" w:rsidR="00F9518C" w:rsidRDefault="00F9518C" w:rsidP="001D0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5F30" w14:textId="77777777" w:rsidR="001D02B8" w:rsidRDefault="0097089A">
    <w:pPr>
      <w:pStyle w:val="Header"/>
    </w:pPr>
    <w:r>
      <w:rPr>
        <w:noProof/>
      </w:rPr>
      <w:drawing>
        <wp:anchor distT="0" distB="0" distL="114300" distR="114300" simplePos="0" relativeHeight="251658246" behindDoc="0" locked="0" layoutInCell="1" allowOverlap="1" wp14:anchorId="50A30DC7" wp14:editId="19D03B8A">
          <wp:simplePos x="0" y="0"/>
          <wp:positionH relativeFrom="column">
            <wp:posOffset>-424924</wp:posOffset>
          </wp:positionH>
          <wp:positionV relativeFrom="paragraph">
            <wp:posOffset>-677545</wp:posOffset>
          </wp:positionV>
          <wp:extent cx="2419985" cy="671195"/>
          <wp:effectExtent l="0" t="0" r="0" b="0"/>
          <wp:wrapSquare wrapText="bothSides"/>
          <wp:docPr id="189507095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070957" name="Picture 10"/>
                  <pic:cNvPicPr/>
                </pic:nvPicPr>
                <pic:blipFill>
                  <a:blip r:embed="rId1">
                    <a:extLst>
                      <a:ext uri="{28A0092B-C50C-407E-A947-70E740481C1C}">
                        <a14:useLocalDpi xmlns:a14="http://schemas.microsoft.com/office/drawing/2010/main" val="0"/>
                      </a:ext>
                    </a:extLst>
                  </a:blip>
                  <a:srcRect l="3930" r="3930"/>
                  <a:stretch>
                    <a:fillRect/>
                  </a:stretch>
                </pic:blipFill>
                <pic:spPr bwMode="auto">
                  <a:xfrm>
                    <a:off x="0" y="0"/>
                    <a:ext cx="2419985" cy="6711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F0AE6">
      <w:rPr>
        <w:noProof/>
      </w:rPr>
      <mc:AlternateContent>
        <mc:Choice Requires="wps">
          <w:drawing>
            <wp:anchor distT="0" distB="0" distL="114300" distR="114300" simplePos="0" relativeHeight="251658245" behindDoc="0" locked="0" layoutInCell="1" allowOverlap="1" wp14:anchorId="16BC89A6" wp14:editId="7E5C191A">
              <wp:simplePos x="0" y="0"/>
              <wp:positionH relativeFrom="column">
                <wp:posOffset>5275580</wp:posOffset>
              </wp:positionH>
              <wp:positionV relativeFrom="paragraph">
                <wp:posOffset>-687564</wp:posOffset>
              </wp:positionV>
              <wp:extent cx="0" cy="692150"/>
              <wp:effectExtent l="0" t="0" r="38100" b="31750"/>
              <wp:wrapNone/>
              <wp:docPr id="192286043" name="Straight Connector 14"/>
              <wp:cNvGraphicFramePr/>
              <a:graphic xmlns:a="http://schemas.openxmlformats.org/drawingml/2006/main">
                <a:graphicData uri="http://schemas.microsoft.com/office/word/2010/wordprocessingShape">
                  <wps:wsp>
                    <wps:cNvCnPr/>
                    <wps:spPr>
                      <a:xfrm>
                        <a:off x="0" y="0"/>
                        <a:ext cx="0" cy="692150"/>
                      </a:xfrm>
                      <a:prstGeom prst="line">
                        <a:avLst/>
                      </a:prstGeom>
                      <a:ln>
                        <a:solidFill>
                          <a:srgbClr val="F3CE3B"/>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14" style="position:absolute;z-index:251837952;visibility:visible;mso-wrap-style:square;mso-wrap-distance-left:9pt;mso-wrap-distance-top:0;mso-wrap-distance-right:9pt;mso-wrap-distance-bottom:0;mso-position-horizontal:absolute;mso-position-horizontal-relative:text;mso-position-vertical:absolute;mso-position-vertical-relative:text" o:spid="_x0000_s1026" strokecolor="#f3ce3b" strokeweight="1.5pt" from="415.4pt,-54.15pt" to="415.4pt,.35pt" w14:anchorId="2BAB8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">
              <v:stroke joinstyle="miter"/>
            </v:line>
          </w:pict>
        </mc:Fallback>
      </mc:AlternateContent>
    </w:r>
    <w:r w:rsidR="001F0AE6">
      <w:rPr>
        <w:noProof/>
      </w:rPr>
      <w:drawing>
        <wp:anchor distT="0" distB="0" distL="114300" distR="114300" simplePos="0" relativeHeight="251658243" behindDoc="1" locked="0" layoutInCell="1" allowOverlap="1" wp14:anchorId="15EF7C49" wp14:editId="64A71008">
          <wp:simplePos x="0" y="0"/>
          <wp:positionH relativeFrom="column">
            <wp:posOffset>4609465</wp:posOffset>
          </wp:positionH>
          <wp:positionV relativeFrom="paragraph">
            <wp:posOffset>-618490</wp:posOffset>
          </wp:positionV>
          <wp:extent cx="565150" cy="561340"/>
          <wp:effectExtent l="0" t="0" r="6350" b="0"/>
          <wp:wrapTight wrapText="bothSides">
            <wp:wrapPolygon edited="0">
              <wp:start x="5825" y="0"/>
              <wp:lineTo x="0" y="4398"/>
              <wp:lineTo x="0" y="17593"/>
              <wp:lineTo x="7281" y="20525"/>
              <wp:lineTo x="13834" y="20525"/>
              <wp:lineTo x="21115" y="17593"/>
              <wp:lineTo x="21115" y="3665"/>
              <wp:lineTo x="15290" y="0"/>
              <wp:lineTo x="5825" y="0"/>
            </wp:wrapPolygon>
          </wp:wrapTight>
          <wp:docPr id="669634202" name="Picture 4"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36502" name="Picture 4" descr="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565150" cy="561340"/>
                  </a:xfrm>
                  <a:prstGeom prst="rect">
                    <a:avLst/>
                  </a:prstGeom>
                </pic:spPr>
              </pic:pic>
            </a:graphicData>
          </a:graphic>
          <wp14:sizeRelH relativeFrom="margin">
            <wp14:pctWidth>0</wp14:pctWidth>
          </wp14:sizeRelH>
          <wp14:sizeRelV relativeFrom="margin">
            <wp14:pctHeight>0</wp14:pctHeight>
          </wp14:sizeRelV>
        </wp:anchor>
      </w:drawing>
    </w:r>
    <w:r w:rsidR="001F0AE6">
      <w:rPr>
        <w:noProof/>
      </w:rPr>
      <w:drawing>
        <wp:anchor distT="0" distB="0" distL="114300" distR="114300" simplePos="0" relativeHeight="251658244" behindDoc="0" locked="0" layoutInCell="1" allowOverlap="1" wp14:anchorId="0002C1A6" wp14:editId="5CF5DD73">
          <wp:simplePos x="0" y="0"/>
          <wp:positionH relativeFrom="column">
            <wp:posOffset>5377815</wp:posOffset>
          </wp:positionH>
          <wp:positionV relativeFrom="paragraph">
            <wp:posOffset>-579120</wp:posOffset>
          </wp:positionV>
          <wp:extent cx="895350" cy="479425"/>
          <wp:effectExtent l="0" t="0" r="0" b="0"/>
          <wp:wrapSquare wrapText="bothSides"/>
          <wp:docPr id="158532710" name="Picture 8"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987693" name="Picture 8" descr="Text&#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895350" cy="479425"/>
                  </a:xfrm>
                  <a:prstGeom prst="rect">
                    <a:avLst/>
                  </a:prstGeom>
                </pic:spPr>
              </pic:pic>
            </a:graphicData>
          </a:graphic>
          <wp14:sizeRelH relativeFrom="margin">
            <wp14:pctWidth>0</wp14:pctWidth>
          </wp14:sizeRelH>
          <wp14:sizeRelV relativeFrom="margin">
            <wp14:pctHeight>0</wp14:pctHeight>
          </wp14:sizeRelV>
        </wp:anchor>
      </w:drawing>
    </w:r>
    <w:r w:rsidR="001F0AE6">
      <w:rPr>
        <w:noProof/>
      </w:rPr>
      <mc:AlternateContent>
        <mc:Choice Requires="wps">
          <w:drawing>
            <wp:anchor distT="0" distB="0" distL="114300" distR="114300" simplePos="0" relativeHeight="251658241" behindDoc="0" locked="0" layoutInCell="1" allowOverlap="1" wp14:anchorId="5E23C015" wp14:editId="4FAB0BD7">
              <wp:simplePos x="0" y="0"/>
              <wp:positionH relativeFrom="page">
                <wp:posOffset>-25400</wp:posOffset>
              </wp:positionH>
              <wp:positionV relativeFrom="paragraph">
                <wp:posOffset>-914400</wp:posOffset>
              </wp:positionV>
              <wp:extent cx="8286750" cy="1092200"/>
              <wp:effectExtent l="0" t="0" r="0" b="0"/>
              <wp:wrapNone/>
              <wp:docPr id="1392794838" name="Rectangle 1"/>
              <wp:cNvGraphicFramePr/>
              <a:graphic xmlns:a="http://schemas.openxmlformats.org/drawingml/2006/main">
                <a:graphicData uri="http://schemas.microsoft.com/office/word/2010/wordprocessingShape">
                  <wps:wsp>
                    <wps:cNvSpPr/>
                    <wps:spPr>
                      <a:xfrm>
                        <a:off x="0" y="0"/>
                        <a:ext cx="8286750" cy="1092200"/>
                      </a:xfrm>
                      <a:prstGeom prst="rect">
                        <a:avLst/>
                      </a:prstGeom>
                      <a:solidFill>
                        <a:srgbClr val="01539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1" style="position:absolute;margin-left:-2pt;margin-top:-1in;width:652.5pt;height:86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15390" stroked="f" strokeweight="1.5pt" w14:anchorId="4FD0DB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">
              <w10:wrap anchorx="page"/>
            </v:rect>
          </w:pict>
        </mc:Fallback>
      </mc:AlternateContent>
    </w:r>
    <w:r w:rsidR="001F0AE6">
      <w:rPr>
        <w:noProof/>
      </w:rPr>
      <mc:AlternateContent>
        <mc:Choice Requires="wps">
          <w:drawing>
            <wp:anchor distT="0" distB="0" distL="114300" distR="114300" simplePos="0" relativeHeight="251658242" behindDoc="0" locked="0" layoutInCell="1" allowOverlap="1" wp14:anchorId="63379B1C" wp14:editId="78ECD1BC">
              <wp:simplePos x="0" y="0"/>
              <wp:positionH relativeFrom="column">
                <wp:posOffset>-1422400</wp:posOffset>
              </wp:positionH>
              <wp:positionV relativeFrom="paragraph">
                <wp:posOffset>-778510</wp:posOffset>
              </wp:positionV>
              <wp:extent cx="3498850" cy="838200"/>
              <wp:effectExtent l="0" t="0" r="25400" b="19050"/>
              <wp:wrapNone/>
              <wp:docPr id="68733404" name="Rectangle: Rounded Corners 2"/>
              <wp:cNvGraphicFramePr/>
              <a:graphic xmlns:a="http://schemas.openxmlformats.org/drawingml/2006/main">
                <a:graphicData uri="http://schemas.microsoft.com/office/word/2010/wordprocessingShape">
                  <wps:wsp>
                    <wps:cNvSpPr/>
                    <wps:spPr>
                      <a:xfrm>
                        <a:off x="0" y="0"/>
                        <a:ext cx="3498850" cy="838200"/>
                      </a:xfrm>
                      <a:prstGeom prst="roundRect">
                        <a:avLst/>
                      </a:prstGeom>
                      <a:solidFill>
                        <a:schemeClr val="bg1"/>
                      </a:solidFill>
                      <a:ln>
                        <a:solidFill>
                          <a:srgbClr val="009AD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v:roundrect id="Rectangle: Rounded Corners 2" style="position:absolute;margin-left:-112pt;margin-top:-61.3pt;width:275.5pt;height:66pt;z-index:251708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color="#009ad0" strokeweight="1.5pt" arcsize="10923f" w14:anchorId="57E2BE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">
              <v:stroke joinstyle="miter"/>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7222C"/>
    <w:multiLevelType w:val="hybridMultilevel"/>
    <w:tmpl w:val="5E94B4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A1171"/>
    <w:multiLevelType w:val="hybridMultilevel"/>
    <w:tmpl w:val="FB94F28E"/>
    <w:lvl w:ilvl="0" w:tplc="1AE2B0B8">
      <w:start w:val="1"/>
      <w:numFmt w:val="upperLetter"/>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BB195"/>
    <w:multiLevelType w:val="hybridMultilevel"/>
    <w:tmpl w:val="29DC3A2A"/>
    <w:lvl w:ilvl="0" w:tplc="14EAACDC">
      <w:start w:val="1"/>
      <w:numFmt w:val="bullet"/>
      <w:lvlText w:val="o"/>
      <w:lvlJc w:val="left"/>
      <w:pPr>
        <w:ind w:left="2160" w:hanging="360"/>
      </w:pPr>
      <w:rPr>
        <w:rFonts w:ascii="Courier New" w:hAnsi="Courier New" w:hint="default"/>
      </w:rPr>
    </w:lvl>
    <w:lvl w:ilvl="1" w:tplc="EC262FF4">
      <w:start w:val="1"/>
      <w:numFmt w:val="bullet"/>
      <w:lvlText w:val="o"/>
      <w:lvlJc w:val="left"/>
      <w:pPr>
        <w:ind w:left="2880" w:hanging="360"/>
      </w:pPr>
      <w:rPr>
        <w:rFonts w:ascii="Courier New" w:hAnsi="Courier New" w:hint="default"/>
      </w:rPr>
    </w:lvl>
    <w:lvl w:ilvl="2" w:tplc="EDEAE3D8">
      <w:start w:val="1"/>
      <w:numFmt w:val="bullet"/>
      <w:lvlText w:val=""/>
      <w:lvlJc w:val="left"/>
      <w:pPr>
        <w:ind w:left="3600" w:hanging="360"/>
      </w:pPr>
      <w:rPr>
        <w:rFonts w:ascii="Wingdings" w:hAnsi="Wingdings" w:hint="default"/>
      </w:rPr>
    </w:lvl>
    <w:lvl w:ilvl="3" w:tplc="75641CDC">
      <w:start w:val="1"/>
      <w:numFmt w:val="bullet"/>
      <w:lvlText w:val=""/>
      <w:lvlJc w:val="left"/>
      <w:pPr>
        <w:ind w:left="4320" w:hanging="360"/>
      </w:pPr>
      <w:rPr>
        <w:rFonts w:ascii="Symbol" w:hAnsi="Symbol" w:hint="default"/>
      </w:rPr>
    </w:lvl>
    <w:lvl w:ilvl="4" w:tplc="8ABA6E2C">
      <w:start w:val="1"/>
      <w:numFmt w:val="bullet"/>
      <w:lvlText w:val="o"/>
      <w:lvlJc w:val="left"/>
      <w:pPr>
        <w:ind w:left="5040" w:hanging="360"/>
      </w:pPr>
      <w:rPr>
        <w:rFonts w:ascii="Courier New" w:hAnsi="Courier New" w:hint="default"/>
      </w:rPr>
    </w:lvl>
    <w:lvl w:ilvl="5" w:tplc="F67C841C">
      <w:start w:val="1"/>
      <w:numFmt w:val="bullet"/>
      <w:lvlText w:val=""/>
      <w:lvlJc w:val="left"/>
      <w:pPr>
        <w:ind w:left="5760" w:hanging="360"/>
      </w:pPr>
      <w:rPr>
        <w:rFonts w:ascii="Wingdings" w:hAnsi="Wingdings" w:hint="default"/>
      </w:rPr>
    </w:lvl>
    <w:lvl w:ilvl="6" w:tplc="AC8030C2">
      <w:start w:val="1"/>
      <w:numFmt w:val="bullet"/>
      <w:lvlText w:val=""/>
      <w:lvlJc w:val="left"/>
      <w:pPr>
        <w:ind w:left="6480" w:hanging="360"/>
      </w:pPr>
      <w:rPr>
        <w:rFonts w:ascii="Symbol" w:hAnsi="Symbol" w:hint="default"/>
      </w:rPr>
    </w:lvl>
    <w:lvl w:ilvl="7" w:tplc="0A30181E">
      <w:start w:val="1"/>
      <w:numFmt w:val="bullet"/>
      <w:lvlText w:val="o"/>
      <w:lvlJc w:val="left"/>
      <w:pPr>
        <w:ind w:left="7200" w:hanging="360"/>
      </w:pPr>
      <w:rPr>
        <w:rFonts w:ascii="Courier New" w:hAnsi="Courier New" w:hint="default"/>
      </w:rPr>
    </w:lvl>
    <w:lvl w:ilvl="8" w:tplc="A96E8416">
      <w:start w:val="1"/>
      <w:numFmt w:val="bullet"/>
      <w:lvlText w:val=""/>
      <w:lvlJc w:val="left"/>
      <w:pPr>
        <w:ind w:left="7920" w:hanging="360"/>
      </w:pPr>
      <w:rPr>
        <w:rFonts w:ascii="Wingdings" w:hAnsi="Wingdings" w:hint="default"/>
      </w:rPr>
    </w:lvl>
  </w:abstractNum>
  <w:abstractNum w:abstractNumId="3" w15:restartNumberingAfterBreak="0">
    <w:nsid w:val="235FABA4"/>
    <w:multiLevelType w:val="hybridMultilevel"/>
    <w:tmpl w:val="93E2C708"/>
    <w:lvl w:ilvl="0" w:tplc="038449E4">
      <w:start w:val="1"/>
      <w:numFmt w:val="bullet"/>
      <w:lvlText w:val="·"/>
      <w:lvlJc w:val="left"/>
      <w:pPr>
        <w:ind w:left="720" w:hanging="360"/>
      </w:pPr>
      <w:rPr>
        <w:rFonts w:ascii="Symbol" w:hAnsi="Symbol" w:hint="default"/>
      </w:rPr>
    </w:lvl>
    <w:lvl w:ilvl="1" w:tplc="09FA4038">
      <w:start w:val="1"/>
      <w:numFmt w:val="bullet"/>
      <w:lvlText w:val="o"/>
      <w:lvlJc w:val="left"/>
      <w:pPr>
        <w:ind w:left="1440" w:hanging="360"/>
      </w:pPr>
      <w:rPr>
        <w:rFonts w:ascii="Courier New" w:hAnsi="Courier New" w:hint="default"/>
      </w:rPr>
    </w:lvl>
    <w:lvl w:ilvl="2" w:tplc="FCE20C9C">
      <w:start w:val="1"/>
      <w:numFmt w:val="bullet"/>
      <w:lvlText w:val=""/>
      <w:lvlJc w:val="left"/>
      <w:pPr>
        <w:ind w:left="2160" w:hanging="360"/>
      </w:pPr>
      <w:rPr>
        <w:rFonts w:ascii="Wingdings" w:hAnsi="Wingdings" w:hint="default"/>
      </w:rPr>
    </w:lvl>
    <w:lvl w:ilvl="3" w:tplc="FB581C08">
      <w:start w:val="1"/>
      <w:numFmt w:val="bullet"/>
      <w:lvlText w:val=""/>
      <w:lvlJc w:val="left"/>
      <w:pPr>
        <w:ind w:left="2880" w:hanging="360"/>
      </w:pPr>
      <w:rPr>
        <w:rFonts w:ascii="Symbol" w:hAnsi="Symbol" w:hint="default"/>
      </w:rPr>
    </w:lvl>
    <w:lvl w:ilvl="4" w:tplc="DACED4C0">
      <w:start w:val="1"/>
      <w:numFmt w:val="bullet"/>
      <w:lvlText w:val="o"/>
      <w:lvlJc w:val="left"/>
      <w:pPr>
        <w:ind w:left="3600" w:hanging="360"/>
      </w:pPr>
      <w:rPr>
        <w:rFonts w:ascii="Courier New" w:hAnsi="Courier New" w:hint="default"/>
      </w:rPr>
    </w:lvl>
    <w:lvl w:ilvl="5" w:tplc="43661F2E">
      <w:start w:val="1"/>
      <w:numFmt w:val="bullet"/>
      <w:lvlText w:val=""/>
      <w:lvlJc w:val="left"/>
      <w:pPr>
        <w:ind w:left="4320" w:hanging="360"/>
      </w:pPr>
      <w:rPr>
        <w:rFonts w:ascii="Wingdings" w:hAnsi="Wingdings" w:hint="default"/>
      </w:rPr>
    </w:lvl>
    <w:lvl w:ilvl="6" w:tplc="ABA46418">
      <w:start w:val="1"/>
      <w:numFmt w:val="bullet"/>
      <w:lvlText w:val=""/>
      <w:lvlJc w:val="left"/>
      <w:pPr>
        <w:ind w:left="5040" w:hanging="360"/>
      </w:pPr>
      <w:rPr>
        <w:rFonts w:ascii="Symbol" w:hAnsi="Symbol" w:hint="default"/>
      </w:rPr>
    </w:lvl>
    <w:lvl w:ilvl="7" w:tplc="80804AD2">
      <w:start w:val="1"/>
      <w:numFmt w:val="bullet"/>
      <w:lvlText w:val="o"/>
      <w:lvlJc w:val="left"/>
      <w:pPr>
        <w:ind w:left="5760" w:hanging="360"/>
      </w:pPr>
      <w:rPr>
        <w:rFonts w:ascii="Courier New" w:hAnsi="Courier New" w:hint="default"/>
      </w:rPr>
    </w:lvl>
    <w:lvl w:ilvl="8" w:tplc="AF584EE6">
      <w:start w:val="1"/>
      <w:numFmt w:val="bullet"/>
      <w:lvlText w:val=""/>
      <w:lvlJc w:val="left"/>
      <w:pPr>
        <w:ind w:left="6480" w:hanging="360"/>
      </w:pPr>
      <w:rPr>
        <w:rFonts w:ascii="Wingdings" w:hAnsi="Wingdings" w:hint="default"/>
      </w:rPr>
    </w:lvl>
  </w:abstractNum>
  <w:abstractNum w:abstractNumId="4" w15:restartNumberingAfterBreak="0">
    <w:nsid w:val="25E8FE4C"/>
    <w:multiLevelType w:val="hybridMultilevel"/>
    <w:tmpl w:val="6F0A3CA0"/>
    <w:lvl w:ilvl="0" w:tplc="FFFFFFFF">
      <w:start w:val="1"/>
      <w:numFmt w:val="bullet"/>
      <w:lvlText w:val="·"/>
      <w:lvlJc w:val="left"/>
      <w:pPr>
        <w:ind w:left="720" w:hanging="360"/>
      </w:pPr>
      <w:rPr>
        <w:rFonts w:ascii="Symbol" w:hAnsi="Symbol" w:hint="default"/>
      </w:rPr>
    </w:lvl>
    <w:lvl w:ilvl="1" w:tplc="A20AD7A4">
      <w:start w:val="1"/>
      <w:numFmt w:val="bullet"/>
      <w:lvlText w:val="o"/>
      <w:lvlJc w:val="left"/>
      <w:pPr>
        <w:ind w:left="1440" w:hanging="360"/>
      </w:pPr>
      <w:rPr>
        <w:rFonts w:ascii="Courier New" w:hAnsi="Courier New" w:cs="Times New Roman" w:hint="default"/>
      </w:rPr>
    </w:lvl>
    <w:lvl w:ilvl="2" w:tplc="6A1E579E">
      <w:start w:val="1"/>
      <w:numFmt w:val="bullet"/>
      <w:lvlText w:val=""/>
      <w:lvlJc w:val="left"/>
      <w:pPr>
        <w:ind w:left="2160" w:hanging="360"/>
      </w:pPr>
      <w:rPr>
        <w:rFonts w:ascii="Wingdings" w:hAnsi="Wingdings" w:hint="default"/>
      </w:rPr>
    </w:lvl>
    <w:lvl w:ilvl="3" w:tplc="C1F45BCC">
      <w:start w:val="1"/>
      <w:numFmt w:val="bullet"/>
      <w:lvlText w:val=""/>
      <w:lvlJc w:val="left"/>
      <w:pPr>
        <w:ind w:left="2880" w:hanging="360"/>
      </w:pPr>
      <w:rPr>
        <w:rFonts w:ascii="Symbol" w:hAnsi="Symbol" w:hint="default"/>
      </w:rPr>
    </w:lvl>
    <w:lvl w:ilvl="4" w:tplc="14181C46">
      <w:start w:val="1"/>
      <w:numFmt w:val="bullet"/>
      <w:lvlText w:val="o"/>
      <w:lvlJc w:val="left"/>
      <w:pPr>
        <w:ind w:left="3600" w:hanging="360"/>
      </w:pPr>
      <w:rPr>
        <w:rFonts w:ascii="Courier New" w:hAnsi="Courier New" w:cs="Times New Roman" w:hint="default"/>
      </w:rPr>
    </w:lvl>
    <w:lvl w:ilvl="5" w:tplc="0D14F8A2">
      <w:start w:val="1"/>
      <w:numFmt w:val="bullet"/>
      <w:lvlText w:val=""/>
      <w:lvlJc w:val="left"/>
      <w:pPr>
        <w:ind w:left="4320" w:hanging="360"/>
      </w:pPr>
      <w:rPr>
        <w:rFonts w:ascii="Wingdings" w:hAnsi="Wingdings" w:hint="default"/>
      </w:rPr>
    </w:lvl>
    <w:lvl w:ilvl="6" w:tplc="04826A06">
      <w:start w:val="1"/>
      <w:numFmt w:val="bullet"/>
      <w:lvlText w:val=""/>
      <w:lvlJc w:val="left"/>
      <w:pPr>
        <w:ind w:left="5040" w:hanging="360"/>
      </w:pPr>
      <w:rPr>
        <w:rFonts w:ascii="Symbol" w:hAnsi="Symbol" w:hint="default"/>
      </w:rPr>
    </w:lvl>
    <w:lvl w:ilvl="7" w:tplc="E7903E8A">
      <w:start w:val="1"/>
      <w:numFmt w:val="bullet"/>
      <w:lvlText w:val="o"/>
      <w:lvlJc w:val="left"/>
      <w:pPr>
        <w:ind w:left="5760" w:hanging="360"/>
      </w:pPr>
      <w:rPr>
        <w:rFonts w:ascii="Courier New" w:hAnsi="Courier New" w:cs="Times New Roman" w:hint="default"/>
      </w:rPr>
    </w:lvl>
    <w:lvl w:ilvl="8" w:tplc="AFCE0810">
      <w:start w:val="1"/>
      <w:numFmt w:val="bullet"/>
      <w:lvlText w:val=""/>
      <w:lvlJc w:val="left"/>
      <w:pPr>
        <w:ind w:left="6480" w:hanging="360"/>
      </w:pPr>
      <w:rPr>
        <w:rFonts w:ascii="Wingdings" w:hAnsi="Wingdings" w:hint="default"/>
      </w:rPr>
    </w:lvl>
  </w:abstractNum>
  <w:abstractNum w:abstractNumId="5" w15:restartNumberingAfterBreak="0">
    <w:nsid w:val="2E0A6654"/>
    <w:multiLevelType w:val="hybridMultilevel"/>
    <w:tmpl w:val="CC64C8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A5349D"/>
    <w:multiLevelType w:val="hybridMultilevel"/>
    <w:tmpl w:val="913E8DC4"/>
    <w:lvl w:ilvl="0" w:tplc="38CEC2C0">
      <w:start w:val="1"/>
      <w:numFmt w:val="decimal"/>
      <w:lvlText w:val="(%1)"/>
      <w:lvlJc w:val="left"/>
      <w:pPr>
        <w:ind w:left="720" w:hanging="360"/>
      </w:pPr>
    </w:lvl>
    <w:lvl w:ilvl="1" w:tplc="EBEEA8F8">
      <w:start w:val="1"/>
      <w:numFmt w:val="lowerLetter"/>
      <w:lvlText w:val="%2."/>
      <w:lvlJc w:val="left"/>
      <w:pPr>
        <w:ind w:left="1440" w:hanging="360"/>
      </w:pPr>
    </w:lvl>
    <w:lvl w:ilvl="2" w:tplc="AF0866B4">
      <w:start w:val="1"/>
      <w:numFmt w:val="lowerRoman"/>
      <w:lvlText w:val="%3."/>
      <w:lvlJc w:val="right"/>
      <w:pPr>
        <w:ind w:left="2160" w:hanging="180"/>
      </w:pPr>
    </w:lvl>
    <w:lvl w:ilvl="3" w:tplc="6C86E792">
      <w:start w:val="1"/>
      <w:numFmt w:val="decimal"/>
      <w:lvlText w:val="%4."/>
      <w:lvlJc w:val="left"/>
      <w:pPr>
        <w:ind w:left="2880" w:hanging="360"/>
      </w:pPr>
    </w:lvl>
    <w:lvl w:ilvl="4" w:tplc="84121308">
      <w:start w:val="1"/>
      <w:numFmt w:val="lowerLetter"/>
      <w:lvlText w:val="%5."/>
      <w:lvlJc w:val="left"/>
      <w:pPr>
        <w:ind w:left="3600" w:hanging="360"/>
      </w:pPr>
    </w:lvl>
    <w:lvl w:ilvl="5" w:tplc="9218121C">
      <w:start w:val="1"/>
      <w:numFmt w:val="lowerRoman"/>
      <w:lvlText w:val="%6."/>
      <w:lvlJc w:val="right"/>
      <w:pPr>
        <w:ind w:left="4320" w:hanging="180"/>
      </w:pPr>
    </w:lvl>
    <w:lvl w:ilvl="6" w:tplc="2C2CE3EA">
      <w:start w:val="1"/>
      <w:numFmt w:val="decimal"/>
      <w:lvlText w:val="%7."/>
      <w:lvlJc w:val="left"/>
      <w:pPr>
        <w:ind w:left="5040" w:hanging="360"/>
      </w:pPr>
    </w:lvl>
    <w:lvl w:ilvl="7" w:tplc="0F1600A8">
      <w:start w:val="1"/>
      <w:numFmt w:val="lowerLetter"/>
      <w:lvlText w:val="%8."/>
      <w:lvlJc w:val="left"/>
      <w:pPr>
        <w:ind w:left="5760" w:hanging="360"/>
      </w:pPr>
    </w:lvl>
    <w:lvl w:ilvl="8" w:tplc="8C506C3E">
      <w:start w:val="1"/>
      <w:numFmt w:val="lowerRoman"/>
      <w:lvlText w:val="%9."/>
      <w:lvlJc w:val="right"/>
      <w:pPr>
        <w:ind w:left="6480" w:hanging="180"/>
      </w:pPr>
    </w:lvl>
  </w:abstractNum>
  <w:abstractNum w:abstractNumId="7" w15:restartNumberingAfterBreak="0">
    <w:nsid w:val="3655D6BD"/>
    <w:multiLevelType w:val="hybridMultilevel"/>
    <w:tmpl w:val="E84A271C"/>
    <w:lvl w:ilvl="0" w:tplc="CB7E29E2">
      <w:start w:val="1"/>
      <w:numFmt w:val="bullet"/>
      <w:lvlText w:val="·"/>
      <w:lvlJc w:val="left"/>
      <w:pPr>
        <w:ind w:left="1080" w:hanging="360"/>
      </w:pPr>
      <w:rPr>
        <w:rFonts w:ascii="Symbol" w:hAnsi="Symbol" w:hint="default"/>
      </w:rPr>
    </w:lvl>
    <w:lvl w:ilvl="1" w:tplc="31748D4C">
      <w:start w:val="1"/>
      <w:numFmt w:val="bullet"/>
      <w:lvlText w:val="o"/>
      <w:lvlJc w:val="left"/>
      <w:pPr>
        <w:ind w:left="1800" w:hanging="360"/>
      </w:pPr>
      <w:rPr>
        <w:rFonts w:ascii="Courier New" w:hAnsi="Courier New" w:hint="default"/>
      </w:rPr>
    </w:lvl>
    <w:lvl w:ilvl="2" w:tplc="494656A8">
      <w:start w:val="1"/>
      <w:numFmt w:val="bullet"/>
      <w:lvlText w:val=""/>
      <w:lvlJc w:val="left"/>
      <w:pPr>
        <w:ind w:left="2520" w:hanging="360"/>
      </w:pPr>
      <w:rPr>
        <w:rFonts w:ascii="Wingdings" w:hAnsi="Wingdings" w:hint="default"/>
      </w:rPr>
    </w:lvl>
    <w:lvl w:ilvl="3" w:tplc="EC52CA76">
      <w:start w:val="1"/>
      <w:numFmt w:val="bullet"/>
      <w:lvlText w:val=""/>
      <w:lvlJc w:val="left"/>
      <w:pPr>
        <w:ind w:left="3240" w:hanging="360"/>
      </w:pPr>
      <w:rPr>
        <w:rFonts w:ascii="Symbol" w:hAnsi="Symbol" w:hint="default"/>
      </w:rPr>
    </w:lvl>
    <w:lvl w:ilvl="4" w:tplc="8E0E547A">
      <w:start w:val="1"/>
      <w:numFmt w:val="bullet"/>
      <w:lvlText w:val="o"/>
      <w:lvlJc w:val="left"/>
      <w:pPr>
        <w:ind w:left="3960" w:hanging="360"/>
      </w:pPr>
      <w:rPr>
        <w:rFonts w:ascii="Courier New" w:hAnsi="Courier New" w:hint="default"/>
      </w:rPr>
    </w:lvl>
    <w:lvl w:ilvl="5" w:tplc="64744A8C">
      <w:start w:val="1"/>
      <w:numFmt w:val="bullet"/>
      <w:lvlText w:val=""/>
      <w:lvlJc w:val="left"/>
      <w:pPr>
        <w:ind w:left="4680" w:hanging="360"/>
      </w:pPr>
      <w:rPr>
        <w:rFonts w:ascii="Wingdings" w:hAnsi="Wingdings" w:hint="default"/>
      </w:rPr>
    </w:lvl>
    <w:lvl w:ilvl="6" w:tplc="35A68E7C">
      <w:start w:val="1"/>
      <w:numFmt w:val="bullet"/>
      <w:lvlText w:val=""/>
      <w:lvlJc w:val="left"/>
      <w:pPr>
        <w:ind w:left="5400" w:hanging="360"/>
      </w:pPr>
      <w:rPr>
        <w:rFonts w:ascii="Symbol" w:hAnsi="Symbol" w:hint="default"/>
      </w:rPr>
    </w:lvl>
    <w:lvl w:ilvl="7" w:tplc="D0BC3C18">
      <w:start w:val="1"/>
      <w:numFmt w:val="bullet"/>
      <w:lvlText w:val="o"/>
      <w:lvlJc w:val="left"/>
      <w:pPr>
        <w:ind w:left="6120" w:hanging="360"/>
      </w:pPr>
      <w:rPr>
        <w:rFonts w:ascii="Courier New" w:hAnsi="Courier New" w:hint="default"/>
      </w:rPr>
    </w:lvl>
    <w:lvl w:ilvl="8" w:tplc="D9402A1A">
      <w:start w:val="1"/>
      <w:numFmt w:val="bullet"/>
      <w:lvlText w:val=""/>
      <w:lvlJc w:val="left"/>
      <w:pPr>
        <w:ind w:left="6840" w:hanging="360"/>
      </w:pPr>
      <w:rPr>
        <w:rFonts w:ascii="Wingdings" w:hAnsi="Wingdings" w:hint="default"/>
      </w:rPr>
    </w:lvl>
  </w:abstractNum>
  <w:abstractNum w:abstractNumId="8" w15:restartNumberingAfterBreak="0">
    <w:nsid w:val="39C982E9"/>
    <w:multiLevelType w:val="hybridMultilevel"/>
    <w:tmpl w:val="6C9AE7BA"/>
    <w:lvl w:ilvl="0" w:tplc="59D4AF12">
      <w:start w:val="1"/>
      <w:numFmt w:val="bullet"/>
      <w:lvlText w:val=""/>
      <w:lvlJc w:val="left"/>
      <w:pPr>
        <w:ind w:left="720" w:hanging="360"/>
      </w:pPr>
      <w:rPr>
        <w:rFonts w:ascii="Symbol" w:hAnsi="Symbol" w:hint="default"/>
      </w:rPr>
    </w:lvl>
    <w:lvl w:ilvl="1" w:tplc="B87E3C5A">
      <w:start w:val="1"/>
      <w:numFmt w:val="bullet"/>
      <w:lvlText w:val="o"/>
      <w:lvlJc w:val="left"/>
      <w:pPr>
        <w:ind w:left="1440" w:hanging="360"/>
      </w:pPr>
      <w:rPr>
        <w:rFonts w:ascii="Courier New" w:hAnsi="Courier New" w:cs="Times New Roman" w:hint="default"/>
      </w:rPr>
    </w:lvl>
    <w:lvl w:ilvl="2" w:tplc="9134E232">
      <w:start w:val="1"/>
      <w:numFmt w:val="bullet"/>
      <w:lvlText w:val=""/>
      <w:lvlJc w:val="left"/>
      <w:pPr>
        <w:ind w:left="2160" w:hanging="360"/>
      </w:pPr>
      <w:rPr>
        <w:rFonts w:ascii="Wingdings" w:hAnsi="Wingdings" w:hint="default"/>
      </w:rPr>
    </w:lvl>
    <w:lvl w:ilvl="3" w:tplc="5D9A75D4">
      <w:start w:val="1"/>
      <w:numFmt w:val="bullet"/>
      <w:lvlText w:val=""/>
      <w:lvlJc w:val="left"/>
      <w:pPr>
        <w:ind w:left="2880" w:hanging="360"/>
      </w:pPr>
      <w:rPr>
        <w:rFonts w:ascii="Symbol" w:hAnsi="Symbol" w:hint="default"/>
      </w:rPr>
    </w:lvl>
    <w:lvl w:ilvl="4" w:tplc="D6A64E7E">
      <w:start w:val="1"/>
      <w:numFmt w:val="bullet"/>
      <w:lvlText w:val="o"/>
      <w:lvlJc w:val="left"/>
      <w:pPr>
        <w:ind w:left="3600" w:hanging="360"/>
      </w:pPr>
      <w:rPr>
        <w:rFonts w:ascii="Courier New" w:hAnsi="Courier New" w:cs="Times New Roman" w:hint="default"/>
      </w:rPr>
    </w:lvl>
    <w:lvl w:ilvl="5" w:tplc="C6AEBC88">
      <w:start w:val="1"/>
      <w:numFmt w:val="bullet"/>
      <w:lvlText w:val=""/>
      <w:lvlJc w:val="left"/>
      <w:pPr>
        <w:ind w:left="4320" w:hanging="360"/>
      </w:pPr>
      <w:rPr>
        <w:rFonts w:ascii="Wingdings" w:hAnsi="Wingdings" w:hint="default"/>
      </w:rPr>
    </w:lvl>
    <w:lvl w:ilvl="6" w:tplc="2E7A64B0">
      <w:start w:val="1"/>
      <w:numFmt w:val="bullet"/>
      <w:lvlText w:val=""/>
      <w:lvlJc w:val="left"/>
      <w:pPr>
        <w:ind w:left="5040" w:hanging="360"/>
      </w:pPr>
      <w:rPr>
        <w:rFonts w:ascii="Symbol" w:hAnsi="Symbol" w:hint="default"/>
      </w:rPr>
    </w:lvl>
    <w:lvl w:ilvl="7" w:tplc="53987DA2">
      <w:start w:val="1"/>
      <w:numFmt w:val="bullet"/>
      <w:lvlText w:val="o"/>
      <w:lvlJc w:val="left"/>
      <w:pPr>
        <w:ind w:left="5760" w:hanging="360"/>
      </w:pPr>
      <w:rPr>
        <w:rFonts w:ascii="Courier New" w:hAnsi="Courier New" w:cs="Times New Roman" w:hint="default"/>
      </w:rPr>
    </w:lvl>
    <w:lvl w:ilvl="8" w:tplc="2D600934">
      <w:start w:val="1"/>
      <w:numFmt w:val="bullet"/>
      <w:lvlText w:val=""/>
      <w:lvlJc w:val="left"/>
      <w:pPr>
        <w:ind w:left="6480" w:hanging="360"/>
      </w:pPr>
      <w:rPr>
        <w:rFonts w:ascii="Wingdings" w:hAnsi="Wingdings" w:hint="default"/>
      </w:rPr>
    </w:lvl>
  </w:abstractNum>
  <w:abstractNum w:abstractNumId="9" w15:restartNumberingAfterBreak="0">
    <w:nsid w:val="574440E0"/>
    <w:multiLevelType w:val="hybridMultilevel"/>
    <w:tmpl w:val="39500654"/>
    <w:lvl w:ilvl="0" w:tplc="285485D6">
      <w:start w:val="1"/>
      <w:numFmt w:val="bullet"/>
      <w:lvlText w:val=""/>
      <w:lvlJc w:val="left"/>
      <w:pPr>
        <w:ind w:left="720" w:hanging="360"/>
      </w:pPr>
      <w:rPr>
        <w:rFonts w:ascii="Symbol" w:hAnsi="Symbol" w:hint="default"/>
      </w:rPr>
    </w:lvl>
    <w:lvl w:ilvl="1" w:tplc="E2428CBC">
      <w:start w:val="1"/>
      <w:numFmt w:val="bullet"/>
      <w:lvlText w:val="o"/>
      <w:lvlJc w:val="left"/>
      <w:pPr>
        <w:ind w:left="1440" w:hanging="360"/>
      </w:pPr>
      <w:rPr>
        <w:rFonts w:ascii="Courier New" w:hAnsi="Courier New" w:cs="Times New Roman" w:hint="default"/>
      </w:rPr>
    </w:lvl>
    <w:lvl w:ilvl="2" w:tplc="9022E5C2">
      <w:start w:val="1"/>
      <w:numFmt w:val="bullet"/>
      <w:lvlText w:val=""/>
      <w:lvlJc w:val="left"/>
      <w:pPr>
        <w:ind w:left="2160" w:hanging="360"/>
      </w:pPr>
      <w:rPr>
        <w:rFonts w:ascii="Wingdings" w:hAnsi="Wingdings" w:hint="default"/>
      </w:rPr>
    </w:lvl>
    <w:lvl w:ilvl="3" w:tplc="0B04D2EA">
      <w:start w:val="1"/>
      <w:numFmt w:val="bullet"/>
      <w:lvlText w:val=""/>
      <w:lvlJc w:val="left"/>
      <w:pPr>
        <w:ind w:left="2880" w:hanging="360"/>
      </w:pPr>
      <w:rPr>
        <w:rFonts w:ascii="Symbol" w:hAnsi="Symbol" w:hint="default"/>
      </w:rPr>
    </w:lvl>
    <w:lvl w:ilvl="4" w:tplc="FB72F66E">
      <w:start w:val="1"/>
      <w:numFmt w:val="bullet"/>
      <w:lvlText w:val="o"/>
      <w:lvlJc w:val="left"/>
      <w:pPr>
        <w:ind w:left="3600" w:hanging="360"/>
      </w:pPr>
      <w:rPr>
        <w:rFonts w:ascii="Courier New" w:hAnsi="Courier New" w:cs="Times New Roman" w:hint="default"/>
      </w:rPr>
    </w:lvl>
    <w:lvl w:ilvl="5" w:tplc="7D9C6A2E">
      <w:start w:val="1"/>
      <w:numFmt w:val="bullet"/>
      <w:lvlText w:val=""/>
      <w:lvlJc w:val="left"/>
      <w:pPr>
        <w:ind w:left="4320" w:hanging="360"/>
      </w:pPr>
      <w:rPr>
        <w:rFonts w:ascii="Wingdings" w:hAnsi="Wingdings" w:hint="default"/>
      </w:rPr>
    </w:lvl>
    <w:lvl w:ilvl="6" w:tplc="EE5E0CD2">
      <w:start w:val="1"/>
      <w:numFmt w:val="bullet"/>
      <w:lvlText w:val=""/>
      <w:lvlJc w:val="left"/>
      <w:pPr>
        <w:ind w:left="5040" w:hanging="360"/>
      </w:pPr>
      <w:rPr>
        <w:rFonts w:ascii="Symbol" w:hAnsi="Symbol" w:hint="default"/>
      </w:rPr>
    </w:lvl>
    <w:lvl w:ilvl="7" w:tplc="15887110">
      <w:start w:val="1"/>
      <w:numFmt w:val="bullet"/>
      <w:lvlText w:val="o"/>
      <w:lvlJc w:val="left"/>
      <w:pPr>
        <w:ind w:left="5760" w:hanging="360"/>
      </w:pPr>
      <w:rPr>
        <w:rFonts w:ascii="Courier New" w:hAnsi="Courier New" w:cs="Times New Roman" w:hint="default"/>
      </w:rPr>
    </w:lvl>
    <w:lvl w:ilvl="8" w:tplc="D4BCC7F8">
      <w:start w:val="1"/>
      <w:numFmt w:val="bullet"/>
      <w:lvlText w:val=""/>
      <w:lvlJc w:val="left"/>
      <w:pPr>
        <w:ind w:left="6480" w:hanging="360"/>
      </w:pPr>
      <w:rPr>
        <w:rFonts w:ascii="Wingdings" w:hAnsi="Wingdings" w:hint="default"/>
      </w:rPr>
    </w:lvl>
  </w:abstractNum>
  <w:abstractNum w:abstractNumId="10" w15:restartNumberingAfterBreak="0">
    <w:nsid w:val="61465DDE"/>
    <w:multiLevelType w:val="hybridMultilevel"/>
    <w:tmpl w:val="F9B653A2"/>
    <w:lvl w:ilvl="0" w:tplc="DBC6D07E">
      <w:start w:val="1"/>
      <w:numFmt w:val="bullet"/>
      <w:lvlText w:val="·"/>
      <w:lvlJc w:val="left"/>
      <w:pPr>
        <w:ind w:left="720" w:hanging="360"/>
      </w:pPr>
      <w:rPr>
        <w:rFonts w:ascii="Symbol" w:hAnsi="Symbol" w:hint="default"/>
      </w:rPr>
    </w:lvl>
    <w:lvl w:ilvl="1" w:tplc="F2F665F2">
      <w:start w:val="1"/>
      <w:numFmt w:val="bullet"/>
      <w:lvlText w:val="o"/>
      <w:lvlJc w:val="left"/>
      <w:pPr>
        <w:ind w:left="1440" w:hanging="360"/>
      </w:pPr>
      <w:rPr>
        <w:rFonts w:ascii="Courier New" w:hAnsi="Courier New" w:hint="default"/>
      </w:rPr>
    </w:lvl>
    <w:lvl w:ilvl="2" w:tplc="88BAC252">
      <w:start w:val="1"/>
      <w:numFmt w:val="bullet"/>
      <w:lvlText w:val=""/>
      <w:lvlJc w:val="left"/>
      <w:pPr>
        <w:ind w:left="2160" w:hanging="360"/>
      </w:pPr>
      <w:rPr>
        <w:rFonts w:ascii="Wingdings" w:hAnsi="Wingdings" w:hint="default"/>
      </w:rPr>
    </w:lvl>
    <w:lvl w:ilvl="3" w:tplc="808028CA">
      <w:start w:val="1"/>
      <w:numFmt w:val="bullet"/>
      <w:lvlText w:val=""/>
      <w:lvlJc w:val="left"/>
      <w:pPr>
        <w:ind w:left="2880" w:hanging="360"/>
      </w:pPr>
      <w:rPr>
        <w:rFonts w:ascii="Symbol" w:hAnsi="Symbol" w:hint="default"/>
      </w:rPr>
    </w:lvl>
    <w:lvl w:ilvl="4" w:tplc="4ACCEEFA">
      <w:start w:val="1"/>
      <w:numFmt w:val="bullet"/>
      <w:lvlText w:val="o"/>
      <w:lvlJc w:val="left"/>
      <w:pPr>
        <w:ind w:left="3600" w:hanging="360"/>
      </w:pPr>
      <w:rPr>
        <w:rFonts w:ascii="Courier New" w:hAnsi="Courier New" w:hint="default"/>
      </w:rPr>
    </w:lvl>
    <w:lvl w:ilvl="5" w:tplc="A3D84860">
      <w:start w:val="1"/>
      <w:numFmt w:val="bullet"/>
      <w:lvlText w:val=""/>
      <w:lvlJc w:val="left"/>
      <w:pPr>
        <w:ind w:left="4320" w:hanging="360"/>
      </w:pPr>
      <w:rPr>
        <w:rFonts w:ascii="Wingdings" w:hAnsi="Wingdings" w:hint="default"/>
      </w:rPr>
    </w:lvl>
    <w:lvl w:ilvl="6" w:tplc="F5346E5E">
      <w:start w:val="1"/>
      <w:numFmt w:val="bullet"/>
      <w:lvlText w:val=""/>
      <w:lvlJc w:val="left"/>
      <w:pPr>
        <w:ind w:left="5040" w:hanging="360"/>
      </w:pPr>
      <w:rPr>
        <w:rFonts w:ascii="Symbol" w:hAnsi="Symbol" w:hint="default"/>
      </w:rPr>
    </w:lvl>
    <w:lvl w:ilvl="7" w:tplc="A3C4124E">
      <w:start w:val="1"/>
      <w:numFmt w:val="bullet"/>
      <w:lvlText w:val="o"/>
      <w:lvlJc w:val="left"/>
      <w:pPr>
        <w:ind w:left="5760" w:hanging="360"/>
      </w:pPr>
      <w:rPr>
        <w:rFonts w:ascii="Courier New" w:hAnsi="Courier New" w:hint="default"/>
      </w:rPr>
    </w:lvl>
    <w:lvl w:ilvl="8" w:tplc="7D105460">
      <w:start w:val="1"/>
      <w:numFmt w:val="bullet"/>
      <w:lvlText w:val=""/>
      <w:lvlJc w:val="left"/>
      <w:pPr>
        <w:ind w:left="6480" w:hanging="360"/>
      </w:pPr>
      <w:rPr>
        <w:rFonts w:ascii="Wingdings" w:hAnsi="Wingdings" w:hint="default"/>
      </w:rPr>
    </w:lvl>
  </w:abstractNum>
  <w:abstractNum w:abstractNumId="11" w15:restartNumberingAfterBreak="0">
    <w:nsid w:val="6FFC67D4"/>
    <w:multiLevelType w:val="hybridMultilevel"/>
    <w:tmpl w:val="17429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C0C04A"/>
    <w:multiLevelType w:val="hybridMultilevel"/>
    <w:tmpl w:val="EBD6F422"/>
    <w:lvl w:ilvl="0" w:tplc="08504BDC">
      <w:start w:val="1"/>
      <w:numFmt w:val="bullet"/>
      <w:lvlText w:val="o"/>
      <w:lvlJc w:val="left"/>
      <w:pPr>
        <w:ind w:left="2160" w:hanging="360"/>
      </w:pPr>
      <w:rPr>
        <w:rFonts w:ascii="Courier New" w:hAnsi="Courier New" w:hint="default"/>
      </w:rPr>
    </w:lvl>
    <w:lvl w:ilvl="1" w:tplc="8F24F516">
      <w:start w:val="1"/>
      <w:numFmt w:val="bullet"/>
      <w:lvlText w:val="o"/>
      <w:lvlJc w:val="left"/>
      <w:pPr>
        <w:ind w:left="2880" w:hanging="360"/>
      </w:pPr>
      <w:rPr>
        <w:rFonts w:ascii="Courier New" w:hAnsi="Courier New" w:hint="default"/>
      </w:rPr>
    </w:lvl>
    <w:lvl w:ilvl="2" w:tplc="FFDAED78">
      <w:start w:val="1"/>
      <w:numFmt w:val="bullet"/>
      <w:lvlText w:val=""/>
      <w:lvlJc w:val="left"/>
      <w:pPr>
        <w:ind w:left="3600" w:hanging="360"/>
      </w:pPr>
      <w:rPr>
        <w:rFonts w:ascii="Wingdings" w:hAnsi="Wingdings" w:hint="default"/>
      </w:rPr>
    </w:lvl>
    <w:lvl w:ilvl="3" w:tplc="B09251BE">
      <w:start w:val="1"/>
      <w:numFmt w:val="bullet"/>
      <w:lvlText w:val=""/>
      <w:lvlJc w:val="left"/>
      <w:pPr>
        <w:ind w:left="4320" w:hanging="360"/>
      </w:pPr>
      <w:rPr>
        <w:rFonts w:ascii="Symbol" w:hAnsi="Symbol" w:hint="default"/>
      </w:rPr>
    </w:lvl>
    <w:lvl w:ilvl="4" w:tplc="3F1C6206">
      <w:start w:val="1"/>
      <w:numFmt w:val="bullet"/>
      <w:lvlText w:val="o"/>
      <w:lvlJc w:val="left"/>
      <w:pPr>
        <w:ind w:left="5040" w:hanging="360"/>
      </w:pPr>
      <w:rPr>
        <w:rFonts w:ascii="Courier New" w:hAnsi="Courier New" w:hint="default"/>
      </w:rPr>
    </w:lvl>
    <w:lvl w:ilvl="5" w:tplc="ED706652">
      <w:start w:val="1"/>
      <w:numFmt w:val="bullet"/>
      <w:lvlText w:val=""/>
      <w:lvlJc w:val="left"/>
      <w:pPr>
        <w:ind w:left="5760" w:hanging="360"/>
      </w:pPr>
      <w:rPr>
        <w:rFonts w:ascii="Wingdings" w:hAnsi="Wingdings" w:hint="default"/>
      </w:rPr>
    </w:lvl>
    <w:lvl w:ilvl="6" w:tplc="C3261BBE">
      <w:start w:val="1"/>
      <w:numFmt w:val="bullet"/>
      <w:lvlText w:val=""/>
      <w:lvlJc w:val="left"/>
      <w:pPr>
        <w:ind w:left="6480" w:hanging="360"/>
      </w:pPr>
      <w:rPr>
        <w:rFonts w:ascii="Symbol" w:hAnsi="Symbol" w:hint="default"/>
      </w:rPr>
    </w:lvl>
    <w:lvl w:ilvl="7" w:tplc="9DE87806">
      <w:start w:val="1"/>
      <w:numFmt w:val="bullet"/>
      <w:lvlText w:val="o"/>
      <w:lvlJc w:val="left"/>
      <w:pPr>
        <w:ind w:left="7200" w:hanging="360"/>
      </w:pPr>
      <w:rPr>
        <w:rFonts w:ascii="Courier New" w:hAnsi="Courier New" w:hint="default"/>
      </w:rPr>
    </w:lvl>
    <w:lvl w:ilvl="8" w:tplc="1EEA51DA">
      <w:start w:val="1"/>
      <w:numFmt w:val="bullet"/>
      <w:lvlText w:val=""/>
      <w:lvlJc w:val="left"/>
      <w:pPr>
        <w:ind w:left="7920" w:hanging="360"/>
      </w:pPr>
      <w:rPr>
        <w:rFonts w:ascii="Wingdings" w:hAnsi="Wingdings" w:hint="default"/>
      </w:rPr>
    </w:lvl>
  </w:abstractNum>
  <w:abstractNum w:abstractNumId="13" w15:restartNumberingAfterBreak="0">
    <w:nsid w:val="78EC5498"/>
    <w:multiLevelType w:val="hybridMultilevel"/>
    <w:tmpl w:val="8D7AE2B0"/>
    <w:lvl w:ilvl="0" w:tplc="FEB28178">
      <w:start w:val="1"/>
      <w:numFmt w:val="bullet"/>
      <w:lvlText w:val="·"/>
      <w:lvlJc w:val="left"/>
      <w:pPr>
        <w:ind w:left="1080" w:hanging="360"/>
      </w:pPr>
      <w:rPr>
        <w:rFonts w:ascii="Symbol" w:hAnsi="Symbol" w:hint="default"/>
      </w:rPr>
    </w:lvl>
    <w:lvl w:ilvl="1" w:tplc="722ECBB8">
      <w:start w:val="1"/>
      <w:numFmt w:val="bullet"/>
      <w:lvlText w:val="o"/>
      <w:lvlJc w:val="left"/>
      <w:pPr>
        <w:ind w:left="1800" w:hanging="360"/>
      </w:pPr>
      <w:rPr>
        <w:rFonts w:ascii="Courier New" w:hAnsi="Courier New" w:hint="default"/>
      </w:rPr>
    </w:lvl>
    <w:lvl w:ilvl="2" w:tplc="E37EDF08">
      <w:start w:val="1"/>
      <w:numFmt w:val="bullet"/>
      <w:lvlText w:val=""/>
      <w:lvlJc w:val="left"/>
      <w:pPr>
        <w:ind w:left="2520" w:hanging="360"/>
      </w:pPr>
      <w:rPr>
        <w:rFonts w:ascii="Wingdings" w:hAnsi="Wingdings" w:hint="default"/>
      </w:rPr>
    </w:lvl>
    <w:lvl w:ilvl="3" w:tplc="D34ED67A">
      <w:start w:val="1"/>
      <w:numFmt w:val="bullet"/>
      <w:lvlText w:val=""/>
      <w:lvlJc w:val="left"/>
      <w:pPr>
        <w:ind w:left="3240" w:hanging="360"/>
      </w:pPr>
      <w:rPr>
        <w:rFonts w:ascii="Symbol" w:hAnsi="Symbol" w:hint="default"/>
      </w:rPr>
    </w:lvl>
    <w:lvl w:ilvl="4" w:tplc="A4C0D7A0">
      <w:start w:val="1"/>
      <w:numFmt w:val="bullet"/>
      <w:lvlText w:val="o"/>
      <w:lvlJc w:val="left"/>
      <w:pPr>
        <w:ind w:left="3960" w:hanging="360"/>
      </w:pPr>
      <w:rPr>
        <w:rFonts w:ascii="Courier New" w:hAnsi="Courier New" w:hint="default"/>
      </w:rPr>
    </w:lvl>
    <w:lvl w:ilvl="5" w:tplc="CC488E9C">
      <w:start w:val="1"/>
      <w:numFmt w:val="bullet"/>
      <w:lvlText w:val=""/>
      <w:lvlJc w:val="left"/>
      <w:pPr>
        <w:ind w:left="4680" w:hanging="360"/>
      </w:pPr>
      <w:rPr>
        <w:rFonts w:ascii="Wingdings" w:hAnsi="Wingdings" w:hint="default"/>
      </w:rPr>
    </w:lvl>
    <w:lvl w:ilvl="6" w:tplc="9BF69990">
      <w:start w:val="1"/>
      <w:numFmt w:val="bullet"/>
      <w:lvlText w:val=""/>
      <w:lvlJc w:val="left"/>
      <w:pPr>
        <w:ind w:left="5400" w:hanging="360"/>
      </w:pPr>
      <w:rPr>
        <w:rFonts w:ascii="Symbol" w:hAnsi="Symbol" w:hint="default"/>
      </w:rPr>
    </w:lvl>
    <w:lvl w:ilvl="7" w:tplc="8FFA16F0">
      <w:start w:val="1"/>
      <w:numFmt w:val="bullet"/>
      <w:lvlText w:val="o"/>
      <w:lvlJc w:val="left"/>
      <w:pPr>
        <w:ind w:left="6120" w:hanging="360"/>
      </w:pPr>
      <w:rPr>
        <w:rFonts w:ascii="Courier New" w:hAnsi="Courier New" w:hint="default"/>
      </w:rPr>
    </w:lvl>
    <w:lvl w:ilvl="8" w:tplc="53762A62">
      <w:start w:val="1"/>
      <w:numFmt w:val="bullet"/>
      <w:lvlText w:val=""/>
      <w:lvlJc w:val="left"/>
      <w:pPr>
        <w:ind w:left="6840" w:hanging="360"/>
      </w:pPr>
      <w:rPr>
        <w:rFonts w:ascii="Wingdings" w:hAnsi="Wingdings" w:hint="default"/>
      </w:rPr>
    </w:lvl>
  </w:abstractNum>
  <w:num w:numId="1" w16cid:durableId="1785424679">
    <w:abstractNumId w:val="6"/>
  </w:num>
  <w:num w:numId="2" w16cid:durableId="113182872">
    <w:abstractNumId w:val="5"/>
  </w:num>
  <w:num w:numId="3" w16cid:durableId="1378623666">
    <w:abstractNumId w:val="1"/>
  </w:num>
  <w:num w:numId="4" w16cid:durableId="1427532207">
    <w:abstractNumId w:val="0"/>
  </w:num>
  <w:num w:numId="5" w16cid:durableId="798110415">
    <w:abstractNumId w:val="11"/>
  </w:num>
  <w:num w:numId="6" w16cid:durableId="1720668839">
    <w:abstractNumId w:val="9"/>
  </w:num>
  <w:num w:numId="7" w16cid:durableId="552934148">
    <w:abstractNumId w:val="4"/>
  </w:num>
  <w:num w:numId="8" w16cid:durableId="214128077">
    <w:abstractNumId w:val="8"/>
  </w:num>
  <w:num w:numId="9" w16cid:durableId="2126070469">
    <w:abstractNumId w:val="12"/>
  </w:num>
  <w:num w:numId="10" w16cid:durableId="1872839560">
    <w:abstractNumId w:val="2"/>
  </w:num>
  <w:num w:numId="11" w16cid:durableId="1803041131">
    <w:abstractNumId w:val="3"/>
  </w:num>
  <w:num w:numId="12" w16cid:durableId="381103335">
    <w:abstractNumId w:val="10"/>
  </w:num>
  <w:num w:numId="13" w16cid:durableId="350379345">
    <w:abstractNumId w:val="13"/>
  </w:num>
  <w:num w:numId="14" w16cid:durableId="9831233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9A1"/>
    <w:rsid w:val="00033E5B"/>
    <w:rsid w:val="0007269C"/>
    <w:rsid w:val="000A31D9"/>
    <w:rsid w:val="000B6428"/>
    <w:rsid w:val="000C658E"/>
    <w:rsid w:val="000C714A"/>
    <w:rsid w:val="000D7823"/>
    <w:rsid w:val="00102731"/>
    <w:rsid w:val="00143FAE"/>
    <w:rsid w:val="00144EAC"/>
    <w:rsid w:val="001613F7"/>
    <w:rsid w:val="00162B3A"/>
    <w:rsid w:val="0018078F"/>
    <w:rsid w:val="001841EC"/>
    <w:rsid w:val="00186449"/>
    <w:rsid w:val="001969B2"/>
    <w:rsid w:val="001B60E3"/>
    <w:rsid w:val="001D02B8"/>
    <w:rsid w:val="001D7150"/>
    <w:rsid w:val="001F0AE6"/>
    <w:rsid w:val="001F7D21"/>
    <w:rsid w:val="0022547E"/>
    <w:rsid w:val="00254A5B"/>
    <w:rsid w:val="0026220B"/>
    <w:rsid w:val="00270FCB"/>
    <w:rsid w:val="00296A79"/>
    <w:rsid w:val="002C4347"/>
    <w:rsid w:val="002E6DB0"/>
    <w:rsid w:val="002F08C1"/>
    <w:rsid w:val="002F4581"/>
    <w:rsid w:val="002F5744"/>
    <w:rsid w:val="00300415"/>
    <w:rsid w:val="003851D3"/>
    <w:rsid w:val="00386228"/>
    <w:rsid w:val="003B5409"/>
    <w:rsid w:val="003C1053"/>
    <w:rsid w:val="003C58AE"/>
    <w:rsid w:val="003D5F76"/>
    <w:rsid w:val="003F5932"/>
    <w:rsid w:val="0043479C"/>
    <w:rsid w:val="00441A75"/>
    <w:rsid w:val="00441D5C"/>
    <w:rsid w:val="004510F4"/>
    <w:rsid w:val="00460F21"/>
    <w:rsid w:val="00492B70"/>
    <w:rsid w:val="004A37A0"/>
    <w:rsid w:val="004F4377"/>
    <w:rsid w:val="0050354C"/>
    <w:rsid w:val="0053200A"/>
    <w:rsid w:val="00542309"/>
    <w:rsid w:val="00542DC7"/>
    <w:rsid w:val="00557830"/>
    <w:rsid w:val="0057686A"/>
    <w:rsid w:val="00591270"/>
    <w:rsid w:val="005A27D9"/>
    <w:rsid w:val="005B0372"/>
    <w:rsid w:val="005E397C"/>
    <w:rsid w:val="005E48FE"/>
    <w:rsid w:val="00631CB3"/>
    <w:rsid w:val="006400A9"/>
    <w:rsid w:val="00690D3B"/>
    <w:rsid w:val="006963B4"/>
    <w:rsid w:val="0069797F"/>
    <w:rsid w:val="006C37DC"/>
    <w:rsid w:val="006C7848"/>
    <w:rsid w:val="006C7B40"/>
    <w:rsid w:val="006E25FC"/>
    <w:rsid w:val="006F53CF"/>
    <w:rsid w:val="007020B4"/>
    <w:rsid w:val="00726839"/>
    <w:rsid w:val="00736B1B"/>
    <w:rsid w:val="00742B2A"/>
    <w:rsid w:val="007528D4"/>
    <w:rsid w:val="00770D87"/>
    <w:rsid w:val="00791A0A"/>
    <w:rsid w:val="00791B35"/>
    <w:rsid w:val="00796B86"/>
    <w:rsid w:val="007A540E"/>
    <w:rsid w:val="007C103F"/>
    <w:rsid w:val="007C4CA2"/>
    <w:rsid w:val="00801116"/>
    <w:rsid w:val="00804F2D"/>
    <w:rsid w:val="00827940"/>
    <w:rsid w:val="00835ECB"/>
    <w:rsid w:val="00865EB2"/>
    <w:rsid w:val="00871A8F"/>
    <w:rsid w:val="0087364A"/>
    <w:rsid w:val="00875B0A"/>
    <w:rsid w:val="00887CF4"/>
    <w:rsid w:val="008B581C"/>
    <w:rsid w:val="008C15E9"/>
    <w:rsid w:val="008F344A"/>
    <w:rsid w:val="009053FD"/>
    <w:rsid w:val="00915A89"/>
    <w:rsid w:val="009177CC"/>
    <w:rsid w:val="00942E38"/>
    <w:rsid w:val="009437CF"/>
    <w:rsid w:val="00950EFF"/>
    <w:rsid w:val="00954589"/>
    <w:rsid w:val="00964F33"/>
    <w:rsid w:val="00967171"/>
    <w:rsid w:val="0097089A"/>
    <w:rsid w:val="009A663E"/>
    <w:rsid w:val="00A46E15"/>
    <w:rsid w:val="00A53AD6"/>
    <w:rsid w:val="00A53F56"/>
    <w:rsid w:val="00A63F1E"/>
    <w:rsid w:val="00A67645"/>
    <w:rsid w:val="00AA0469"/>
    <w:rsid w:val="00AB1D6E"/>
    <w:rsid w:val="00AC67A5"/>
    <w:rsid w:val="00AD4986"/>
    <w:rsid w:val="00AE566F"/>
    <w:rsid w:val="00B200BB"/>
    <w:rsid w:val="00B219A1"/>
    <w:rsid w:val="00B2632E"/>
    <w:rsid w:val="00B344A8"/>
    <w:rsid w:val="00B52457"/>
    <w:rsid w:val="00B52FAF"/>
    <w:rsid w:val="00B758B1"/>
    <w:rsid w:val="00BC43D9"/>
    <w:rsid w:val="00BC4674"/>
    <w:rsid w:val="00BC62D2"/>
    <w:rsid w:val="00C06B16"/>
    <w:rsid w:val="00C13A34"/>
    <w:rsid w:val="00C4679A"/>
    <w:rsid w:val="00C54593"/>
    <w:rsid w:val="00C60FC1"/>
    <w:rsid w:val="00C834BC"/>
    <w:rsid w:val="00C87487"/>
    <w:rsid w:val="00CE5D14"/>
    <w:rsid w:val="00D021C1"/>
    <w:rsid w:val="00D06583"/>
    <w:rsid w:val="00D102C6"/>
    <w:rsid w:val="00D1580B"/>
    <w:rsid w:val="00D32FFC"/>
    <w:rsid w:val="00D42E24"/>
    <w:rsid w:val="00D44479"/>
    <w:rsid w:val="00D52F20"/>
    <w:rsid w:val="00D56928"/>
    <w:rsid w:val="00D60C58"/>
    <w:rsid w:val="00DB40D8"/>
    <w:rsid w:val="00DD1A05"/>
    <w:rsid w:val="00DF34BF"/>
    <w:rsid w:val="00E3282B"/>
    <w:rsid w:val="00E466A8"/>
    <w:rsid w:val="00E47516"/>
    <w:rsid w:val="00E50C2D"/>
    <w:rsid w:val="00E82AEC"/>
    <w:rsid w:val="00E9097F"/>
    <w:rsid w:val="00E97FF6"/>
    <w:rsid w:val="00ED6275"/>
    <w:rsid w:val="00EE6571"/>
    <w:rsid w:val="00F112BB"/>
    <w:rsid w:val="00F3143C"/>
    <w:rsid w:val="00F4606D"/>
    <w:rsid w:val="00F71937"/>
    <w:rsid w:val="00F9518C"/>
    <w:rsid w:val="00F979F2"/>
    <w:rsid w:val="00FC63F7"/>
    <w:rsid w:val="00FD5F4C"/>
    <w:rsid w:val="00FF1030"/>
    <w:rsid w:val="00FF337D"/>
    <w:rsid w:val="04794590"/>
    <w:rsid w:val="05D7FB54"/>
    <w:rsid w:val="07047782"/>
    <w:rsid w:val="076B1481"/>
    <w:rsid w:val="0C5AFEA5"/>
    <w:rsid w:val="0D6EE428"/>
    <w:rsid w:val="0E3604C1"/>
    <w:rsid w:val="0F6FCDE6"/>
    <w:rsid w:val="107F3C1D"/>
    <w:rsid w:val="11F4979C"/>
    <w:rsid w:val="1215A84C"/>
    <w:rsid w:val="1441CBB1"/>
    <w:rsid w:val="14AE0599"/>
    <w:rsid w:val="151FCCD3"/>
    <w:rsid w:val="155B291E"/>
    <w:rsid w:val="15C85A04"/>
    <w:rsid w:val="17F0D3C2"/>
    <w:rsid w:val="17FB1762"/>
    <w:rsid w:val="18A05ACF"/>
    <w:rsid w:val="190B1598"/>
    <w:rsid w:val="19381597"/>
    <w:rsid w:val="198C84FF"/>
    <w:rsid w:val="19D9C834"/>
    <w:rsid w:val="1ADD3E25"/>
    <w:rsid w:val="1CA7F12D"/>
    <w:rsid w:val="1E858DB3"/>
    <w:rsid w:val="20AE09AB"/>
    <w:rsid w:val="23752B6B"/>
    <w:rsid w:val="2651FFD9"/>
    <w:rsid w:val="2674963E"/>
    <w:rsid w:val="27DE66BE"/>
    <w:rsid w:val="2A4C478E"/>
    <w:rsid w:val="2BC83196"/>
    <w:rsid w:val="2BDCFEFD"/>
    <w:rsid w:val="2D691C91"/>
    <w:rsid w:val="318F0BDA"/>
    <w:rsid w:val="3371B97B"/>
    <w:rsid w:val="355A9F82"/>
    <w:rsid w:val="359F2BBD"/>
    <w:rsid w:val="35C45C47"/>
    <w:rsid w:val="38D53449"/>
    <w:rsid w:val="3A9C55E2"/>
    <w:rsid w:val="3B6A72C7"/>
    <w:rsid w:val="3B8AC5FF"/>
    <w:rsid w:val="3F32F136"/>
    <w:rsid w:val="4051694F"/>
    <w:rsid w:val="43E99BEA"/>
    <w:rsid w:val="44747D9F"/>
    <w:rsid w:val="467374FB"/>
    <w:rsid w:val="46BF3092"/>
    <w:rsid w:val="4A42F71F"/>
    <w:rsid w:val="4AA5DBFA"/>
    <w:rsid w:val="4CCDDF82"/>
    <w:rsid w:val="4CECB343"/>
    <w:rsid w:val="4D5AC9B2"/>
    <w:rsid w:val="5096B468"/>
    <w:rsid w:val="50D0E9C7"/>
    <w:rsid w:val="55DE08C1"/>
    <w:rsid w:val="56198975"/>
    <w:rsid w:val="57967235"/>
    <w:rsid w:val="5B380187"/>
    <w:rsid w:val="5DD78AB4"/>
    <w:rsid w:val="5E690714"/>
    <w:rsid w:val="5FA5D9E8"/>
    <w:rsid w:val="606AE220"/>
    <w:rsid w:val="61813C6D"/>
    <w:rsid w:val="61851701"/>
    <w:rsid w:val="6225A860"/>
    <w:rsid w:val="631ACC70"/>
    <w:rsid w:val="64172DE2"/>
    <w:rsid w:val="66E8E5C4"/>
    <w:rsid w:val="679C61E8"/>
    <w:rsid w:val="6A5368DD"/>
    <w:rsid w:val="6B4A4400"/>
    <w:rsid w:val="6DDE4E93"/>
    <w:rsid w:val="6F205DE5"/>
    <w:rsid w:val="71BC974A"/>
    <w:rsid w:val="745A53E3"/>
    <w:rsid w:val="7461C2BD"/>
    <w:rsid w:val="74EF221B"/>
    <w:rsid w:val="756D313D"/>
    <w:rsid w:val="762B23A5"/>
    <w:rsid w:val="76EDE81B"/>
    <w:rsid w:val="76F1256A"/>
    <w:rsid w:val="7896588D"/>
    <w:rsid w:val="79CC83FC"/>
    <w:rsid w:val="7A928C70"/>
    <w:rsid w:val="7B153670"/>
    <w:rsid w:val="7D04D8F9"/>
    <w:rsid w:val="7F6C8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01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7B40"/>
  </w:style>
  <w:style w:type="paragraph" w:styleId="Heading1">
    <w:name w:val="heading 1"/>
    <w:basedOn w:val="Normal"/>
    <w:next w:val="Normal"/>
    <w:link w:val="Heading1Char"/>
    <w:autoRedefine/>
    <w:uiPriority w:val="9"/>
    <w:qFormat/>
    <w:rsid w:val="00875B0A"/>
    <w:pPr>
      <w:pBdr>
        <w:bottom w:val="single" w:sz="4" w:space="1" w:color="auto"/>
      </w:pBdr>
      <w:outlineLvl w:val="0"/>
    </w:pPr>
    <w:rPr>
      <w:rFonts w:ascii="Montserrat" w:hAnsi="Montserrat"/>
      <w:b/>
      <w:bCs/>
      <w:sz w:val="40"/>
      <w:szCs w:val="40"/>
    </w:rPr>
  </w:style>
  <w:style w:type="paragraph" w:styleId="Heading2">
    <w:name w:val="heading 2"/>
    <w:basedOn w:val="Normal"/>
    <w:next w:val="Normal"/>
    <w:link w:val="Heading2Char"/>
    <w:uiPriority w:val="9"/>
    <w:unhideWhenUsed/>
    <w:qFormat/>
    <w:rsid w:val="00871A8F"/>
    <w:pPr>
      <w:outlineLvl w:val="1"/>
    </w:pPr>
    <w:rPr>
      <w:rFonts w:ascii="Montserrat" w:hAnsi="Montserrat"/>
      <w:b/>
      <w:bCs/>
      <w:sz w:val="32"/>
      <w:szCs w:val="32"/>
    </w:rPr>
  </w:style>
  <w:style w:type="paragraph" w:styleId="Heading3">
    <w:name w:val="heading 3"/>
    <w:basedOn w:val="Normal"/>
    <w:next w:val="Normal"/>
    <w:link w:val="Heading3Char"/>
    <w:uiPriority w:val="9"/>
    <w:unhideWhenUsed/>
    <w:qFormat/>
    <w:rsid w:val="003C1053"/>
    <w:pPr>
      <w:outlineLvl w:val="2"/>
    </w:pPr>
    <w:rPr>
      <w:rFonts w:ascii="Montserrat" w:hAnsi="Montserrat"/>
      <w:b/>
      <w:bCs/>
      <w:noProof/>
      <w:sz w:val="28"/>
      <w:szCs w:val="28"/>
    </w:rPr>
  </w:style>
  <w:style w:type="paragraph" w:styleId="Heading4">
    <w:name w:val="heading 4"/>
    <w:basedOn w:val="Normal"/>
    <w:next w:val="Normal"/>
    <w:link w:val="Heading4Char"/>
    <w:uiPriority w:val="9"/>
    <w:semiHidden/>
    <w:unhideWhenUsed/>
    <w:rsid w:val="001D02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02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02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2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2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2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B0A"/>
    <w:rPr>
      <w:rFonts w:ascii="Montserrat" w:hAnsi="Montserrat"/>
      <w:b/>
      <w:bCs/>
      <w:sz w:val="40"/>
      <w:szCs w:val="40"/>
    </w:rPr>
  </w:style>
  <w:style w:type="character" w:customStyle="1" w:styleId="Heading2Char">
    <w:name w:val="Heading 2 Char"/>
    <w:basedOn w:val="DefaultParagraphFont"/>
    <w:link w:val="Heading2"/>
    <w:uiPriority w:val="9"/>
    <w:rsid w:val="00871A8F"/>
    <w:rPr>
      <w:rFonts w:ascii="Montserrat" w:hAnsi="Montserrat"/>
      <w:b/>
      <w:bCs/>
      <w:sz w:val="32"/>
      <w:szCs w:val="32"/>
    </w:rPr>
  </w:style>
  <w:style w:type="character" w:customStyle="1" w:styleId="Heading3Char">
    <w:name w:val="Heading 3 Char"/>
    <w:basedOn w:val="DefaultParagraphFont"/>
    <w:link w:val="Heading3"/>
    <w:uiPriority w:val="9"/>
    <w:rsid w:val="003C1053"/>
    <w:rPr>
      <w:rFonts w:ascii="Montserrat" w:hAnsi="Montserrat"/>
      <w:b/>
      <w:bCs/>
      <w:noProof/>
      <w:sz w:val="28"/>
      <w:szCs w:val="28"/>
    </w:rPr>
  </w:style>
  <w:style w:type="character" w:customStyle="1" w:styleId="Heading4Char">
    <w:name w:val="Heading 4 Char"/>
    <w:basedOn w:val="DefaultParagraphFont"/>
    <w:link w:val="Heading4"/>
    <w:uiPriority w:val="9"/>
    <w:semiHidden/>
    <w:rsid w:val="001D02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02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02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2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2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2B8"/>
    <w:rPr>
      <w:rFonts w:eastAsiaTheme="majorEastAsia" w:cstheme="majorBidi"/>
      <w:color w:val="272727" w:themeColor="text1" w:themeTint="D8"/>
    </w:rPr>
  </w:style>
  <w:style w:type="paragraph" w:styleId="Title">
    <w:name w:val="Title"/>
    <w:basedOn w:val="Normal"/>
    <w:next w:val="Normal"/>
    <w:link w:val="TitleChar"/>
    <w:uiPriority w:val="10"/>
    <w:rsid w:val="00871A8F"/>
    <w:rPr>
      <w:rFonts w:ascii="Montserrat" w:hAnsi="Montserrat" w:cs="Open Sans"/>
      <w:b/>
      <w:bCs/>
      <w:sz w:val="48"/>
      <w:szCs w:val="48"/>
    </w:rPr>
  </w:style>
  <w:style w:type="character" w:customStyle="1" w:styleId="TitleChar">
    <w:name w:val="Title Char"/>
    <w:basedOn w:val="DefaultParagraphFont"/>
    <w:link w:val="Title"/>
    <w:uiPriority w:val="10"/>
    <w:rsid w:val="00871A8F"/>
    <w:rPr>
      <w:rFonts w:ascii="Montserrat" w:hAnsi="Montserrat" w:cs="Open Sans"/>
      <w:b/>
      <w:bCs/>
      <w:sz w:val="48"/>
      <w:szCs w:val="48"/>
    </w:rPr>
  </w:style>
  <w:style w:type="paragraph" w:styleId="Subtitle">
    <w:name w:val="Subtitle"/>
    <w:basedOn w:val="Normal"/>
    <w:next w:val="Normal"/>
    <w:link w:val="SubtitleChar"/>
    <w:uiPriority w:val="11"/>
    <w:qFormat/>
    <w:rsid w:val="003C1053"/>
    <w:rPr>
      <w:rFonts w:ascii="Montserrat" w:hAnsi="Montserrat"/>
      <w:color w:val="3A3A3A" w:themeColor="background2" w:themeShade="40"/>
      <w:sz w:val="28"/>
      <w:szCs w:val="28"/>
    </w:rPr>
  </w:style>
  <w:style w:type="character" w:customStyle="1" w:styleId="SubtitleChar">
    <w:name w:val="Subtitle Char"/>
    <w:basedOn w:val="DefaultParagraphFont"/>
    <w:link w:val="Subtitle"/>
    <w:uiPriority w:val="11"/>
    <w:rsid w:val="003C1053"/>
    <w:rPr>
      <w:rFonts w:ascii="Montserrat" w:hAnsi="Montserrat"/>
      <w:color w:val="3A3A3A" w:themeColor="background2" w:themeShade="40"/>
      <w:sz w:val="28"/>
      <w:szCs w:val="28"/>
    </w:rPr>
  </w:style>
  <w:style w:type="paragraph" w:styleId="Quote">
    <w:name w:val="Quote"/>
    <w:basedOn w:val="Normal"/>
    <w:next w:val="Normal"/>
    <w:link w:val="QuoteChar"/>
    <w:uiPriority w:val="29"/>
    <w:qFormat/>
    <w:rsid w:val="00871A8F"/>
    <w:pPr>
      <w:spacing w:before="160"/>
      <w:jc w:val="center"/>
    </w:pPr>
    <w:rPr>
      <w:rFonts w:ascii="Open Sans" w:hAnsi="Open Sans" w:cs="Open Sans"/>
      <w:i/>
      <w:iCs/>
      <w:color w:val="404040" w:themeColor="text1" w:themeTint="BF"/>
    </w:rPr>
  </w:style>
  <w:style w:type="character" w:customStyle="1" w:styleId="QuoteChar">
    <w:name w:val="Quote Char"/>
    <w:basedOn w:val="DefaultParagraphFont"/>
    <w:link w:val="Quote"/>
    <w:uiPriority w:val="29"/>
    <w:rsid w:val="00871A8F"/>
    <w:rPr>
      <w:rFonts w:ascii="Open Sans" w:hAnsi="Open Sans" w:cs="Open Sans"/>
      <w:i/>
      <w:iCs/>
      <w:color w:val="404040" w:themeColor="text1" w:themeTint="BF"/>
    </w:rPr>
  </w:style>
  <w:style w:type="paragraph" w:styleId="ListParagraph">
    <w:name w:val="List Paragraph"/>
    <w:basedOn w:val="Normal"/>
    <w:uiPriority w:val="34"/>
    <w:rsid w:val="001D02B8"/>
    <w:pPr>
      <w:ind w:left="720"/>
      <w:contextualSpacing/>
    </w:pPr>
  </w:style>
  <w:style w:type="character" w:styleId="IntenseEmphasis">
    <w:name w:val="Intense Emphasis"/>
    <w:uiPriority w:val="21"/>
    <w:qFormat/>
    <w:rsid w:val="0022547E"/>
    <w:rPr>
      <w:rFonts w:ascii="Open Sans" w:hAnsi="Open Sans" w:cs="Open Sans"/>
      <w:i/>
      <w:iCs/>
      <w:color w:val="015390"/>
    </w:rPr>
  </w:style>
  <w:style w:type="paragraph" w:styleId="IntenseQuote">
    <w:name w:val="Intense Quote"/>
    <w:basedOn w:val="Normal"/>
    <w:next w:val="Normal"/>
    <w:link w:val="IntenseQuoteChar"/>
    <w:uiPriority w:val="30"/>
    <w:rsid w:val="001D02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02B8"/>
    <w:rPr>
      <w:i/>
      <w:iCs/>
      <w:color w:val="0F4761" w:themeColor="accent1" w:themeShade="BF"/>
    </w:rPr>
  </w:style>
  <w:style w:type="character" w:styleId="IntenseReference">
    <w:name w:val="Intense Reference"/>
    <w:basedOn w:val="DefaultParagraphFont"/>
    <w:uiPriority w:val="32"/>
    <w:rsid w:val="001D02B8"/>
    <w:rPr>
      <w:b/>
      <w:bCs/>
      <w:smallCaps/>
      <w:color w:val="0F4761" w:themeColor="accent1" w:themeShade="BF"/>
      <w:spacing w:val="5"/>
    </w:rPr>
  </w:style>
  <w:style w:type="paragraph" w:styleId="Header">
    <w:name w:val="header"/>
    <w:basedOn w:val="Normal"/>
    <w:link w:val="HeaderChar"/>
    <w:uiPriority w:val="99"/>
    <w:unhideWhenUsed/>
    <w:rsid w:val="001D0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2B8"/>
  </w:style>
  <w:style w:type="paragraph" w:styleId="Footer">
    <w:name w:val="footer"/>
    <w:basedOn w:val="Normal"/>
    <w:link w:val="FooterChar"/>
    <w:uiPriority w:val="99"/>
    <w:unhideWhenUsed/>
    <w:rsid w:val="001D0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2B8"/>
  </w:style>
  <w:style w:type="paragraph" w:customStyle="1" w:styleId="Title1">
    <w:name w:val="Title1"/>
    <w:basedOn w:val="Title"/>
    <w:link w:val="TITLEChar0"/>
    <w:rsid w:val="00871A8F"/>
  </w:style>
  <w:style w:type="character" w:customStyle="1" w:styleId="TITLEChar0">
    <w:name w:val="TITLE Char"/>
    <w:basedOn w:val="TitleChar"/>
    <w:link w:val="Title1"/>
    <w:rsid w:val="00871A8F"/>
    <w:rPr>
      <w:rFonts w:ascii="Montserrat" w:hAnsi="Montserrat" w:cs="Open Sans"/>
      <w:b/>
      <w:bCs/>
      <w:sz w:val="48"/>
      <w:szCs w:val="48"/>
    </w:rPr>
  </w:style>
  <w:style w:type="paragraph" w:customStyle="1" w:styleId="Body">
    <w:name w:val="Body"/>
    <w:basedOn w:val="Normal"/>
    <w:link w:val="BodyChar"/>
    <w:qFormat/>
    <w:rsid w:val="00871A8F"/>
    <w:rPr>
      <w:rFonts w:ascii="Open Sans" w:hAnsi="Open Sans" w:cs="Open Sans"/>
    </w:rPr>
  </w:style>
  <w:style w:type="character" w:customStyle="1" w:styleId="BodyChar">
    <w:name w:val="Body Char"/>
    <w:basedOn w:val="DefaultParagraphFont"/>
    <w:link w:val="Body"/>
    <w:rsid w:val="00871A8F"/>
    <w:rPr>
      <w:rFonts w:ascii="Open Sans" w:hAnsi="Open Sans" w:cs="Open Sans"/>
    </w:rPr>
  </w:style>
  <w:style w:type="character" w:styleId="SubtleEmphasis">
    <w:name w:val="Subtle Emphasis"/>
    <w:uiPriority w:val="19"/>
    <w:qFormat/>
    <w:rsid w:val="00871A8F"/>
    <w:rPr>
      <w:rFonts w:ascii="Open Sans" w:hAnsi="Open Sans" w:cs="Open Sans"/>
      <w:i/>
      <w:iCs/>
      <w:color w:val="747474" w:themeColor="background2" w:themeShade="80"/>
    </w:rPr>
  </w:style>
  <w:style w:type="character" w:styleId="Emphasis">
    <w:name w:val="Emphasis"/>
    <w:uiPriority w:val="20"/>
    <w:qFormat/>
    <w:rsid w:val="00871A8F"/>
    <w:rPr>
      <w:rFonts w:ascii="Open Sans" w:hAnsi="Open Sans" w:cs="Open Sans"/>
      <w:i/>
      <w:iCs/>
      <w:color w:val="000000" w:themeColor="text1"/>
    </w:rPr>
  </w:style>
  <w:style w:type="character" w:styleId="Strong">
    <w:name w:val="Strong"/>
    <w:uiPriority w:val="22"/>
    <w:qFormat/>
    <w:rsid w:val="0022547E"/>
    <w:rPr>
      <w:rFonts w:ascii="Open Sans" w:hAnsi="Open Sans" w:cs="Open Sans"/>
      <w:b/>
      <w:bCs/>
      <w:color w:val="015390"/>
    </w:rPr>
  </w:style>
  <w:style w:type="paragraph" w:styleId="NoSpacing">
    <w:name w:val="No Spacing"/>
    <w:link w:val="NoSpacingChar"/>
    <w:uiPriority w:val="1"/>
    <w:rsid w:val="00ED6275"/>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ED6275"/>
    <w:rPr>
      <w:rFonts w:eastAsiaTheme="minorEastAsia"/>
      <w:kern w:val="0"/>
      <w:sz w:val="22"/>
      <w:szCs w:val="22"/>
      <w14:ligatures w14:val="none"/>
    </w:rPr>
  </w:style>
  <w:style w:type="paragraph" w:styleId="CommentText">
    <w:name w:val="annotation text"/>
    <w:basedOn w:val="Normal"/>
    <w:link w:val="CommentTextChar"/>
    <w:uiPriority w:val="99"/>
    <w:semiHidden/>
    <w:unhideWhenUsed/>
    <w:rsid w:val="00B219A1"/>
    <w:pPr>
      <w:spacing w:line="240" w:lineRule="auto"/>
    </w:pPr>
    <w:rPr>
      <w:rFonts w:eastAsiaTheme="minorEastAsia"/>
      <w:kern w:val="0"/>
      <w:sz w:val="20"/>
      <w:szCs w:val="20"/>
      <w:lang w:eastAsia="ja-JP"/>
      <w14:ligatures w14:val="none"/>
    </w:rPr>
  </w:style>
  <w:style w:type="character" w:customStyle="1" w:styleId="CommentTextChar">
    <w:name w:val="Comment Text Char"/>
    <w:basedOn w:val="DefaultParagraphFont"/>
    <w:link w:val="CommentText"/>
    <w:uiPriority w:val="99"/>
    <w:semiHidden/>
    <w:rsid w:val="00B219A1"/>
    <w:rPr>
      <w:rFonts w:eastAsiaTheme="minorEastAsia"/>
      <w:kern w:val="0"/>
      <w:sz w:val="20"/>
      <w:szCs w:val="20"/>
      <w:lang w:eastAsia="ja-JP"/>
      <w14:ligatures w14:val="none"/>
    </w:rPr>
  </w:style>
  <w:style w:type="character" w:styleId="CommentReference">
    <w:name w:val="annotation reference"/>
    <w:basedOn w:val="DefaultParagraphFont"/>
    <w:uiPriority w:val="99"/>
    <w:semiHidden/>
    <w:unhideWhenUsed/>
    <w:rsid w:val="00B219A1"/>
    <w:rPr>
      <w:sz w:val="16"/>
      <w:szCs w:val="16"/>
    </w:rPr>
  </w:style>
  <w:style w:type="character" w:styleId="Hyperlink">
    <w:name w:val="Hyperlink"/>
    <w:basedOn w:val="DefaultParagraphFont"/>
    <w:uiPriority w:val="99"/>
    <w:unhideWhenUsed/>
    <w:rsid w:val="00B219A1"/>
    <w:rPr>
      <w:color w:val="467886" w:themeColor="hyperlink"/>
      <w:u w:val="single"/>
    </w:rPr>
  </w:style>
  <w:style w:type="character" w:styleId="UnresolvedMention">
    <w:name w:val="Unresolved Mention"/>
    <w:basedOn w:val="DefaultParagraphFont"/>
    <w:uiPriority w:val="99"/>
    <w:semiHidden/>
    <w:unhideWhenUsed/>
    <w:rsid w:val="00B219A1"/>
    <w:rPr>
      <w:color w:val="605E5C"/>
      <w:shd w:val="clear" w:color="auto" w:fill="E1DFDD"/>
    </w:rPr>
  </w:style>
  <w:style w:type="character" w:customStyle="1" w:styleId="normaltextrun">
    <w:name w:val="normaltextrun"/>
    <w:basedOn w:val="DefaultParagraphFont"/>
    <w:rsid w:val="0069797F"/>
  </w:style>
  <w:style w:type="character" w:customStyle="1" w:styleId="eop">
    <w:name w:val="eop"/>
    <w:basedOn w:val="DefaultParagraphFont"/>
    <w:rsid w:val="0069797F"/>
  </w:style>
  <w:style w:type="table" w:styleId="TableGrid">
    <w:name w:val="Table Grid"/>
    <w:basedOn w:val="TableNormal"/>
    <w:uiPriority w:val="59"/>
    <w:rsid w:val="00F460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urrent/title-2/section-300.477" TargetMode="External"/><Relationship Id="rId18" Type="http://schemas.openxmlformats.org/officeDocument/2006/relationships/hyperlink" Target="https://test.in.gov/grow-rural-health/files/Request-for-Funding-Growing-Rural-Opportunities-for-Well-being-GROW-Regional-Grants.pdf" TargetMode="External"/><Relationship Id="rId26" Type="http://schemas.openxmlformats.org/officeDocument/2006/relationships/hyperlink" Target="https://www.ecfr.gov/current/title-45/subtitle-A/subchapter-D/part-170" TargetMode="External"/><Relationship Id="rId21" Type="http://schemas.microsoft.com/office/2016/09/relationships/commentsIds" Target="commentsIds.xm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test.in.gov/grow-rural-health/files/Request-for-Funding-Growing-Rural-Opportunities-for-Well-being-GROW-Regional-Grants.pdf" TargetMode="External"/><Relationship Id="rId17" Type="http://schemas.openxmlformats.org/officeDocument/2006/relationships/hyperlink" Target="https://www.ecfr.gov/current/title-2/part-200/subject-group-ECFRed1f39f9b3d4e72" TargetMode="External"/><Relationship Id="rId25" Type="http://schemas.openxmlformats.org/officeDocument/2006/relationships/hyperlink" Target="https://www.ecfr.gov/current/title-2/section-200.307" TargetMode="External"/><Relationship Id="rId33" Type="http://schemas.openxmlformats.org/officeDocument/2006/relationships/hyperlink" Target="https://www.hhs.gov/sites/default/files/hhs-grants-policy-statement-oct-2025.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n.gov/grow-rural-health/files/Appendix-1-CMS-NOFO.pdf" TargetMode="External"/><Relationship Id="rId20" Type="http://schemas.microsoft.com/office/2011/relationships/commentsExtended" Target="commentsExtended.xml"/><Relationship Id="rId29" Type="http://schemas.openxmlformats.org/officeDocument/2006/relationships/hyperlink" Target="https://www.ecfr.gov/current/title-2/subtitle-A/chapter-II/part-20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gov/grow-rural-health/files/Appendix-1-CMS-NOFO.pdf" TargetMode="External"/><Relationship Id="rId24" Type="http://schemas.openxmlformats.org/officeDocument/2006/relationships/hyperlink" Target="https://www.ecfr.gov/current/title-2/section-200.331" TargetMode="External"/><Relationship Id="rId32" Type="http://schemas.openxmlformats.org/officeDocument/2006/relationships/hyperlink" Target="https://www.hhs.gov/sites/default/files/hhs-administrative-national-policy-requirements.pdf"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ecfr.gov/current/title-2/subtitle-A/chapter-II/part-200/subpart-E/subject-group-ECFRed1f39f9b3d4e72/section-200.450" TargetMode="External"/><Relationship Id="rId23" Type="http://schemas.openxmlformats.org/officeDocument/2006/relationships/hyperlink" Target="https://www.ecfr.gov/current/title-2/part-200/subject-group-ECFRd93f2a98b1f6455" TargetMode="External"/><Relationship Id="rId28" Type="http://schemas.openxmlformats.org/officeDocument/2006/relationships/hyperlink" Target="https://www.ecfr.gov/current/title-45" TargetMode="External"/><Relationship Id="rId36" Type="http://schemas.openxmlformats.org/officeDocument/2006/relationships/footer" Target="footer2.xml"/><Relationship Id="rId10" Type="http://schemas.openxmlformats.org/officeDocument/2006/relationships/hyperlink" Target="https://test.in.gov/grow-rural-health/files/Request-for-Funding-Growing-Rural-Opportunities-for-Well-being-GROW-Regional-Grants.pdf" TargetMode="External"/><Relationship Id="rId19" Type="http://schemas.openxmlformats.org/officeDocument/2006/relationships/comments" Target="comments.xml"/><Relationship Id="rId31" Type="http://schemas.openxmlformats.org/officeDocument/2006/relationships/hyperlink" Target="https://www.hhs.gov/sites/default/files/hhs-administrative-national-policy-requirement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cfr.gov/current/title-2/subtitle-A/chapter-II/part-200/subpart-C/section-200.216" TargetMode="External"/><Relationship Id="rId22" Type="http://schemas.openxmlformats.org/officeDocument/2006/relationships/hyperlink" Target="https://www.ecfr.gov/current/title-2/part-200/subject-group-ECFRd93f2a98b1f6455" TargetMode="External"/><Relationship Id="rId27" Type="http://schemas.openxmlformats.org/officeDocument/2006/relationships/hyperlink" Target="https://www.ecfr.gov/current/title-45" TargetMode="External"/><Relationship Id="rId30" Type="http://schemas.openxmlformats.org/officeDocument/2006/relationships/hyperlink" Target="https://www.ecfr.gov/current/title-2/subtitle-B/chapter-III/part-300"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a98568c-12b3-466b-97aa-dbf43d18d4b9">
      <Terms xmlns="http://schemas.microsoft.com/office/infopath/2007/PartnerControls"/>
    </lcf76f155ced4ddcb4097134ff3c332f>
    <TaxCatchAll xmlns="aec02527-4521-43c9-9abb-13537c4bb1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10BAD4BCB82F4F8F0EAB056ACF3E2F" ma:contentTypeVersion="10" ma:contentTypeDescription="Create a new document." ma:contentTypeScope="" ma:versionID="0c84ec40d96162524f1f9347f4b05ed8">
  <xsd:schema xmlns:xsd="http://www.w3.org/2001/XMLSchema" xmlns:xs="http://www.w3.org/2001/XMLSchema" xmlns:p="http://schemas.microsoft.com/office/2006/metadata/properties" xmlns:ns2="0a98568c-12b3-466b-97aa-dbf43d18d4b9" xmlns:ns3="aec02527-4521-43c9-9abb-13537c4bb153" targetNamespace="http://schemas.microsoft.com/office/2006/metadata/properties" ma:root="true" ma:fieldsID="1229a5c46c19eb95ecf7b2db624be51f" ns2:_="" ns3:_="">
    <xsd:import namespace="0a98568c-12b3-466b-97aa-dbf43d18d4b9"/>
    <xsd:import namespace="aec02527-4521-43c9-9abb-13537c4bb1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8568c-12b3-466b-97aa-dbf43d18d4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c02527-4521-43c9-9abb-13537c4bb1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8902c4-3738-42e2-aab6-7a99dc1c45f2}" ma:internalName="TaxCatchAll" ma:showField="CatchAllData" ma:web="aec02527-4521-43c9-9abb-13537c4bb1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81354A-88BB-4991-ADF8-4D0AB6599412}">
  <ds:schemaRefs>
    <ds:schemaRef ds:uri="http://schemas.microsoft.com/sharepoint/v3/contenttype/forms"/>
  </ds:schemaRefs>
</ds:datastoreItem>
</file>

<file path=customXml/itemProps2.xml><?xml version="1.0" encoding="utf-8"?>
<ds:datastoreItem xmlns:ds="http://schemas.openxmlformats.org/officeDocument/2006/customXml" ds:itemID="{6BD54D54-5D52-4AF4-85EA-DBFE0D80D4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724C12-C463-440B-8D26-4E923F68E5F3}"/>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3162</Words>
  <Characters>18028</Characters>
  <Application>Microsoft Office Word</Application>
  <DocSecurity>4</DocSecurity>
  <Lines>150</Lines>
  <Paragraphs>42</Paragraphs>
  <ScaleCrop>false</ScaleCrop>
  <Company/>
  <LinksUpToDate>false</LinksUpToDate>
  <CharactersWithSpaces>21148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2026-02-27T23:19:00Z</dcterms:created>
  <dcterms:modified xsi:type="dcterms:W3CDTF">2026-03-02T15:35:00Z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0x0101005010BAD4BCB82F4F8F0EAB056ACF3E2F</vt:lpwstr>
  </property>
</Properties>
</file>