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61" w:rsidRPr="00AC2A61" w:rsidRDefault="00A560A2" w:rsidP="00AC2A61">
      <w:pPr>
        <w:jc w:val="center"/>
        <w:rPr>
          <w:b/>
          <w:sz w:val="36"/>
          <w:szCs w:val="36"/>
        </w:rPr>
      </w:pPr>
      <w:r>
        <w:rPr>
          <w:b/>
          <w:sz w:val="36"/>
          <w:szCs w:val="36"/>
        </w:rPr>
        <w:t>Suggested</w:t>
      </w:r>
      <w:r w:rsidR="00955243">
        <w:rPr>
          <w:b/>
          <w:sz w:val="36"/>
          <w:szCs w:val="36"/>
        </w:rPr>
        <w:t xml:space="preserve"> </w:t>
      </w:r>
      <w:r w:rsidR="00ED34F0">
        <w:rPr>
          <w:b/>
          <w:sz w:val="36"/>
          <w:szCs w:val="36"/>
        </w:rPr>
        <w:t>Sample</w:t>
      </w:r>
    </w:p>
    <w:p w:rsidR="00AC2A61" w:rsidRPr="00ED34F0" w:rsidRDefault="00AC2A61" w:rsidP="00955243">
      <w:pPr>
        <w:jc w:val="center"/>
        <w:rPr>
          <w:b/>
          <w:sz w:val="32"/>
          <w:szCs w:val="32"/>
        </w:rPr>
      </w:pPr>
      <w:bookmarkStart w:id="0" w:name="_GoBack"/>
      <w:bookmarkEnd w:id="0"/>
      <w:r w:rsidRPr="00ED34F0">
        <w:rPr>
          <w:b/>
          <w:sz w:val="32"/>
          <w:szCs w:val="32"/>
        </w:rPr>
        <w:t>Title I Assessment Data Summary Chart with Analysis</w:t>
      </w:r>
    </w:p>
    <w:p w:rsidR="00AC2A61" w:rsidRPr="00F13661" w:rsidRDefault="00AC2A61" w:rsidP="00AC2A61">
      <w:r w:rsidRPr="00F13661">
        <w:t>This summary chart presents four years of assessment data for Title I programs serving non-public school children.  The proficiency levels listed are directly tied to grade-level standards that all participating children are expected to meet.  These results are used each year by public and non-public school officials to improve the Title I program of instruction and to plan professional development and parent involvement activities.</w:t>
      </w:r>
    </w:p>
    <w:p w:rsidR="00AC2A61" w:rsidRPr="00F13661" w:rsidRDefault="00AC2A61" w:rsidP="00AC2A61">
      <w:r w:rsidRPr="00F13661">
        <w:t>This type of assessment data summary chart and its analysis is critical to future planning and should be updated on an annual basis and examined during the consultation process about the subsequent year’s Title I program.</w:t>
      </w:r>
    </w:p>
    <w:tbl>
      <w:tblPr>
        <w:tblStyle w:val="TableGrid"/>
        <w:tblW w:w="10080" w:type="dxa"/>
        <w:tblInd w:w="-5" w:type="dxa"/>
        <w:tblLook w:val="04A0" w:firstRow="1" w:lastRow="0" w:firstColumn="1" w:lastColumn="0" w:noHBand="0" w:noVBand="1"/>
      </w:tblPr>
      <w:tblGrid>
        <w:gridCol w:w="2357"/>
        <w:gridCol w:w="1963"/>
        <w:gridCol w:w="1890"/>
        <w:gridCol w:w="1800"/>
        <w:gridCol w:w="2070"/>
      </w:tblGrid>
      <w:tr w:rsidR="003106BE" w:rsidRPr="00B73B28" w:rsidTr="00532721">
        <w:tc>
          <w:tcPr>
            <w:tcW w:w="10080" w:type="dxa"/>
            <w:gridSpan w:val="5"/>
            <w:tcBorders>
              <w:bottom w:val="single" w:sz="12" w:space="0" w:color="auto"/>
            </w:tcBorders>
            <w:shd w:val="clear" w:color="auto" w:fill="BDD6EE" w:themeFill="accent1" w:themeFillTint="66"/>
          </w:tcPr>
          <w:p w:rsidR="003106BE" w:rsidRPr="00E83B56" w:rsidRDefault="003106BE" w:rsidP="003106BE">
            <w:pPr>
              <w:jc w:val="center"/>
              <w:rPr>
                <w:b/>
                <w:sz w:val="24"/>
                <w:szCs w:val="24"/>
              </w:rPr>
            </w:pPr>
            <w:r w:rsidRPr="00E83B56">
              <w:rPr>
                <w:b/>
                <w:sz w:val="24"/>
                <w:szCs w:val="24"/>
              </w:rPr>
              <w:t>Four Year Title I Assessment Data Summary</w:t>
            </w:r>
          </w:p>
          <w:p w:rsidR="00E83B56" w:rsidRPr="00532721" w:rsidRDefault="003106BE" w:rsidP="00E83B56">
            <w:pPr>
              <w:jc w:val="center"/>
              <w:rPr>
                <w:sz w:val="24"/>
                <w:szCs w:val="24"/>
              </w:rPr>
            </w:pPr>
            <w:r w:rsidRPr="00E83B56">
              <w:rPr>
                <w:b/>
                <w:sz w:val="24"/>
                <w:szCs w:val="24"/>
              </w:rPr>
              <w:t>Percentage of Participating Non-Public School Students</w:t>
            </w:r>
          </w:p>
          <w:p w:rsidR="003106BE" w:rsidRPr="00E83B56" w:rsidRDefault="003106BE" w:rsidP="00E83B56">
            <w:pPr>
              <w:jc w:val="center"/>
              <w:rPr>
                <w:b/>
                <w:sz w:val="24"/>
                <w:szCs w:val="24"/>
              </w:rPr>
            </w:pPr>
            <w:r w:rsidRPr="00E83B56">
              <w:rPr>
                <w:b/>
                <w:sz w:val="24"/>
                <w:szCs w:val="24"/>
              </w:rPr>
              <w:t>at Each Proficiency Level, by School Year</w:t>
            </w:r>
          </w:p>
          <w:p w:rsidR="00E83B56" w:rsidRPr="00E83B56" w:rsidRDefault="00E83B56" w:rsidP="00E83B56">
            <w:pPr>
              <w:jc w:val="center"/>
              <w:rPr>
                <w:b/>
              </w:rPr>
            </w:pPr>
          </w:p>
        </w:tc>
      </w:tr>
      <w:tr w:rsidR="003106BE" w:rsidRPr="00B73B28" w:rsidTr="00532721">
        <w:trPr>
          <w:trHeight w:val="260"/>
        </w:trPr>
        <w:tc>
          <w:tcPr>
            <w:tcW w:w="2357" w:type="dxa"/>
            <w:vMerge w:val="restart"/>
            <w:tcBorders>
              <w:top w:val="single" w:sz="12" w:space="0" w:color="auto"/>
            </w:tcBorders>
            <w:shd w:val="clear" w:color="auto" w:fill="FFE599" w:themeFill="accent4" w:themeFillTint="66"/>
          </w:tcPr>
          <w:p w:rsidR="003106BE" w:rsidRPr="00DE7FDA" w:rsidRDefault="003106BE" w:rsidP="00DE7FDA">
            <w:pPr>
              <w:jc w:val="center"/>
              <w:rPr>
                <w:b/>
                <w:sz w:val="20"/>
                <w:szCs w:val="20"/>
              </w:rPr>
            </w:pPr>
            <w:r w:rsidRPr="00DE7FDA">
              <w:rPr>
                <w:b/>
                <w:sz w:val="20"/>
                <w:szCs w:val="20"/>
              </w:rPr>
              <w:t>Reading Proficiency Levels</w:t>
            </w:r>
          </w:p>
          <w:p w:rsidR="003106BE" w:rsidRDefault="003106BE" w:rsidP="00DE7FDA">
            <w:pPr>
              <w:jc w:val="center"/>
              <w:rPr>
                <w:sz w:val="20"/>
                <w:szCs w:val="20"/>
              </w:rPr>
            </w:pPr>
            <w:r w:rsidRPr="00DE7FDA">
              <w:rPr>
                <w:b/>
                <w:sz w:val="20"/>
                <w:szCs w:val="20"/>
              </w:rPr>
              <w:t>for Grade 2</w:t>
            </w:r>
          </w:p>
        </w:tc>
        <w:tc>
          <w:tcPr>
            <w:tcW w:w="7723" w:type="dxa"/>
            <w:gridSpan w:val="4"/>
            <w:tcBorders>
              <w:top w:val="single" w:sz="12" w:space="0" w:color="auto"/>
              <w:bottom w:val="single" w:sz="12" w:space="0" w:color="auto"/>
            </w:tcBorders>
            <w:shd w:val="clear" w:color="auto" w:fill="FFE599" w:themeFill="accent4" w:themeFillTint="66"/>
          </w:tcPr>
          <w:p w:rsidR="003106BE" w:rsidRPr="003106BE" w:rsidRDefault="00ED34F0" w:rsidP="00ED34F0">
            <w:pPr>
              <w:rPr>
                <w:b/>
                <w:sz w:val="20"/>
                <w:szCs w:val="20"/>
              </w:rPr>
            </w:pPr>
            <w:r>
              <w:rPr>
                <w:b/>
                <w:sz w:val="20"/>
                <w:szCs w:val="20"/>
              </w:rPr>
              <w:t xml:space="preserve">                                                                       </w:t>
            </w:r>
            <w:r w:rsidR="003106BE" w:rsidRPr="003106BE">
              <w:rPr>
                <w:b/>
                <w:sz w:val="20"/>
                <w:szCs w:val="20"/>
              </w:rPr>
              <w:t>School Year</w:t>
            </w:r>
          </w:p>
        </w:tc>
      </w:tr>
      <w:tr w:rsidR="003106BE" w:rsidRPr="00B73B28" w:rsidTr="00532721">
        <w:trPr>
          <w:trHeight w:val="230"/>
        </w:trPr>
        <w:tc>
          <w:tcPr>
            <w:tcW w:w="2357" w:type="dxa"/>
            <w:vMerge/>
            <w:tcBorders>
              <w:bottom w:val="single" w:sz="12" w:space="0" w:color="auto"/>
            </w:tcBorders>
            <w:shd w:val="clear" w:color="auto" w:fill="FFE599" w:themeFill="accent4" w:themeFillTint="66"/>
          </w:tcPr>
          <w:p w:rsidR="003106BE" w:rsidRDefault="003106BE" w:rsidP="00AC2A61">
            <w:pPr>
              <w:rPr>
                <w:sz w:val="20"/>
                <w:szCs w:val="20"/>
              </w:rPr>
            </w:pPr>
          </w:p>
        </w:tc>
        <w:tc>
          <w:tcPr>
            <w:tcW w:w="1963" w:type="dxa"/>
            <w:tcBorders>
              <w:top w:val="single" w:sz="12" w:space="0" w:color="auto"/>
              <w:bottom w:val="single" w:sz="12" w:space="0" w:color="auto"/>
              <w:right w:val="single" w:sz="12" w:space="0" w:color="auto"/>
            </w:tcBorders>
            <w:shd w:val="clear" w:color="auto" w:fill="C5E0B3" w:themeFill="accent6" w:themeFillTint="66"/>
          </w:tcPr>
          <w:p w:rsidR="003106BE" w:rsidRPr="00DE7FDA" w:rsidRDefault="003106BE" w:rsidP="00AC2A61">
            <w:pPr>
              <w:rPr>
                <w:b/>
                <w:sz w:val="20"/>
                <w:szCs w:val="20"/>
              </w:rPr>
            </w:pPr>
            <w:r w:rsidRPr="00DE7FDA">
              <w:rPr>
                <w:b/>
                <w:sz w:val="20"/>
                <w:szCs w:val="20"/>
              </w:rPr>
              <w:t xml:space="preserve">      2015-2016           </w:t>
            </w:r>
          </w:p>
        </w:tc>
        <w:tc>
          <w:tcPr>
            <w:tcW w:w="1890" w:type="dxa"/>
            <w:tcBorders>
              <w:top w:val="single" w:sz="12" w:space="0" w:color="auto"/>
              <w:left w:val="single" w:sz="12" w:space="0" w:color="auto"/>
              <w:bottom w:val="single" w:sz="12" w:space="0" w:color="auto"/>
            </w:tcBorders>
            <w:shd w:val="clear" w:color="auto" w:fill="C5E0B3" w:themeFill="accent6" w:themeFillTint="66"/>
          </w:tcPr>
          <w:p w:rsidR="003106BE" w:rsidRPr="00DE7FDA" w:rsidRDefault="003106BE" w:rsidP="003106BE">
            <w:pPr>
              <w:rPr>
                <w:b/>
                <w:sz w:val="20"/>
                <w:szCs w:val="20"/>
              </w:rPr>
            </w:pPr>
            <w:r w:rsidRPr="00DE7FDA">
              <w:rPr>
                <w:b/>
                <w:sz w:val="20"/>
                <w:szCs w:val="20"/>
              </w:rPr>
              <w:t xml:space="preserve">         2016-2017</w:t>
            </w:r>
          </w:p>
        </w:tc>
        <w:tc>
          <w:tcPr>
            <w:tcW w:w="1800" w:type="dxa"/>
            <w:tcBorders>
              <w:top w:val="single" w:sz="12" w:space="0" w:color="auto"/>
              <w:left w:val="single" w:sz="12" w:space="0" w:color="auto"/>
              <w:bottom w:val="single" w:sz="12" w:space="0" w:color="auto"/>
            </w:tcBorders>
            <w:shd w:val="clear" w:color="auto" w:fill="C5E0B3" w:themeFill="accent6" w:themeFillTint="66"/>
          </w:tcPr>
          <w:p w:rsidR="003106BE" w:rsidRPr="00DE7FDA" w:rsidRDefault="003106BE" w:rsidP="003106BE">
            <w:pPr>
              <w:rPr>
                <w:b/>
                <w:sz w:val="20"/>
                <w:szCs w:val="20"/>
              </w:rPr>
            </w:pPr>
            <w:r w:rsidRPr="00DE7FDA">
              <w:rPr>
                <w:b/>
                <w:sz w:val="20"/>
                <w:szCs w:val="20"/>
              </w:rPr>
              <w:t xml:space="preserve">      2017-2018</w:t>
            </w:r>
          </w:p>
        </w:tc>
        <w:tc>
          <w:tcPr>
            <w:tcW w:w="2070" w:type="dxa"/>
            <w:tcBorders>
              <w:top w:val="single" w:sz="12" w:space="0" w:color="auto"/>
              <w:left w:val="single" w:sz="12" w:space="0" w:color="auto"/>
              <w:bottom w:val="single" w:sz="12" w:space="0" w:color="auto"/>
            </w:tcBorders>
            <w:shd w:val="clear" w:color="auto" w:fill="C5E0B3" w:themeFill="accent6" w:themeFillTint="66"/>
          </w:tcPr>
          <w:p w:rsidR="003106BE" w:rsidRPr="00DE7FDA" w:rsidRDefault="003106BE" w:rsidP="003106BE">
            <w:pPr>
              <w:rPr>
                <w:b/>
                <w:sz w:val="20"/>
                <w:szCs w:val="20"/>
              </w:rPr>
            </w:pPr>
            <w:r w:rsidRPr="00DE7FDA">
              <w:rPr>
                <w:b/>
                <w:sz w:val="20"/>
                <w:szCs w:val="20"/>
              </w:rPr>
              <w:t xml:space="preserve">      2018-2019</w:t>
            </w:r>
          </w:p>
        </w:tc>
      </w:tr>
      <w:tr w:rsidR="00BC6386" w:rsidRPr="00B73B28" w:rsidTr="00957504">
        <w:tc>
          <w:tcPr>
            <w:tcW w:w="2357" w:type="dxa"/>
            <w:tcBorders>
              <w:top w:val="single" w:sz="12" w:space="0" w:color="auto"/>
            </w:tcBorders>
          </w:tcPr>
          <w:p w:rsidR="00BC6386" w:rsidRDefault="00BC6386" w:rsidP="00AC2A61">
            <w:pPr>
              <w:rPr>
                <w:sz w:val="20"/>
                <w:szCs w:val="20"/>
              </w:rPr>
            </w:pPr>
            <w:r>
              <w:rPr>
                <w:sz w:val="20"/>
                <w:szCs w:val="20"/>
              </w:rPr>
              <w:t>Fail</w:t>
            </w:r>
          </w:p>
          <w:p w:rsidR="00BC6386" w:rsidRDefault="00BC6386" w:rsidP="00AC2A61">
            <w:pPr>
              <w:rPr>
                <w:sz w:val="20"/>
                <w:szCs w:val="20"/>
              </w:rPr>
            </w:pPr>
          </w:p>
        </w:tc>
        <w:tc>
          <w:tcPr>
            <w:tcW w:w="1963" w:type="dxa"/>
            <w:tcBorders>
              <w:top w:val="single" w:sz="12" w:space="0" w:color="auto"/>
              <w:right w:val="single" w:sz="12" w:space="0" w:color="auto"/>
            </w:tcBorders>
          </w:tcPr>
          <w:p w:rsidR="00BC6386" w:rsidRDefault="00BC6386" w:rsidP="00BC6386">
            <w:pPr>
              <w:jc w:val="center"/>
              <w:rPr>
                <w:sz w:val="20"/>
                <w:szCs w:val="20"/>
              </w:rPr>
            </w:pPr>
            <w:r>
              <w:rPr>
                <w:sz w:val="20"/>
                <w:szCs w:val="20"/>
              </w:rPr>
              <w:t>23%</w:t>
            </w:r>
          </w:p>
        </w:tc>
        <w:tc>
          <w:tcPr>
            <w:tcW w:w="1890" w:type="dxa"/>
            <w:tcBorders>
              <w:top w:val="single" w:sz="12" w:space="0" w:color="auto"/>
              <w:left w:val="single" w:sz="12" w:space="0" w:color="auto"/>
            </w:tcBorders>
          </w:tcPr>
          <w:p w:rsidR="00BC6386" w:rsidRDefault="00BC6386" w:rsidP="00BC6386">
            <w:pPr>
              <w:jc w:val="center"/>
              <w:rPr>
                <w:sz w:val="20"/>
                <w:szCs w:val="20"/>
              </w:rPr>
            </w:pPr>
            <w:r>
              <w:rPr>
                <w:sz w:val="20"/>
                <w:szCs w:val="20"/>
              </w:rPr>
              <w:t>15%</w:t>
            </w:r>
          </w:p>
        </w:tc>
        <w:tc>
          <w:tcPr>
            <w:tcW w:w="1800" w:type="dxa"/>
            <w:tcBorders>
              <w:top w:val="single" w:sz="12" w:space="0" w:color="auto"/>
              <w:left w:val="single" w:sz="12" w:space="0" w:color="auto"/>
            </w:tcBorders>
          </w:tcPr>
          <w:p w:rsidR="00BC6386" w:rsidRDefault="00BC6386" w:rsidP="00BC6386">
            <w:pPr>
              <w:jc w:val="center"/>
              <w:rPr>
                <w:sz w:val="20"/>
                <w:szCs w:val="20"/>
              </w:rPr>
            </w:pPr>
            <w:r>
              <w:rPr>
                <w:sz w:val="20"/>
                <w:szCs w:val="20"/>
              </w:rPr>
              <w:t>11%</w:t>
            </w:r>
          </w:p>
        </w:tc>
        <w:tc>
          <w:tcPr>
            <w:tcW w:w="2070" w:type="dxa"/>
            <w:tcBorders>
              <w:top w:val="single" w:sz="12" w:space="0" w:color="auto"/>
              <w:left w:val="single" w:sz="12" w:space="0" w:color="auto"/>
            </w:tcBorders>
          </w:tcPr>
          <w:p w:rsidR="00BC6386" w:rsidRDefault="00BC6386" w:rsidP="00BC6386">
            <w:pPr>
              <w:jc w:val="center"/>
              <w:rPr>
                <w:sz w:val="20"/>
                <w:szCs w:val="20"/>
              </w:rPr>
            </w:pPr>
            <w:r>
              <w:rPr>
                <w:sz w:val="20"/>
                <w:szCs w:val="20"/>
              </w:rPr>
              <w:t>9%</w:t>
            </w:r>
          </w:p>
        </w:tc>
      </w:tr>
      <w:tr w:rsidR="00BC6386" w:rsidRPr="00B73B28" w:rsidTr="00957504">
        <w:tc>
          <w:tcPr>
            <w:tcW w:w="2357" w:type="dxa"/>
          </w:tcPr>
          <w:p w:rsidR="00BC6386" w:rsidRDefault="00BC6386" w:rsidP="00AC2A61">
            <w:pPr>
              <w:rPr>
                <w:sz w:val="20"/>
                <w:szCs w:val="20"/>
              </w:rPr>
            </w:pPr>
            <w:r>
              <w:rPr>
                <w:sz w:val="20"/>
                <w:szCs w:val="20"/>
              </w:rPr>
              <w:t>Pass-Proficient</w:t>
            </w:r>
          </w:p>
          <w:p w:rsidR="00BC6386" w:rsidRDefault="00BC6386" w:rsidP="00AC2A61">
            <w:pPr>
              <w:rPr>
                <w:sz w:val="20"/>
                <w:szCs w:val="20"/>
              </w:rPr>
            </w:pPr>
          </w:p>
        </w:tc>
        <w:tc>
          <w:tcPr>
            <w:tcW w:w="1963" w:type="dxa"/>
            <w:tcBorders>
              <w:right w:val="single" w:sz="12" w:space="0" w:color="auto"/>
            </w:tcBorders>
          </w:tcPr>
          <w:p w:rsidR="00BC6386" w:rsidRPr="00D02E92" w:rsidRDefault="00E83B56" w:rsidP="00E83B56">
            <w:pPr>
              <w:jc w:val="center"/>
              <w:rPr>
                <w:sz w:val="20"/>
                <w:szCs w:val="20"/>
              </w:rPr>
            </w:pPr>
            <w:r w:rsidRPr="00D02E92">
              <w:rPr>
                <w:sz w:val="20"/>
                <w:szCs w:val="20"/>
              </w:rPr>
              <w:t>53%</w:t>
            </w:r>
          </w:p>
        </w:tc>
        <w:tc>
          <w:tcPr>
            <w:tcW w:w="1890" w:type="dxa"/>
            <w:tcBorders>
              <w:left w:val="single" w:sz="12" w:space="0" w:color="auto"/>
            </w:tcBorders>
          </w:tcPr>
          <w:p w:rsidR="00BC6386" w:rsidRDefault="00E83B56" w:rsidP="00E83B56">
            <w:pPr>
              <w:jc w:val="center"/>
              <w:rPr>
                <w:sz w:val="20"/>
                <w:szCs w:val="20"/>
              </w:rPr>
            </w:pPr>
            <w:r>
              <w:rPr>
                <w:sz w:val="20"/>
                <w:szCs w:val="20"/>
              </w:rPr>
              <w:t>62%</w:t>
            </w:r>
          </w:p>
        </w:tc>
        <w:tc>
          <w:tcPr>
            <w:tcW w:w="1800" w:type="dxa"/>
            <w:tcBorders>
              <w:left w:val="single" w:sz="12" w:space="0" w:color="auto"/>
            </w:tcBorders>
          </w:tcPr>
          <w:p w:rsidR="00BC6386" w:rsidRDefault="00E83B56" w:rsidP="00E83B56">
            <w:pPr>
              <w:jc w:val="center"/>
              <w:rPr>
                <w:sz w:val="20"/>
                <w:szCs w:val="20"/>
              </w:rPr>
            </w:pPr>
            <w:r>
              <w:rPr>
                <w:sz w:val="20"/>
                <w:szCs w:val="20"/>
              </w:rPr>
              <w:t>32%</w:t>
            </w:r>
          </w:p>
        </w:tc>
        <w:tc>
          <w:tcPr>
            <w:tcW w:w="2070" w:type="dxa"/>
            <w:tcBorders>
              <w:left w:val="single" w:sz="12" w:space="0" w:color="auto"/>
            </w:tcBorders>
          </w:tcPr>
          <w:p w:rsidR="00BC6386" w:rsidRDefault="00E83B56" w:rsidP="00E83B56">
            <w:pPr>
              <w:jc w:val="center"/>
              <w:rPr>
                <w:sz w:val="20"/>
                <w:szCs w:val="20"/>
              </w:rPr>
            </w:pPr>
            <w:r>
              <w:rPr>
                <w:sz w:val="20"/>
                <w:szCs w:val="20"/>
              </w:rPr>
              <w:t>22%</w:t>
            </w:r>
          </w:p>
        </w:tc>
      </w:tr>
      <w:tr w:rsidR="00BC6386" w:rsidRPr="00B73B28" w:rsidTr="00957504">
        <w:tc>
          <w:tcPr>
            <w:tcW w:w="2357" w:type="dxa"/>
          </w:tcPr>
          <w:p w:rsidR="00BC6386" w:rsidRDefault="00BC6386" w:rsidP="00AC2A61">
            <w:pPr>
              <w:rPr>
                <w:sz w:val="20"/>
                <w:szCs w:val="20"/>
              </w:rPr>
            </w:pPr>
            <w:r>
              <w:rPr>
                <w:sz w:val="20"/>
                <w:szCs w:val="20"/>
              </w:rPr>
              <w:t xml:space="preserve">Pass-Advanced </w:t>
            </w:r>
          </w:p>
          <w:p w:rsidR="00BC6386" w:rsidRDefault="00BC6386" w:rsidP="00AC2A61">
            <w:pPr>
              <w:rPr>
                <w:sz w:val="20"/>
                <w:szCs w:val="20"/>
              </w:rPr>
            </w:pPr>
          </w:p>
        </w:tc>
        <w:tc>
          <w:tcPr>
            <w:tcW w:w="1963" w:type="dxa"/>
            <w:tcBorders>
              <w:right w:val="single" w:sz="12" w:space="0" w:color="auto"/>
            </w:tcBorders>
          </w:tcPr>
          <w:p w:rsidR="00BC6386" w:rsidRDefault="00E83B56" w:rsidP="00E83B56">
            <w:pPr>
              <w:jc w:val="center"/>
              <w:rPr>
                <w:sz w:val="20"/>
                <w:szCs w:val="20"/>
              </w:rPr>
            </w:pPr>
            <w:r>
              <w:rPr>
                <w:sz w:val="20"/>
                <w:szCs w:val="20"/>
              </w:rPr>
              <w:t>24%</w:t>
            </w:r>
          </w:p>
        </w:tc>
        <w:tc>
          <w:tcPr>
            <w:tcW w:w="1890" w:type="dxa"/>
            <w:tcBorders>
              <w:left w:val="single" w:sz="12" w:space="0" w:color="auto"/>
            </w:tcBorders>
          </w:tcPr>
          <w:p w:rsidR="00BC6386" w:rsidRDefault="00E83B56" w:rsidP="00E83B56">
            <w:pPr>
              <w:jc w:val="center"/>
              <w:rPr>
                <w:sz w:val="20"/>
                <w:szCs w:val="20"/>
              </w:rPr>
            </w:pPr>
            <w:r>
              <w:rPr>
                <w:sz w:val="20"/>
                <w:szCs w:val="20"/>
              </w:rPr>
              <w:t>23%</w:t>
            </w:r>
          </w:p>
        </w:tc>
        <w:tc>
          <w:tcPr>
            <w:tcW w:w="1800" w:type="dxa"/>
            <w:tcBorders>
              <w:left w:val="single" w:sz="12" w:space="0" w:color="auto"/>
            </w:tcBorders>
          </w:tcPr>
          <w:p w:rsidR="00BC6386" w:rsidRDefault="00E83B56" w:rsidP="00E83B56">
            <w:pPr>
              <w:jc w:val="center"/>
              <w:rPr>
                <w:sz w:val="20"/>
                <w:szCs w:val="20"/>
              </w:rPr>
            </w:pPr>
            <w:r>
              <w:rPr>
                <w:sz w:val="20"/>
                <w:szCs w:val="20"/>
              </w:rPr>
              <w:t>57%</w:t>
            </w:r>
          </w:p>
        </w:tc>
        <w:tc>
          <w:tcPr>
            <w:tcW w:w="2070" w:type="dxa"/>
            <w:tcBorders>
              <w:left w:val="single" w:sz="12" w:space="0" w:color="auto"/>
            </w:tcBorders>
          </w:tcPr>
          <w:p w:rsidR="00BC6386" w:rsidRDefault="00E83B56" w:rsidP="00E83B56">
            <w:pPr>
              <w:jc w:val="center"/>
              <w:rPr>
                <w:sz w:val="20"/>
                <w:szCs w:val="20"/>
              </w:rPr>
            </w:pPr>
            <w:r>
              <w:rPr>
                <w:sz w:val="20"/>
                <w:szCs w:val="20"/>
              </w:rPr>
              <w:t>69%</w:t>
            </w:r>
          </w:p>
        </w:tc>
      </w:tr>
    </w:tbl>
    <w:p w:rsidR="00AC2A61" w:rsidRPr="00B73B28" w:rsidRDefault="00AC2A61" w:rsidP="00AC2A61">
      <w:pPr>
        <w:rPr>
          <w:b/>
        </w:rPr>
      </w:pPr>
    </w:p>
    <w:p w:rsidR="00E83B56" w:rsidRPr="00F13661" w:rsidRDefault="00E83B56" w:rsidP="00AC2A61">
      <w:r w:rsidRPr="00F13661">
        <w:t>The LEA officials, in consultation with non-public school officials, should determine which specific scores on the LEA assessments distinguish one level from another.</w:t>
      </w:r>
    </w:p>
    <w:p w:rsidR="00E83B56" w:rsidRPr="00F13661" w:rsidRDefault="00E83B56" w:rsidP="00AC2A61">
      <w:r w:rsidRPr="00F13661">
        <w:t>Analysis of Title I assessment data summary:</w:t>
      </w:r>
    </w:p>
    <w:p w:rsidR="00E83B56" w:rsidRPr="00F13661" w:rsidRDefault="00E83B56" w:rsidP="00E83B56">
      <w:pPr>
        <w:pStyle w:val="ListParagraph"/>
        <w:numPr>
          <w:ilvl w:val="0"/>
          <w:numId w:val="1"/>
        </w:numPr>
      </w:pPr>
      <w:r w:rsidRPr="00F13661">
        <w:t>Most children received a passing score, either pass-proficient or pass-advanced, in all four year</w:t>
      </w:r>
      <w:r w:rsidR="00332A39" w:rsidRPr="00F13661">
        <w:t>s</w:t>
      </w:r>
      <w:r w:rsidRPr="00F13661">
        <w:t>;</w:t>
      </w:r>
    </w:p>
    <w:p w:rsidR="00E83B56" w:rsidRPr="00F13661" w:rsidRDefault="00332A39" w:rsidP="00E83B56">
      <w:pPr>
        <w:pStyle w:val="ListParagraph"/>
        <w:numPr>
          <w:ilvl w:val="0"/>
          <w:numId w:val="1"/>
        </w:numPr>
      </w:pPr>
      <w:r w:rsidRPr="00F13661">
        <w:t>The percentage of children receiving passing scores increased from 77% in the first year to 91% in the fourth year;</w:t>
      </w:r>
    </w:p>
    <w:p w:rsidR="00332A39" w:rsidRPr="00F13661" w:rsidRDefault="00332A39" w:rsidP="00E83B56">
      <w:pPr>
        <w:pStyle w:val="ListParagraph"/>
        <w:numPr>
          <w:ilvl w:val="0"/>
          <w:numId w:val="1"/>
        </w:numPr>
      </w:pPr>
      <w:r w:rsidRPr="00F13661">
        <w:t>The percentage of children failing to meet the annual progress goals has steadily decreased over the past four years;</w:t>
      </w:r>
    </w:p>
    <w:p w:rsidR="00332A39" w:rsidRPr="00F13661" w:rsidRDefault="00332A39" w:rsidP="00E83B56">
      <w:pPr>
        <w:pStyle w:val="ListParagraph"/>
        <w:numPr>
          <w:ilvl w:val="0"/>
          <w:numId w:val="1"/>
        </w:numPr>
      </w:pPr>
      <w:r w:rsidRPr="00F13661">
        <w:t>The percentage of children achieving pass-advanced scores has dramatically increased (188%) over the past four years.</w:t>
      </w:r>
    </w:p>
    <w:p w:rsidR="00F13661" w:rsidRPr="00F13661" w:rsidRDefault="00F13661" w:rsidP="00F13661"/>
    <w:p w:rsidR="00313F4E" w:rsidRDefault="00F13661" w:rsidP="00F13661">
      <w:r w:rsidRPr="00F13661">
        <w:t>Public and non-public school officials should examine the Title I program to determine the strategies and approaches that the LEA used to have the Title I students achieve these results.</w:t>
      </w:r>
    </w:p>
    <w:p w:rsidR="00ED34F0" w:rsidRDefault="00ED34F0" w:rsidP="00F13661"/>
    <w:p w:rsidR="00313F4E" w:rsidRPr="00313F4E" w:rsidRDefault="00313F4E" w:rsidP="00F13661">
      <w:pPr>
        <w:rPr>
          <w:sz w:val="16"/>
          <w:szCs w:val="16"/>
        </w:rPr>
      </w:pPr>
      <w:r w:rsidRPr="00313F4E">
        <w:rPr>
          <w:sz w:val="16"/>
          <w:szCs w:val="16"/>
        </w:rPr>
        <w:t>This information was adapted from the U.S. Department of Education’s publication, “Ensuring Equitable Services to Private School Children: A Title I Resource Tool Kit”.</w:t>
      </w:r>
    </w:p>
    <w:sectPr w:rsidR="00313F4E" w:rsidRPr="00313F4E" w:rsidSect="00957504">
      <w:pgSz w:w="12240" w:h="15840"/>
      <w:pgMar w:top="1440" w:right="1080" w:bottom="144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4E" w:rsidRDefault="00313F4E" w:rsidP="00313F4E">
      <w:pPr>
        <w:spacing w:after="0" w:line="240" w:lineRule="auto"/>
      </w:pPr>
      <w:r>
        <w:separator/>
      </w:r>
    </w:p>
  </w:endnote>
  <w:endnote w:type="continuationSeparator" w:id="0">
    <w:p w:rsidR="00313F4E" w:rsidRDefault="00313F4E" w:rsidP="0031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4E" w:rsidRDefault="00313F4E" w:rsidP="00313F4E">
      <w:pPr>
        <w:spacing w:after="0" w:line="240" w:lineRule="auto"/>
      </w:pPr>
      <w:r>
        <w:separator/>
      </w:r>
    </w:p>
  </w:footnote>
  <w:footnote w:type="continuationSeparator" w:id="0">
    <w:p w:rsidR="00313F4E" w:rsidRDefault="00313F4E" w:rsidP="00313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C2B04"/>
    <w:multiLevelType w:val="hybridMultilevel"/>
    <w:tmpl w:val="C86C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61"/>
    <w:rsid w:val="00027F5D"/>
    <w:rsid w:val="003106BE"/>
    <w:rsid w:val="00313F4E"/>
    <w:rsid w:val="00332A39"/>
    <w:rsid w:val="00532721"/>
    <w:rsid w:val="005900E7"/>
    <w:rsid w:val="008B188A"/>
    <w:rsid w:val="00955243"/>
    <w:rsid w:val="00957504"/>
    <w:rsid w:val="00A32C4E"/>
    <w:rsid w:val="00A560A2"/>
    <w:rsid w:val="00AC2A61"/>
    <w:rsid w:val="00B73B28"/>
    <w:rsid w:val="00BC6386"/>
    <w:rsid w:val="00D02E92"/>
    <w:rsid w:val="00DE7FDA"/>
    <w:rsid w:val="00E83B56"/>
    <w:rsid w:val="00ED34F0"/>
    <w:rsid w:val="00F1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2079-F66F-4465-8E83-C2F7DF21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B56"/>
    <w:pPr>
      <w:ind w:left="720"/>
      <w:contextualSpacing/>
    </w:pPr>
  </w:style>
  <w:style w:type="paragraph" w:styleId="BalloonText">
    <w:name w:val="Balloon Text"/>
    <w:basedOn w:val="Normal"/>
    <w:link w:val="BalloonTextChar"/>
    <w:uiPriority w:val="99"/>
    <w:semiHidden/>
    <w:unhideWhenUsed/>
    <w:rsid w:val="0059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E7"/>
    <w:rPr>
      <w:rFonts w:ascii="Segoe UI" w:hAnsi="Segoe UI" w:cs="Segoe UI"/>
      <w:sz w:val="18"/>
      <w:szCs w:val="18"/>
    </w:rPr>
  </w:style>
  <w:style w:type="paragraph" w:styleId="Header">
    <w:name w:val="header"/>
    <w:basedOn w:val="Normal"/>
    <w:link w:val="HeaderChar"/>
    <w:uiPriority w:val="99"/>
    <w:unhideWhenUsed/>
    <w:rsid w:val="0031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4E"/>
  </w:style>
  <w:style w:type="paragraph" w:styleId="Footer">
    <w:name w:val="footer"/>
    <w:basedOn w:val="Normal"/>
    <w:link w:val="FooterChar"/>
    <w:uiPriority w:val="99"/>
    <w:unhideWhenUsed/>
    <w:rsid w:val="0031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B939-CD35-489A-A1FE-A3732B14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 Brenda</dc:creator>
  <cp:keywords/>
  <dc:description/>
  <cp:lastModifiedBy>Martz, Brenda</cp:lastModifiedBy>
  <cp:revision>10</cp:revision>
  <cp:lastPrinted>2018-11-28T17:14:00Z</cp:lastPrinted>
  <dcterms:created xsi:type="dcterms:W3CDTF">2018-11-20T18:52:00Z</dcterms:created>
  <dcterms:modified xsi:type="dcterms:W3CDTF">2019-01-22T19:48:00Z</dcterms:modified>
</cp:coreProperties>
</file>