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left"/>
        <w:rPr>
          <w:b w:val="1"/>
          <w:bCs w:val="1"/>
          <w:color w:val="151e49"/>
          <w:sz w:val="28"/>
          <w:szCs w:val="28"/>
        </w:rPr>
      </w:pPr>
      <w:r w:rsidDel="00000000" w:rsidR="00000000" w:rsidRPr="00000000">
        <w:rPr>
          <w:rtl w:val="0"/>
        </w:rPr>
      </w:r>
    </w:p>
    <w:p w:rsidR="00000000" w:rsidDel="00000000" w:rsidP="00000000" w:rsidRDefault="00000000" w:rsidRPr="00000000" w14:paraId="00000002">
      <w:pPr>
        <w:spacing w:after="240" w:before="0" w:lineRule="auto"/>
        <w:jc w:val="center"/>
        <w:rPr>
          <w:b w:val="1"/>
          <w:bCs w:val="1"/>
          <w:color w:val="151e49"/>
          <w:sz w:val="28"/>
          <w:szCs w:val="28"/>
        </w:rPr>
      </w:pPr>
      <w:r w:rsidDel="00000000" w:rsidR="00000000" w:rsidRPr="00000000">
        <w:rPr>
          <w:b w:val="1"/>
          <w:bCs w:val="1"/>
          <w:color w:val="151e49"/>
          <w:sz w:val="28"/>
          <w:szCs w:val="28"/>
          <w:rtl w:val="0"/>
        </w:rPr>
        <w:t xml:space="preserve">Allowable Costs for Farm to School Fact </w:t>
      </w:r>
      <w:r w:rsidDel="00000000" w:rsidR="00000000" w:rsidRPr="00000000">
        <w:rPr>
          <w:b w:val="1"/>
          <w:bCs w:val="1"/>
          <w:color w:val="151e49"/>
          <w:sz w:val="28"/>
          <w:szCs w:val="28"/>
          <w:rtl w:val="0"/>
        </w:rPr>
        <w:t xml:space="preserve">Sheet </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USDA determined that certain farm to school related costs were appropriate costs using program funds. School Nutrition Program (SNP) Sponsors need to use the chart below to assess if the cost of the Farm to School-related purchase is allowable under the non-profit food service account. </w:t>
      </w:r>
    </w:p>
    <w:p w:rsidR="00000000" w:rsidDel="00000000" w:rsidP="00000000" w:rsidRDefault="00000000" w:rsidRPr="00000000" w14:paraId="00000006">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825"/>
        <w:gridCol w:w="1050"/>
        <w:tblGridChange w:id="0">
          <w:tblGrid>
            <w:gridCol w:w="7485"/>
            <w:gridCol w:w="825"/>
            <w:gridCol w:w="105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Farm to School/School Garden Allowable Cost Assessment Chart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If the answer is </w:t>
            </w:r>
            <w:r w:rsidDel="00000000" w:rsidR="00000000" w:rsidRPr="00000000">
              <w:rPr>
                <w:b w:val="1"/>
                <w:bCs w:val="1"/>
                <w:i w:val="1"/>
                <w:iCs w:val="1"/>
                <w:rtl w:val="0"/>
              </w:rPr>
              <w:t xml:space="preserve">no</w:t>
            </w:r>
            <w:r w:rsidDel="00000000" w:rsidR="00000000" w:rsidRPr="00000000">
              <w:rPr>
                <w:rtl w:val="0"/>
              </w:rPr>
              <w:t xml:space="preserve">, the cost is not allowable.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SNP Program Objectives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w:t>
            </w:r>
            <w:r w:rsidDel="00000000" w:rsidR="00000000" w:rsidRPr="00000000">
              <w:rPr>
                <w:rtl w:val="0"/>
              </w:rPr>
              <w:t xml:space="preserve">the activities support the SNP objectives and/or promote program improvement? (Including Nutrition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Meal Service Improvement</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Does the</w:t>
            </w:r>
            <w:r w:rsidDel="00000000" w:rsidR="00000000" w:rsidRPr="00000000">
              <w:rPr>
                <w:rtl w:val="0"/>
              </w:rPr>
              <w:t xml:space="preserve"> purchase support the operation or improvement of meal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Reasonable Costs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the costs associated with these activities reasonable (i.e. proportional to the benefits and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Meal Pattern Compliance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the costs aligned with or supportive of National School Lunch Program and School Breakfast Program meal pattern compliance?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instance, activities that enhance students’ preference for fruits and vegetables, increase the likelihood of students eating fruit and vegetables offered on the serving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Proportional Allocation for Staff Salaries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cases where only a portion of the Farm to School/School Garden Coordinator's time is spent directly in support of the SNP operation, does the site cover a portion of the coordinator’s salary that is deemed necessary, reasonable, and allocable?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No</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240" w:before="240" w:lineRule="auto"/>
        <w:jc w:val="left"/>
        <w:rPr>
          <w:b w:val="1"/>
          <w:bCs w:val="1"/>
          <w:color w:val="151e49"/>
          <w:sz w:val="26"/>
          <w:szCs w:val="26"/>
        </w:rPr>
      </w:pPr>
      <w:r w:rsidDel="00000000" w:rsidR="00000000" w:rsidRPr="00000000">
        <w:rPr>
          <w:rtl w:val="0"/>
        </w:rPr>
      </w:r>
    </w:p>
    <w:p w:rsidR="00000000" w:rsidDel="00000000" w:rsidP="00000000" w:rsidRDefault="00000000" w:rsidRPr="00000000" w14:paraId="00000023">
      <w:pPr>
        <w:spacing w:after="240" w:before="240" w:lineRule="auto"/>
        <w:jc w:val="center"/>
        <w:rPr>
          <w:b w:val="1"/>
          <w:bCs w:val="1"/>
          <w:color w:val="151e49"/>
          <w:sz w:val="26"/>
          <w:szCs w:val="26"/>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The following items are common allowable costs, as long as they are utilized to produce food for the SNPs or to support agriculture or nutrition education, as it relates to the </w:t>
      </w:r>
      <w:hyperlink r:id="rId6">
        <w:r w:rsidDel="00000000" w:rsidR="00000000" w:rsidRPr="00000000">
          <w:rPr>
            <w:color w:val="1155cc"/>
            <w:sz w:val="24"/>
            <w:szCs w:val="24"/>
            <w:u w:val="single"/>
            <w:rtl w:val="0"/>
          </w:rPr>
          <w:t xml:space="preserve">USDA Child Nutrition Program Standards</w:t>
        </w:r>
      </w:hyperlink>
      <w:r w:rsidDel="00000000" w:rsidR="00000000" w:rsidRPr="00000000">
        <w:rPr>
          <w:sz w:val="24"/>
          <w:szCs w:val="24"/>
          <w:rtl w:val="0"/>
        </w:rPr>
        <w:t xml:space="preserve">. </w:t>
      </w:r>
    </w:p>
    <w:p w:rsidR="00000000" w:rsidDel="00000000" w:rsidP="00000000" w:rsidRDefault="00000000" w:rsidRPr="00000000" w14:paraId="00000025">
      <w:pPr>
        <w:numPr>
          <w:ilvl w:val="0"/>
          <w:numId w:val="2"/>
        </w:numPr>
        <w:spacing w:line="259" w:lineRule="auto"/>
        <w:ind w:left="720" w:hanging="360"/>
        <w:rPr>
          <w:sz w:val="24"/>
          <w:szCs w:val="24"/>
        </w:rPr>
      </w:pPr>
      <w:r w:rsidDel="00000000" w:rsidR="00000000" w:rsidRPr="00000000">
        <w:rPr>
          <w:sz w:val="24"/>
          <w:szCs w:val="24"/>
          <w:rtl w:val="0"/>
        </w:rPr>
        <w:t xml:space="preserve">Seeds</w:t>
      </w:r>
    </w:p>
    <w:p w:rsidR="00000000" w:rsidDel="00000000" w:rsidP="00000000" w:rsidRDefault="00000000" w:rsidRPr="00000000" w14:paraId="00000026">
      <w:pPr>
        <w:numPr>
          <w:ilvl w:val="0"/>
          <w:numId w:val="2"/>
        </w:numPr>
        <w:spacing w:line="259" w:lineRule="auto"/>
        <w:ind w:left="720" w:hanging="360"/>
        <w:rPr>
          <w:sz w:val="24"/>
          <w:szCs w:val="24"/>
        </w:rPr>
      </w:pPr>
      <w:r w:rsidDel="00000000" w:rsidR="00000000" w:rsidRPr="00000000">
        <w:rPr>
          <w:sz w:val="24"/>
          <w:szCs w:val="24"/>
          <w:rtl w:val="0"/>
        </w:rPr>
        <w:t xml:space="preserve">Plant starts </w:t>
      </w:r>
    </w:p>
    <w:p w:rsidR="00000000" w:rsidDel="00000000" w:rsidP="00000000" w:rsidRDefault="00000000" w:rsidRPr="00000000" w14:paraId="00000027">
      <w:pPr>
        <w:numPr>
          <w:ilvl w:val="0"/>
          <w:numId w:val="2"/>
        </w:numPr>
        <w:spacing w:line="259" w:lineRule="auto"/>
        <w:ind w:left="720" w:hanging="360"/>
        <w:rPr>
          <w:sz w:val="24"/>
          <w:szCs w:val="24"/>
        </w:rPr>
      </w:pPr>
      <w:r w:rsidDel="00000000" w:rsidR="00000000" w:rsidRPr="00000000">
        <w:rPr>
          <w:sz w:val="24"/>
          <w:szCs w:val="24"/>
          <w:rtl w:val="0"/>
        </w:rPr>
        <w:t xml:space="preserve">Livestock purchased for </w:t>
      </w:r>
      <w:r w:rsidDel="00000000" w:rsidR="00000000" w:rsidRPr="00000000">
        <w:rPr>
          <w:sz w:val="24"/>
          <w:szCs w:val="24"/>
          <w:rtl w:val="0"/>
        </w:rPr>
        <w:t xml:space="preserve">use in the school meal program</w:t>
      </w:r>
    </w:p>
    <w:p w:rsidR="00000000" w:rsidDel="00000000" w:rsidP="00000000" w:rsidRDefault="00000000" w:rsidRPr="00000000" w14:paraId="00000028">
      <w:pPr>
        <w:numPr>
          <w:ilvl w:val="0"/>
          <w:numId w:val="2"/>
        </w:numPr>
        <w:spacing w:line="259" w:lineRule="auto"/>
        <w:ind w:left="720" w:hanging="360"/>
        <w:rPr>
          <w:sz w:val="24"/>
          <w:szCs w:val="24"/>
        </w:rPr>
      </w:pPr>
      <w:r w:rsidDel="00000000" w:rsidR="00000000" w:rsidRPr="00000000">
        <w:rPr>
          <w:sz w:val="24"/>
          <w:szCs w:val="24"/>
          <w:rtl w:val="0"/>
        </w:rPr>
        <w:t xml:space="preserve">Soil</w:t>
      </w:r>
    </w:p>
    <w:p w:rsidR="00000000" w:rsidDel="00000000" w:rsidP="00000000" w:rsidRDefault="00000000" w:rsidRPr="00000000" w14:paraId="00000029">
      <w:pPr>
        <w:numPr>
          <w:ilvl w:val="0"/>
          <w:numId w:val="2"/>
        </w:numPr>
        <w:spacing w:line="259" w:lineRule="auto"/>
        <w:ind w:left="720" w:hanging="360"/>
        <w:rPr>
          <w:sz w:val="24"/>
          <w:szCs w:val="24"/>
        </w:rPr>
      </w:pPr>
      <w:r w:rsidDel="00000000" w:rsidR="00000000" w:rsidRPr="00000000">
        <w:rPr>
          <w:sz w:val="24"/>
          <w:szCs w:val="24"/>
          <w:rtl w:val="0"/>
        </w:rPr>
        <w:t xml:space="preserve">Soil amendments and fertilizer </w:t>
      </w:r>
    </w:p>
    <w:p w:rsidR="00000000" w:rsidDel="00000000" w:rsidP="00000000" w:rsidRDefault="00000000" w:rsidRPr="00000000" w14:paraId="0000002A">
      <w:pPr>
        <w:numPr>
          <w:ilvl w:val="0"/>
          <w:numId w:val="2"/>
        </w:numPr>
        <w:spacing w:line="259" w:lineRule="auto"/>
        <w:ind w:left="720" w:hanging="360"/>
        <w:rPr>
          <w:sz w:val="24"/>
          <w:szCs w:val="24"/>
        </w:rPr>
      </w:pPr>
      <w:r w:rsidDel="00000000" w:rsidR="00000000" w:rsidRPr="00000000">
        <w:rPr>
          <w:sz w:val="24"/>
          <w:szCs w:val="24"/>
          <w:rtl w:val="0"/>
        </w:rPr>
        <w:t xml:space="preserve">Wheelbarrows</w:t>
      </w:r>
    </w:p>
    <w:p w:rsidR="00000000" w:rsidDel="00000000" w:rsidP="00000000" w:rsidRDefault="00000000" w:rsidRPr="00000000" w14:paraId="0000002B">
      <w:pPr>
        <w:numPr>
          <w:ilvl w:val="0"/>
          <w:numId w:val="2"/>
        </w:numPr>
        <w:spacing w:line="259" w:lineRule="auto"/>
        <w:ind w:left="720" w:hanging="360"/>
        <w:rPr>
          <w:sz w:val="24"/>
          <w:szCs w:val="24"/>
        </w:rPr>
      </w:pPr>
      <w:r w:rsidDel="00000000" w:rsidR="00000000" w:rsidRPr="00000000">
        <w:rPr>
          <w:sz w:val="24"/>
          <w:szCs w:val="24"/>
          <w:rtl w:val="0"/>
        </w:rPr>
        <w:t xml:space="preserve">Hand tools</w:t>
      </w:r>
    </w:p>
    <w:p w:rsidR="00000000" w:rsidDel="00000000" w:rsidP="00000000" w:rsidRDefault="00000000" w:rsidRPr="00000000" w14:paraId="0000002C">
      <w:pPr>
        <w:numPr>
          <w:ilvl w:val="0"/>
          <w:numId w:val="2"/>
        </w:numPr>
        <w:spacing w:line="259" w:lineRule="auto"/>
        <w:ind w:left="720" w:hanging="360"/>
        <w:rPr>
          <w:sz w:val="24"/>
          <w:szCs w:val="24"/>
        </w:rPr>
      </w:pPr>
      <w:r w:rsidDel="00000000" w:rsidR="00000000" w:rsidRPr="00000000">
        <w:rPr>
          <w:sz w:val="24"/>
          <w:szCs w:val="24"/>
          <w:rtl w:val="0"/>
        </w:rPr>
        <w:t xml:space="preserve">Composting bins</w:t>
      </w:r>
    </w:p>
    <w:p w:rsidR="00000000" w:rsidDel="00000000" w:rsidP="00000000" w:rsidRDefault="00000000" w:rsidRPr="00000000" w14:paraId="0000002D">
      <w:pPr>
        <w:numPr>
          <w:ilvl w:val="0"/>
          <w:numId w:val="2"/>
        </w:numPr>
        <w:spacing w:line="259" w:lineRule="auto"/>
        <w:ind w:left="720" w:hanging="360"/>
        <w:rPr>
          <w:sz w:val="24"/>
          <w:szCs w:val="24"/>
        </w:rPr>
      </w:pPr>
      <w:r w:rsidDel="00000000" w:rsidR="00000000" w:rsidRPr="00000000">
        <w:rPr>
          <w:sz w:val="24"/>
          <w:szCs w:val="24"/>
          <w:rtl w:val="0"/>
        </w:rPr>
        <w:t xml:space="preserve">Local food for taste tests </w:t>
      </w:r>
    </w:p>
    <w:p w:rsidR="00000000" w:rsidDel="00000000" w:rsidP="00000000" w:rsidRDefault="00000000" w:rsidRPr="00000000" w14:paraId="0000002E">
      <w:pPr>
        <w:numPr>
          <w:ilvl w:val="0"/>
          <w:numId w:val="2"/>
        </w:numPr>
        <w:spacing w:line="259" w:lineRule="auto"/>
        <w:ind w:left="720" w:hanging="360"/>
        <w:rPr>
          <w:sz w:val="24"/>
          <w:szCs w:val="24"/>
        </w:rPr>
      </w:pPr>
      <w:r w:rsidDel="00000000" w:rsidR="00000000" w:rsidRPr="00000000">
        <w:rPr>
          <w:sz w:val="24"/>
          <w:szCs w:val="24"/>
          <w:rtl w:val="0"/>
        </w:rPr>
        <w:t xml:space="preserve">Supplies for nutrition/agriculture education lessons</w:t>
      </w:r>
    </w:p>
    <w:p w:rsidR="00000000" w:rsidDel="00000000" w:rsidP="00000000" w:rsidRDefault="00000000" w:rsidRPr="00000000" w14:paraId="0000002F">
      <w:pPr>
        <w:numPr>
          <w:ilvl w:val="0"/>
          <w:numId w:val="2"/>
        </w:numPr>
        <w:ind w:left="720" w:hanging="360"/>
        <w:rPr>
          <w:sz w:val="24"/>
          <w:szCs w:val="24"/>
        </w:rPr>
      </w:pPr>
      <w:r w:rsidDel="00000000" w:rsidR="00000000" w:rsidRPr="00000000">
        <w:rPr>
          <w:sz w:val="24"/>
          <w:szCs w:val="24"/>
          <w:rtl w:val="0"/>
        </w:rPr>
        <w:t xml:space="preserve">Grow lights</w:t>
      </w:r>
    </w:p>
    <w:p w:rsidR="00000000" w:rsidDel="00000000" w:rsidP="00000000" w:rsidRDefault="00000000" w:rsidRPr="00000000" w14:paraId="00000030">
      <w:pPr>
        <w:numPr>
          <w:ilvl w:val="0"/>
          <w:numId w:val="2"/>
        </w:numPr>
        <w:ind w:left="720" w:hanging="360"/>
        <w:rPr>
          <w:sz w:val="24"/>
          <w:szCs w:val="24"/>
        </w:rPr>
      </w:pPr>
      <w:r w:rsidDel="00000000" w:rsidR="00000000" w:rsidRPr="00000000">
        <w:rPr>
          <w:sz w:val="24"/>
          <w:szCs w:val="24"/>
          <w:rtl w:val="0"/>
        </w:rPr>
        <w:t xml:space="preserve">Rain barrels</w:t>
      </w:r>
    </w:p>
    <w:p w:rsidR="00000000" w:rsidDel="00000000" w:rsidP="00000000" w:rsidRDefault="00000000" w:rsidRPr="00000000" w14:paraId="00000031">
      <w:pPr>
        <w:numPr>
          <w:ilvl w:val="0"/>
          <w:numId w:val="2"/>
        </w:numPr>
        <w:ind w:left="720" w:hanging="360"/>
        <w:rPr>
          <w:sz w:val="24"/>
          <w:szCs w:val="24"/>
        </w:rPr>
      </w:pPr>
      <w:r w:rsidDel="00000000" w:rsidR="00000000" w:rsidRPr="00000000">
        <w:rPr>
          <w:sz w:val="24"/>
          <w:szCs w:val="24"/>
          <w:rtl w:val="0"/>
        </w:rPr>
        <w:t xml:space="preserve">Raised beds </w:t>
      </w:r>
    </w:p>
    <w:p w:rsidR="00000000" w:rsidDel="00000000" w:rsidP="00000000" w:rsidRDefault="00000000" w:rsidRPr="00000000" w14:paraId="00000032">
      <w:pPr>
        <w:numPr>
          <w:ilvl w:val="0"/>
          <w:numId w:val="2"/>
        </w:numPr>
        <w:ind w:left="720" w:hanging="360"/>
        <w:rPr>
          <w:sz w:val="24"/>
          <w:szCs w:val="24"/>
        </w:rPr>
      </w:pPr>
      <w:r w:rsidDel="00000000" w:rsidR="00000000" w:rsidRPr="00000000">
        <w:rPr>
          <w:sz w:val="24"/>
          <w:szCs w:val="24"/>
          <w:rtl w:val="0"/>
        </w:rPr>
        <w:t xml:space="preserve">Hydroponic towers</w:t>
      </w:r>
    </w:p>
    <w:p w:rsidR="00000000" w:rsidDel="00000000" w:rsidP="00000000" w:rsidRDefault="00000000" w:rsidRPr="00000000" w14:paraId="00000033">
      <w:pPr>
        <w:numPr>
          <w:ilvl w:val="0"/>
          <w:numId w:val="2"/>
        </w:numPr>
        <w:ind w:left="720" w:hanging="360"/>
        <w:rPr>
          <w:sz w:val="24"/>
          <w:szCs w:val="24"/>
        </w:rPr>
      </w:pPr>
      <w:r w:rsidDel="00000000" w:rsidR="00000000" w:rsidRPr="00000000">
        <w:rPr>
          <w:sz w:val="24"/>
          <w:szCs w:val="24"/>
          <w:rtl w:val="0"/>
        </w:rPr>
        <w:t xml:space="preserve">T-shirts for staff or posters to promote Farm to School initiatives</w:t>
      </w:r>
    </w:p>
    <w:p w:rsidR="00000000" w:rsidDel="00000000" w:rsidP="00000000" w:rsidRDefault="00000000" w:rsidRPr="00000000" w14:paraId="00000034">
      <w:pPr>
        <w:numPr>
          <w:ilvl w:val="0"/>
          <w:numId w:val="2"/>
        </w:numPr>
        <w:ind w:left="720" w:hanging="360"/>
        <w:rPr>
          <w:sz w:val="24"/>
          <w:szCs w:val="24"/>
        </w:rPr>
      </w:pPr>
      <w:r w:rsidDel="00000000" w:rsidR="00000000" w:rsidRPr="00000000">
        <w:rPr>
          <w:sz w:val="24"/>
          <w:szCs w:val="24"/>
          <w:rtl w:val="0"/>
        </w:rPr>
        <w:t xml:space="preserve">Professional development for staff; like hiring a guest chef to teach how to process local products</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The following expenses need prior approval:</w:t>
      </w:r>
    </w:p>
    <w:p w:rsidR="00000000" w:rsidDel="00000000" w:rsidP="00000000" w:rsidRDefault="00000000" w:rsidRPr="00000000" w14:paraId="00000037">
      <w:pPr>
        <w:numPr>
          <w:ilvl w:val="0"/>
          <w:numId w:val="2"/>
        </w:numPr>
        <w:ind w:left="720" w:hanging="360"/>
        <w:rPr>
          <w:sz w:val="24"/>
          <w:szCs w:val="24"/>
        </w:rPr>
      </w:pPr>
      <w:r w:rsidDel="00000000" w:rsidR="00000000" w:rsidRPr="00000000">
        <w:rPr>
          <w:sz w:val="24"/>
          <w:szCs w:val="24"/>
          <w:rtl w:val="0"/>
        </w:rPr>
        <w:t xml:space="preserve">Paying for the salary or hourly wage of a Farm to School/School Garden Coordinator</w:t>
      </w:r>
    </w:p>
    <w:p w:rsidR="00000000" w:rsidDel="00000000" w:rsidP="00000000" w:rsidRDefault="00000000" w:rsidRPr="00000000" w14:paraId="00000038">
      <w:pPr>
        <w:numPr>
          <w:ilvl w:val="0"/>
          <w:numId w:val="2"/>
        </w:numPr>
        <w:ind w:left="720" w:hanging="360"/>
        <w:rPr>
          <w:sz w:val="24"/>
          <w:szCs w:val="24"/>
        </w:rPr>
      </w:pPr>
      <w:r w:rsidDel="00000000" w:rsidR="00000000" w:rsidRPr="00000000">
        <w:rPr>
          <w:sz w:val="24"/>
          <w:szCs w:val="24"/>
          <w:rtl w:val="0"/>
        </w:rPr>
        <w:t xml:space="preserve">Animals used for educational purposes </w:t>
      </w:r>
      <w:r w:rsidDel="00000000" w:rsidR="00000000" w:rsidRPr="00000000">
        <w:rPr>
          <w:sz w:val="24"/>
          <w:szCs w:val="24"/>
          <w:rtl w:val="0"/>
        </w:rPr>
        <w:t xml:space="preserve">vs. livestock used in the school meal program </w:t>
      </w:r>
    </w:p>
    <w:p w:rsidR="00000000" w:rsidDel="00000000" w:rsidP="00000000" w:rsidRDefault="00000000" w:rsidRPr="00000000" w14:paraId="00000039">
      <w:pPr>
        <w:numPr>
          <w:ilvl w:val="0"/>
          <w:numId w:val="2"/>
        </w:numPr>
        <w:ind w:left="720" w:hanging="360"/>
        <w:rPr>
          <w:sz w:val="24"/>
          <w:szCs w:val="24"/>
        </w:rPr>
      </w:pPr>
      <w:r w:rsidDel="00000000" w:rsidR="00000000" w:rsidRPr="00000000">
        <w:rPr>
          <w:sz w:val="24"/>
          <w:szCs w:val="24"/>
          <w:rtl w:val="0"/>
        </w:rPr>
        <w:t xml:space="preserve">Structures </w:t>
      </w:r>
    </w:p>
    <w:p w:rsidR="00000000" w:rsidDel="00000000" w:rsidP="00000000" w:rsidRDefault="00000000" w:rsidRPr="00000000" w14:paraId="0000003A">
      <w:pPr>
        <w:numPr>
          <w:ilvl w:val="0"/>
          <w:numId w:val="2"/>
        </w:numPr>
        <w:ind w:left="720" w:hanging="360"/>
        <w:rPr>
          <w:sz w:val="24"/>
          <w:szCs w:val="24"/>
        </w:rPr>
      </w:pPr>
      <w:r w:rsidDel="00000000" w:rsidR="00000000" w:rsidRPr="00000000">
        <w:rPr>
          <w:sz w:val="24"/>
          <w:szCs w:val="24"/>
          <w:rtl w:val="0"/>
        </w:rPr>
        <w:t xml:space="preserve">Plot rentals </w:t>
      </w:r>
    </w:p>
    <w:p w:rsidR="00000000" w:rsidDel="00000000" w:rsidP="00000000" w:rsidRDefault="00000000" w:rsidRPr="00000000" w14:paraId="0000003B">
      <w:pPr>
        <w:numPr>
          <w:ilvl w:val="0"/>
          <w:numId w:val="2"/>
        </w:numPr>
        <w:ind w:left="720" w:hanging="360"/>
        <w:rPr>
          <w:sz w:val="24"/>
          <w:szCs w:val="24"/>
        </w:rPr>
      </w:pPr>
      <w:r w:rsidDel="00000000" w:rsidR="00000000" w:rsidRPr="00000000">
        <w:rPr>
          <w:sz w:val="24"/>
          <w:szCs w:val="24"/>
          <w:rtl w:val="0"/>
        </w:rPr>
        <w:t xml:space="preserve">Anything else not listed above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For additional guidance on allowable costs, refer to: </w:t>
      </w:r>
    </w:p>
    <w:p w:rsidR="00000000" w:rsidDel="00000000" w:rsidP="00000000" w:rsidRDefault="00000000" w:rsidRPr="00000000" w14:paraId="0000003E">
      <w:pPr>
        <w:numPr>
          <w:ilvl w:val="0"/>
          <w:numId w:val="1"/>
        </w:numPr>
        <w:ind w:left="720" w:hanging="360"/>
        <w:rPr>
          <w:sz w:val="24"/>
          <w:szCs w:val="24"/>
        </w:rPr>
      </w:pPr>
      <w:hyperlink r:id="rId7">
        <w:r w:rsidDel="00000000" w:rsidR="00000000" w:rsidRPr="00000000">
          <w:rPr>
            <w:color w:val="1155cc"/>
            <w:sz w:val="24"/>
            <w:szCs w:val="24"/>
            <w:u w:val="single"/>
            <w:rtl w:val="0"/>
          </w:rPr>
          <w:t xml:space="preserve">School Gardens Q and A </w:t>
        </w:r>
      </w:hyperlink>
      <w:r w:rsidDel="00000000" w:rsidR="00000000" w:rsidRPr="00000000">
        <w:rPr>
          <w:rtl w:val="0"/>
        </w:rPr>
      </w:r>
    </w:p>
    <w:p w:rsidR="00000000" w:rsidDel="00000000" w:rsidP="00000000" w:rsidRDefault="00000000" w:rsidRPr="00000000" w14:paraId="0000003F">
      <w:pPr>
        <w:numPr>
          <w:ilvl w:val="0"/>
          <w:numId w:val="1"/>
        </w:numPr>
        <w:ind w:left="720" w:hanging="360"/>
        <w:rPr>
          <w:sz w:val="24"/>
          <w:szCs w:val="24"/>
        </w:rPr>
      </w:pPr>
      <w:hyperlink r:id="rId8">
        <w:r w:rsidDel="00000000" w:rsidR="00000000" w:rsidRPr="00000000">
          <w:rPr>
            <w:color w:val="1155cc"/>
            <w:sz w:val="24"/>
            <w:szCs w:val="24"/>
            <w:u w:val="single"/>
            <w:rtl w:val="0"/>
          </w:rPr>
          <w:t xml:space="preserve">Farm to School and School Garden Expense</w:t>
        </w:r>
      </w:hyperlink>
      <w:r w:rsidDel="00000000" w:rsidR="00000000" w:rsidRPr="00000000">
        <w:rPr>
          <w:rtl w:val="0"/>
        </w:rPr>
      </w:r>
    </w:p>
    <w:p w:rsidR="00000000" w:rsidDel="00000000" w:rsidP="00000000" w:rsidRDefault="00000000" w:rsidRPr="00000000" w14:paraId="00000040">
      <w:pPr>
        <w:ind w:left="0" w:firstLine="0"/>
        <w:rPr>
          <w:color w:val="1b1b1b"/>
          <w:highlight w:val="white"/>
        </w:rPr>
      </w:pPr>
      <w:r w:rsidDel="00000000" w:rsidR="00000000" w:rsidRPr="00000000">
        <w:rPr>
          <w:rtl w:val="0"/>
        </w:rPr>
      </w:r>
    </w:p>
    <w:p w:rsidR="00000000" w:rsidDel="00000000" w:rsidP="00000000" w:rsidRDefault="00000000" w:rsidRPr="00000000" w14:paraId="00000041">
      <w:pPr>
        <w:ind w:left="0" w:firstLine="0"/>
        <w:rPr>
          <w:b w:val="1"/>
          <w:bCs w:val="1"/>
          <w:color w:val="151e49"/>
          <w:sz w:val="28"/>
          <w:szCs w:val="28"/>
        </w:rPr>
      </w:pPr>
      <w:r w:rsidDel="00000000" w:rsidR="00000000" w:rsidRPr="00000000">
        <w:rPr>
          <w:b w:val="1"/>
          <w:bCs w:val="1"/>
          <w:color w:val="151e49"/>
          <w:sz w:val="28"/>
          <w:szCs w:val="28"/>
          <w:rtl w:val="0"/>
        </w:rPr>
        <w:t xml:space="preserve">Questions? </w:t>
      </w:r>
      <w:r w:rsidDel="00000000" w:rsidR="00000000" w:rsidRPr="00000000">
        <w:rPr>
          <w:rtl w:val="0"/>
        </w:rPr>
      </w:r>
    </w:p>
    <w:p w:rsidR="00000000" w:rsidDel="00000000" w:rsidP="00000000" w:rsidRDefault="00000000" w:rsidRPr="00000000" w14:paraId="00000042">
      <w:pPr>
        <w:numPr>
          <w:ilvl w:val="0"/>
          <w:numId w:val="2"/>
        </w:numPr>
        <w:ind w:left="720" w:hanging="360"/>
        <w:rPr>
          <w:sz w:val="24"/>
          <w:szCs w:val="24"/>
        </w:rPr>
      </w:pPr>
      <w:r w:rsidDel="00000000" w:rsidR="00000000" w:rsidRPr="00000000">
        <w:rPr>
          <w:color w:val="242424"/>
          <w:sz w:val="24"/>
          <w:szCs w:val="24"/>
          <w:highlight w:val="white"/>
          <w:rtl w:val="0"/>
        </w:rPr>
        <w:t xml:space="preserve">Equipment purchases: </w:t>
      </w:r>
      <w:r w:rsidDel="00000000" w:rsidR="00000000" w:rsidRPr="00000000">
        <w:rPr>
          <w:color w:val="1155cc"/>
          <w:sz w:val="24"/>
          <w:szCs w:val="24"/>
          <w:highlight w:val="white"/>
          <w:u w:val="single"/>
          <w:rtl w:val="0"/>
        </w:rPr>
        <w:t xml:space="preserve">scnprocurement@doe.in.gov</w:t>
      </w:r>
      <w:r w:rsidDel="00000000" w:rsidR="00000000" w:rsidRPr="00000000">
        <w:rPr>
          <w:color w:val="1155cc"/>
          <w:sz w:val="24"/>
          <w:szCs w:val="24"/>
          <w:rtl w:val="0"/>
        </w:rPr>
        <w:t xml:space="preserve"> </w:t>
      </w:r>
      <w:r w:rsidDel="00000000" w:rsidR="00000000" w:rsidRPr="00000000">
        <w:rPr>
          <w:rtl w:val="0"/>
        </w:rPr>
      </w:r>
    </w:p>
    <w:p w:rsidR="00000000" w:rsidDel="00000000" w:rsidP="00000000" w:rsidRDefault="00000000" w:rsidRPr="00000000" w14:paraId="00000043">
      <w:pPr>
        <w:numPr>
          <w:ilvl w:val="0"/>
          <w:numId w:val="2"/>
        </w:numPr>
        <w:ind w:left="720" w:hanging="360"/>
        <w:rPr>
          <w:sz w:val="24"/>
          <w:szCs w:val="24"/>
        </w:rPr>
      </w:pPr>
      <w:r w:rsidDel="00000000" w:rsidR="00000000" w:rsidRPr="00000000">
        <w:rPr>
          <w:sz w:val="24"/>
          <w:szCs w:val="24"/>
          <w:rtl w:val="0"/>
        </w:rPr>
        <w:t xml:space="preserve">A</w:t>
      </w:r>
      <w:r w:rsidDel="00000000" w:rsidR="00000000" w:rsidRPr="00000000">
        <w:rPr>
          <w:sz w:val="24"/>
          <w:szCs w:val="24"/>
          <w:rtl w:val="0"/>
        </w:rPr>
        <w:t xml:space="preserve">llowable Farm to School costs: </w:t>
      </w:r>
      <w:hyperlink r:id="rId9">
        <w:r w:rsidDel="00000000" w:rsidR="00000000" w:rsidRPr="00000000">
          <w:rPr>
            <w:color w:val="1155cc"/>
            <w:sz w:val="24"/>
            <w:szCs w:val="24"/>
            <w:u w:val="single"/>
            <w:rtl w:val="0"/>
          </w:rPr>
          <w:t xml:space="preserve">F2S@doe.in.gov</w:t>
        </w:r>
      </w:hyperlink>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right" w:leader="none" w:pos="9020"/>
        <w:tab w:val="center" w:leader="none" w:pos="4680"/>
        <w:tab w:val="right" w:leader="none" w:pos="9360"/>
      </w:tabs>
      <w:spacing w:line="240" w:lineRule="auto"/>
      <w:jc w:val="center"/>
      <w:rPr>
        <w:rFonts w:ascii="Times New Roman" w:cs="Times New Roman" w:eastAsia="Times New Roman" w:hAnsi="Times New Roman"/>
        <w:color w:val="151e49"/>
        <w:sz w:val="18"/>
        <w:szCs w:val="18"/>
      </w:rPr>
    </w:pPr>
    <w:r w:rsidDel="00000000" w:rsidR="00000000" w:rsidRPr="00000000">
      <w:rPr>
        <w:rtl w:val="0"/>
      </w:rPr>
    </w:r>
  </w:p>
  <w:p w:rsidR="00000000" w:rsidDel="00000000" w:rsidP="00000000" w:rsidRDefault="00000000" w:rsidRPr="00000000" w14:paraId="00000047">
    <w:pPr>
      <w:tabs>
        <w:tab w:val="right" w:leader="none" w:pos="9020"/>
        <w:tab w:val="center" w:leader="none" w:pos="4680"/>
        <w:tab w:val="right" w:leader="none" w:pos="9360"/>
      </w:tabs>
      <w:spacing w:line="240" w:lineRule="auto"/>
      <w:jc w:val="center"/>
      <w:rPr>
        <w:rFonts w:ascii="Times New Roman" w:cs="Times New Roman" w:eastAsia="Times New Roman" w:hAnsi="Times New Roman"/>
        <w:color w:val="151e49"/>
        <w:sz w:val="20"/>
        <w:szCs w:val="20"/>
      </w:rPr>
    </w:pPr>
    <w:r w:rsidDel="00000000" w:rsidR="00000000" w:rsidRPr="00000000">
      <w:rPr>
        <w:rtl w:val="0"/>
      </w:rPr>
    </w:r>
  </w:p>
  <w:p w:rsidR="00000000" w:rsidDel="00000000" w:rsidP="00000000" w:rsidRDefault="00000000" w:rsidRPr="00000000" w14:paraId="00000048">
    <w:pPr>
      <w:spacing w:line="240" w:lineRule="auto"/>
      <w:jc w:val="center"/>
      <w:rPr>
        <w:rFonts w:ascii="Arvo" w:cs="Arvo" w:eastAsia="Arvo" w:hAnsi="Arvo"/>
        <w:color w:val="151e49"/>
        <w:sz w:val="20"/>
        <w:szCs w:val="20"/>
      </w:rPr>
    </w:pPr>
    <w:r w:rsidDel="00000000" w:rsidR="00000000" w:rsidRPr="00000000">
      <w:rPr>
        <w:color w:val="151e49"/>
        <w:shd w:fill="fcfcfc" w:val="clear"/>
        <w:rtl w:val="0"/>
      </w:rPr>
      <w:t xml:space="preserve">This institution is an equal opportunity provider, employer, and lender.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40" w:lineRule="auto"/>
      <w:jc w:val="center"/>
      <w:rPr>
        <w:rFonts w:ascii="Arvo" w:cs="Arvo" w:eastAsia="Arvo" w:hAnsi="Arvo"/>
        <w:color w:val="151e49"/>
        <w:sz w:val="20"/>
        <w:szCs w:val="20"/>
      </w:rPr>
    </w:pPr>
    <w:r w:rsidDel="00000000" w:rsidR="00000000" w:rsidRPr="00000000">
      <w:rPr>
        <w:color w:val="151e49"/>
        <w:shd w:fill="fcfcfc" w:val="clear"/>
        <w:rtl w:val="0"/>
      </w:rPr>
      <w:t xml:space="preserve">This institution is an equal opportunity provider, employer, and lender.</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tabs>
        <w:tab w:val="right" w:leader="none" w:pos="9020"/>
        <w:tab w:val="center" w:leader="none" w:pos="4680"/>
      </w:tabs>
      <w:spacing w:line="240" w:lineRule="auto"/>
      <w:ind w:left="-720" w:right="-72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right" w:leader="none" w:pos="9020"/>
        <w:tab w:val="center" w:leader="none" w:pos="4680"/>
      </w:tabs>
      <w:spacing w:line="240" w:lineRule="auto"/>
      <w:ind w:left="-720" w:right="-720" w:firstLine="0"/>
      <w:jc w:val="center"/>
      <w:rPr/>
    </w:pPr>
    <w:r w:rsidDel="00000000" w:rsidR="00000000" w:rsidRPr="00000000">
      <w:rPr>
        <w:rFonts w:ascii="Helvetica Neue" w:cs="Helvetica Neue" w:eastAsia="Helvetica Neue" w:hAnsi="Helvetica Neue"/>
        <w:sz w:val="24"/>
        <w:szCs w:val="24"/>
      </w:rPr>
      <w:drawing>
        <wp:inline distB="0" distT="0" distL="0" distR="0">
          <wp:extent cx="5891066" cy="89329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91066" cy="8932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2s@doe.in.gov" TargetMode="External"/><Relationship Id="rId5" Type="http://schemas.openxmlformats.org/officeDocument/2006/relationships/styles" Target="styles.xml"/><Relationship Id="rId6" Type="http://schemas.openxmlformats.org/officeDocument/2006/relationships/hyperlink" Target="https://www.fns.usda.gov/tn/professional-standards/training-objectives-topics" TargetMode="External"/><Relationship Id="rId7" Type="http://schemas.openxmlformats.org/officeDocument/2006/relationships/hyperlink" Target="https://www.fns.usda.gov/cn/school-garden-qas" TargetMode="External"/><Relationship Id="rId8" Type="http://schemas.openxmlformats.org/officeDocument/2006/relationships/hyperlink" Target="https://www.fns.usda.gov/cn/farm-school-and-school-garden-expen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