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ind w:left="3600" w:firstLine="0"/>
        <w:rPr>
          <w:b w:val="1"/>
          <w:bCs w:val="1"/>
        </w:rPr>
      </w:pPr>
      <w:r w:rsidDel="00000000" w:rsidR="00000000" w:rsidRPr="00000000">
        <w:rPr>
          <w:b w:val="1"/>
          <w:bCs w:val="1"/>
          <w:rtl w:val="0"/>
        </w:rPr>
        <w:t xml:space="preserve">  School and Community Nutrition</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Community Eligibility Provision</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Participation Information</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Community Eligibility Provision (CEP) provides schools that participate in the National School Lunch Program (NSLP) and participate in or are initiating a School Breakfast Program (SBP) for the 2026-2027 school year with an alternative method for counting and claiming student meals in high poverty local educational agencies (LEAs). LEAs electing to participate in CEP agree to serve all students free lunches AND breakfasts for four successive school years. </w:t>
      </w:r>
      <w:r w:rsidDel="00000000" w:rsidR="00000000" w:rsidRPr="00000000">
        <w:rPr>
          <w:b w:val="1"/>
          <w:bCs w:val="1"/>
          <w:rtl w:val="0"/>
        </w:rPr>
        <w:t xml:space="preserve">To participate in CEP, the School Food Authority must submit the CEP Site Worksheet to the Indiana Department of Education (IDOE), School and Community Nutrition (SCN) by </w:t>
      </w:r>
      <w:r w:rsidDel="00000000" w:rsidR="00000000" w:rsidRPr="00000000">
        <w:rPr>
          <w:b w:val="1"/>
          <w:bCs w:val="1"/>
          <w:u w:val="single"/>
          <w:rtl w:val="0"/>
        </w:rPr>
        <w:t xml:space="preserve">June 30, 2026</w:t>
      </w:r>
      <w:r w:rsidDel="00000000" w:rsidR="00000000" w:rsidRPr="00000000">
        <w:rPr>
          <w:b w:val="1"/>
          <w:bCs w:val="1"/>
          <w:rtl w:val="0"/>
        </w:rPr>
        <w:t xml:space="preserve">.</w:t>
      </w:r>
      <w:r w:rsidDel="00000000" w:rsidR="00000000" w:rsidRPr="00000000">
        <w:rPr>
          <w:rtl w:val="0"/>
        </w:rPr>
        <w:t xml:space="preserve"> Upon full validation of the site worksheet, the claiming percentage will be discussed, and the CEP Agreement will be signed.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Schools choosing to participate in CEP agree to do so for at least one year. If the school decides to no longer participate in CEP the school must notify the IDOE by June 30</w:t>
      </w:r>
      <w:r w:rsidDel="00000000" w:rsidR="00000000" w:rsidRPr="00000000">
        <w:rPr>
          <w:rtl w:val="0"/>
        </w:rPr>
        <w:t xml:space="preserve">. In addition, any school wanting to reorganize, add, or drop sites can do so by notifying IDOE during the annual election period.</w:t>
      </w:r>
      <w:r w:rsidDel="00000000" w:rsidR="00000000" w:rsidRPr="00000000">
        <w:rPr>
          <w:color w:val="95b3d7"/>
          <w:rtl w:val="0"/>
        </w:rPr>
        <w:t xml:space="preserve"> </w:t>
      </w:r>
      <w:r w:rsidDel="00000000" w:rsidR="00000000" w:rsidRPr="00000000">
        <w:rPr>
          <w:rtl w:val="0"/>
        </w:rPr>
        <w:t xml:space="preserve">If the cost of serving breakfasts and lunches is not covered by the Federal assistance received, the difference must be paid from the district’s non-Federal sources. Identified Student data must come from enrollment and Direct Certification data collected by April 1, 2026, from eligibility data collected during the 2025-2026 school year.</w:t>
      </w:r>
    </w:p>
    <w:p w:rsidR="00000000" w:rsidDel="00000000" w:rsidP="00000000" w:rsidRDefault="00000000" w:rsidRPr="00000000" w14:paraId="00000009">
      <w:pPr>
        <w:spacing w:after="120" w:lineRule="auto"/>
        <w:rPr/>
      </w:pPr>
      <w:r w:rsidDel="00000000" w:rsidR="00000000" w:rsidRPr="00000000">
        <w:rPr>
          <w:rtl w:val="0"/>
        </w:rPr>
      </w:r>
    </w:p>
    <w:p w:rsidR="00000000" w:rsidDel="00000000" w:rsidP="00000000" w:rsidRDefault="00000000" w:rsidRPr="00000000" w14:paraId="0000000A">
      <w:pPr>
        <w:spacing w:after="120" w:lineRule="auto"/>
        <w:rPr/>
      </w:pPr>
      <w:r w:rsidDel="00000000" w:rsidR="00000000" w:rsidRPr="00000000">
        <w:rPr>
          <w:rtl w:val="0"/>
        </w:rPr>
        <w:t xml:space="preserve">To begin the process of validation to participate in CEP, the following must be completed:</w:t>
      </w:r>
    </w:p>
    <w:p w:rsidR="00000000" w:rsidDel="00000000" w:rsidP="00000000" w:rsidRDefault="00000000" w:rsidRPr="00000000" w14:paraId="0000000B">
      <w:pPr>
        <w:spacing w:after="120" w:lineRule="auto"/>
        <w:rPr/>
      </w:pPr>
      <w:r w:rsidDel="00000000" w:rsidR="00000000" w:rsidRPr="00000000">
        <w:rPr>
          <w:rtl w:val="0"/>
        </w:rPr>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line="276" w:lineRule="auto"/>
        <w:ind w:left="720" w:hanging="360"/>
        <w:rPr/>
      </w:pPr>
      <w:r w:rsidDel="00000000" w:rsidR="00000000" w:rsidRPr="00000000">
        <w:rPr>
          <w:rtl w:val="0"/>
        </w:rPr>
        <w:t xml:space="preserve">Read through the CEP Agreement (on the next page of this document) to further understand the ongoing requirements for CEP implementation.  Do not complete the agreement until notified by the State agency to do so.</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line="276" w:lineRule="auto"/>
        <w:ind w:left="720" w:hanging="360"/>
        <w:rPr/>
      </w:pPr>
      <w:r w:rsidDel="00000000" w:rsidR="00000000" w:rsidRPr="00000000">
        <w:rPr>
          <w:rtl w:val="0"/>
        </w:rPr>
        <w:t xml:space="preserve">Prepare the CEP Site Worksheet SY 2026-2027 located on our website at </w:t>
      </w:r>
      <w:r w:rsidDel="00000000" w:rsidR="00000000" w:rsidRPr="00000000">
        <w:rPr>
          <w:u w:val="single"/>
          <w:rtl w:val="0"/>
        </w:rPr>
        <w:t xml:space="preserve">http://www. in.gov/doe/nutrition/community-eligibility-provision-cep</w:t>
      </w:r>
      <w:r w:rsidDel="00000000" w:rsidR="00000000" w:rsidRPr="00000000">
        <w:rPr>
          <w:color w:val="000000"/>
          <w:rtl w:val="0"/>
        </w:rPr>
        <w:t xml:space="preserve"> </w:t>
      </w:r>
      <w:r w:rsidDel="00000000" w:rsidR="00000000" w:rsidRPr="00000000">
        <w:rPr>
          <w:rtl w:val="0"/>
        </w:rPr>
        <w:t xml:space="preserve">and submit the completed worksheet via email to the SNP assigned field specialist.</w:t>
      </w:r>
    </w:p>
    <w:p w:rsidR="00000000" w:rsidDel="00000000" w:rsidP="00000000" w:rsidRDefault="00000000" w:rsidRPr="00000000" w14:paraId="0000000E">
      <w:pPr>
        <w:numPr>
          <w:ilvl w:val="1"/>
          <w:numId w:val="1"/>
        </w:numPr>
        <w:pBdr>
          <w:top w:color="000000" w:space="0" w:sz="0" w:val="none"/>
          <w:left w:color="000000" w:space="0" w:sz="0" w:val="none"/>
          <w:bottom w:color="000000" w:space="0" w:sz="0" w:val="none"/>
          <w:right w:color="000000" w:space="0" w:sz="0" w:val="none"/>
          <w:between w:color="000000" w:space="0" w:sz="0" w:val="none"/>
        </w:pBdr>
        <w:spacing w:after="120" w:line="276" w:lineRule="auto"/>
        <w:ind w:left="1440" w:hanging="360"/>
        <w:rPr/>
      </w:pPr>
      <w:r w:rsidDel="00000000" w:rsidR="00000000" w:rsidRPr="00000000">
        <w:rPr>
          <w:rtl w:val="0"/>
        </w:rPr>
        <w:t xml:space="preserve">Save (digitally) the documentation used to complete the worksheets.  </w:t>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line="276" w:lineRule="auto"/>
        <w:ind w:left="720" w:hanging="360"/>
        <w:rPr/>
      </w:pPr>
      <w:r w:rsidDel="00000000" w:rsidR="00000000" w:rsidRPr="00000000">
        <w:rPr>
          <w:rtl w:val="0"/>
        </w:rPr>
        <w:t xml:space="preserve">The field specialist must validate the data used to complete the CEP site worksheet. This is to ensure eligibility and confirm feasibility. Await email instructions from the assigned field specialist outlining the secure process for uploading documentation supporting the numbers entered in the CEP Site Worksheets for the validation process.  </w:t>
      </w:r>
      <w:r w:rsidDel="00000000" w:rsidR="00000000" w:rsidRPr="00000000">
        <w:rPr>
          <w:b w:val="1"/>
          <w:bCs w:val="1"/>
          <w:rtl w:val="0"/>
        </w:rPr>
        <w:t xml:space="preserve">No individual student data should be sent via email. </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line="276" w:lineRule="auto"/>
        <w:ind w:left="720" w:hanging="360"/>
        <w:rPr/>
      </w:pPr>
      <w:r w:rsidDel="00000000" w:rsidR="00000000" w:rsidRPr="00000000">
        <w:rPr>
          <w:rtl w:val="0"/>
        </w:rPr>
        <w:t xml:space="preserve">The final validated numbers will be appended to a blank CEP agreement, sent to appropriate staff for review and signatures, and then the completed signed agreement must be emailed back to the field specialist.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line="276" w:lineRule="auto"/>
        <w:ind w:left="720" w:firstLine="0"/>
        <w:rPr>
          <w:b w:val="1"/>
          <w:bCs w:val="1"/>
        </w:rPr>
      </w:pPr>
      <w:r w:rsidDel="00000000" w:rsidR="00000000" w:rsidRPr="00000000">
        <w:rPr>
          <w:rtl w:val="0"/>
        </w:rPr>
      </w:r>
    </w:p>
    <w:p w:rsidR="00000000" w:rsidDel="00000000" w:rsidP="00000000" w:rsidRDefault="00000000" w:rsidRPr="00000000" w14:paraId="00000012">
      <w:pPr>
        <w:jc w:val="center"/>
        <w:rPr>
          <w:b w:val="1"/>
          <w:bCs w:val="1"/>
          <w:sz w:val="22"/>
          <w:szCs w:val="22"/>
        </w:rPr>
      </w:pPr>
      <w:r w:rsidDel="00000000" w:rsidR="00000000" w:rsidRPr="00000000">
        <w:rPr>
          <w:b w:val="1"/>
          <w:bCs w:val="1"/>
          <w:sz w:val="22"/>
          <w:szCs w:val="22"/>
          <w:rtl w:val="0"/>
        </w:rPr>
        <w:t xml:space="preserve">Community Eligibility Provision Local Educational Agency Agreement</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Agreement Number: ___________           School (LEA/District) Name: ______________________________________</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is between the Indiana Department of Education (IDOE) and </w:t>
      </w:r>
      <w:r w:rsidDel="00000000" w:rsidR="00000000" w:rsidRPr="00000000">
        <w:rPr>
          <w:rFonts w:ascii="Calibri" w:cs="Calibri" w:eastAsia="Calibri" w:hAnsi="Calibri"/>
          <w:b w:val="1"/>
          <w:bCs w:val="1"/>
          <w:i w:val="1"/>
          <w:iCs w:val="1"/>
          <w:sz w:val="22"/>
          <w:szCs w:val="22"/>
          <w:highlight w:val="yellow"/>
          <w:u w:val="single"/>
          <w:rtl w:val="0"/>
        </w:rPr>
        <w:t xml:space="preserve">&lt;insert Local Educational Agency Name here&gt;</w:t>
      </w:r>
      <w:r w:rsidDel="00000000" w:rsidR="00000000" w:rsidRPr="00000000">
        <w:rPr>
          <w:rFonts w:ascii="Calibri" w:cs="Calibri" w:eastAsia="Calibri" w:hAnsi="Calibri"/>
          <w:sz w:val="22"/>
          <w:szCs w:val="22"/>
          <w:rtl w:val="0"/>
        </w:rPr>
        <w:t xml:space="preserve"> and covers the period of four years starting July 1, 2026 (SY 26-27), through SY 27-28, SY 28-29, and ending SY 29-30 (June 30, 2030), at which time the LEA must reapply. The Local Educational Agency (LEA) school(s) may stop participating in the Community Eligibility Provision (CEP) during the four-year cycle by notifying the State agency </w:t>
      </w:r>
      <w:r w:rsidDel="00000000" w:rsidR="00000000" w:rsidRPr="00000000">
        <w:rPr>
          <w:rFonts w:ascii="Calibri" w:cs="Calibri" w:eastAsia="Calibri" w:hAnsi="Calibri"/>
          <w:b w:val="1"/>
          <w:bCs w:val="1"/>
          <w:sz w:val="22"/>
          <w:szCs w:val="22"/>
          <w:rtl w:val="0"/>
        </w:rPr>
        <w:t xml:space="preserve">no later than June 30</w:t>
      </w:r>
      <w:r w:rsidDel="00000000" w:rsidR="00000000" w:rsidRPr="00000000">
        <w:rPr>
          <w:rFonts w:ascii="Calibri" w:cs="Calibri" w:eastAsia="Calibri" w:hAnsi="Calibri"/>
          <w:sz w:val="22"/>
          <w:szCs w:val="22"/>
          <w:rtl w:val="0"/>
        </w:rPr>
        <w:t xml:space="preserve"> of the school year prior to intending to return to traditional counting and claiming procedures.</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undersigned has the authority to enter this Agreement to participate in the Community Eligibility Provision as authorized by 7 CFR 245.9(f). </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It is mutually agreed between IDOE and the LEA that:</w:t>
      </w:r>
    </w:p>
    <w:p w:rsidR="00000000" w:rsidDel="00000000" w:rsidP="00000000" w:rsidRDefault="00000000" w:rsidRPr="00000000" w14:paraId="0000001B">
      <w:pPr>
        <w:rPr>
          <w:sz w:val="22"/>
          <w:szCs w:val="22"/>
        </w:rPr>
        <w:sectPr>
          <w:headerReference r:id="rId7" w:type="default"/>
          <w:footerReference r:id="rId8" w:type="default"/>
          <w:pgSz w:h="15840" w:w="12240" w:orient="portrait"/>
          <w:pgMar w:bottom="720" w:top="720" w:left="720" w:right="720" w:header="720" w:footer="864"/>
          <w:pgNumType w:start="1"/>
        </w:sect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
        <w:tblW w:w="84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510"/>
        <w:gridCol w:w="6240"/>
        <w:gridCol w:w="795"/>
        <w:tblGridChange w:id="0">
          <w:tblGrid>
            <w:gridCol w:w="885"/>
            <w:gridCol w:w="510"/>
            <w:gridCol w:w="6240"/>
            <w:gridCol w:w="795"/>
          </w:tblGrid>
        </w:tblGridChange>
      </w:tblGrid>
      <w:tr>
        <w:trPr>
          <w:cantSplit w:val="0"/>
          <w:trHeight w:val="377" w:hRule="atLeast"/>
          <w:tblHeader w:val="0"/>
        </w:trPr>
        <w:tc>
          <w:tcPr>
            <w:tcBorders>
              <w:bottom w:color="7f7f7f" w:space="0" w:sz="4" w:val="single"/>
              <w:right w:color="000000" w:space="0" w:sz="0" w:val="nil"/>
            </w:tcBorders>
          </w:tcPr>
          <w:p w:rsidR="00000000" w:rsidDel="00000000" w:rsidP="00000000" w:rsidRDefault="00000000" w:rsidRPr="00000000" w14:paraId="0000001D">
            <w:pPr>
              <w:jc w:val="cente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Exe </w:t>
            </w:r>
          </w:p>
          <w:p w:rsidR="00000000" w:rsidDel="00000000" w:rsidP="00000000" w:rsidRDefault="00000000" w:rsidRPr="00000000" w14:paraId="0000001E">
            <w:pPr>
              <w:jc w:val="center"/>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Init</w:t>
            </w:r>
            <w:r w:rsidDel="00000000" w:rsidR="00000000" w:rsidRPr="00000000">
              <w:rPr>
                <w:rtl w:val="0"/>
              </w:rPr>
            </w:r>
          </w:p>
        </w:tc>
        <w:tc>
          <w:tcPr>
            <w:tcBorders>
              <w:bottom w:color="7f7f7f" w:space="0" w:sz="4" w:val="single"/>
            </w:tcBorders>
          </w:tcPr>
          <w:p w:rsidR="00000000" w:rsidDel="00000000" w:rsidP="00000000" w:rsidRDefault="00000000" w:rsidRPr="00000000" w14:paraId="0000001F">
            <w:pPr>
              <w:rPr>
                <w:rFonts w:ascii="Calibri" w:cs="Calibri" w:eastAsia="Calibri" w:hAnsi="Calibri"/>
                <w:i w:val="1"/>
                <w:iCs w:val="1"/>
                <w:sz w:val="22"/>
                <w:szCs w:val="22"/>
              </w:rPr>
            </w:pPr>
            <w:r w:rsidDel="00000000" w:rsidR="00000000" w:rsidRPr="00000000">
              <w:rPr>
                <w:rtl w:val="0"/>
              </w:rPr>
            </w:r>
          </w:p>
        </w:tc>
        <w:tc>
          <w:tcPr>
            <w:tcBorders>
              <w:bottom w:color="7f7f7f" w:space="0" w:sz="4" w:val="single"/>
            </w:tcBorders>
          </w:tcPr>
          <w:p w:rsidR="00000000" w:rsidDel="00000000" w:rsidP="00000000" w:rsidRDefault="00000000" w:rsidRPr="00000000" w14:paraId="00000020">
            <w:pPr>
              <w:rPr>
                <w:rFonts w:ascii="Calibri" w:cs="Calibri" w:eastAsia="Calibri" w:hAnsi="Calibri"/>
                <w:i w:val="1"/>
                <w:iCs w:val="1"/>
                <w:sz w:val="22"/>
                <w:szCs w:val="22"/>
              </w:rPr>
            </w:pPr>
            <w:r w:rsidDel="00000000" w:rsidR="00000000" w:rsidRPr="00000000">
              <w:rPr>
                <w:rtl w:val="0"/>
              </w:rPr>
            </w:r>
          </w:p>
        </w:tc>
        <w:tc>
          <w:tcPr>
            <w:tcBorders>
              <w:bottom w:color="7f7f7f" w:space="0" w:sz="4" w:val="single"/>
            </w:tcBorders>
          </w:tcPr>
          <w:p w:rsidR="00000000" w:rsidDel="00000000" w:rsidP="00000000" w:rsidRDefault="00000000" w:rsidRPr="00000000" w14:paraId="00000021">
            <w:pPr>
              <w:jc w:val="cente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FSD Init</w:t>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22">
            <w:pPr>
              <w:jc w:val="center"/>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serve all children in participating school(s) free breakfasts and free lunches every school day for four successive school years, with the understanding that individual student participation is voluntary and not mandatory. 7 CFR 245.9(f)</w:t>
            </w:r>
          </w:p>
        </w:tc>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26">
            <w:pPr>
              <w:jc w:val="right"/>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has a percentage of enrolled students who were Identified Students as of April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of the year prior to participating in CEP that is greater than or equal to 25%. 7 CFR 245.9(f)(3)(i)</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2A">
            <w:pPr>
              <w:jc w:val="center"/>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maintain all documentation supporting the enrollment and the determination of identified students used to arrive at the claiming percentages. 7 CFR 245.9(h)(3)</w:t>
            </w:r>
          </w:p>
        </w:tc>
        <w:tc>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2E">
            <w:pPr>
              <w:jc w:val="right"/>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pay, from sources other than Federal funds, the costs of serving breakfast and lunches that exceed the Federal assistance received, including Federal cash reimbursements. 7 CFR 245.9(f)(4)(vii)</w:t>
            </w:r>
          </w:p>
        </w:tc>
        <w:tc>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r>
        <w:trPr>
          <w:cantSplit w:val="0"/>
          <w:trHeight w:val="351" w:hRule="atLeast"/>
          <w:tblHeader w:val="0"/>
        </w:trPr>
        <w:tc>
          <w:tcPr>
            <w:tcBorders>
              <w:right w:color="7f7f7f" w:space="0" w:sz="4" w:val="single"/>
            </w:tcBorders>
          </w:tcPr>
          <w:p w:rsidR="00000000" w:rsidDel="00000000" w:rsidP="00000000" w:rsidRDefault="00000000" w:rsidRPr="00000000" w14:paraId="00000032">
            <w:pPr>
              <w:jc w:val="center"/>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not to collect free and reduced-price meal applications for the purpose of determining meal prices for students in participating schools in subsequent years during the period of participation in CEP. 7 CFR 245.9(f)(iv)</w:t>
            </w:r>
          </w:p>
        </w:tc>
        <w:tc>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36">
            <w:pPr>
              <w:jc w:val="center"/>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collect and maintain a count of reimbursable breakfasts and lunches </w:t>
            </w:r>
            <w:r w:rsidDel="00000000" w:rsidR="00000000" w:rsidRPr="00000000">
              <w:rPr>
                <w:rFonts w:ascii="Calibri" w:cs="Calibri" w:eastAsia="Calibri" w:hAnsi="Calibri"/>
                <w:b w:val="1"/>
                <w:bCs w:val="1"/>
                <w:sz w:val="22"/>
                <w:szCs w:val="22"/>
                <w:rtl w:val="0"/>
              </w:rPr>
              <w:t xml:space="preserve">served and recorded at the point of service daily by site. </w:t>
            </w:r>
            <w:r w:rsidDel="00000000" w:rsidR="00000000" w:rsidRPr="00000000">
              <w:rPr>
                <w:rFonts w:ascii="Calibri" w:cs="Calibri" w:eastAsia="Calibri" w:hAnsi="Calibri"/>
                <w:sz w:val="22"/>
                <w:szCs w:val="22"/>
                <w:rtl w:val="0"/>
              </w:rPr>
              <w:t xml:space="preserve">7 CFR 245.9(f)(iii)</w:t>
            </w:r>
          </w:p>
        </w:tc>
        <w:tc>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3A">
            <w:pPr>
              <w:jc w:val="center"/>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abide by all requirements for applying and administering CEP as stated in Section 104(a) of the Healthy, Hunger Free Kids Act of 2010 amended section 11(a)(1) of the Richard B. Russell National School Lunch Act (42 U.S.C. 1759a(a)(1)).</w:t>
            </w:r>
          </w:p>
        </w:tc>
        <w:tc>
          <w:tcPr/>
          <w:p w:rsidR="00000000" w:rsidDel="00000000" w:rsidP="00000000" w:rsidRDefault="00000000" w:rsidRPr="00000000" w14:paraId="0000003D">
            <w:pPr>
              <w:rPr>
                <w:rFonts w:ascii="Calibri" w:cs="Calibri" w:eastAsia="Calibri" w:hAnsi="Calibri"/>
                <w:i w:val="1"/>
                <w:iCs w:val="1"/>
                <w:sz w:val="22"/>
                <w:szCs w:val="22"/>
              </w:rPr>
            </w:pPr>
            <w:r w:rsidDel="00000000" w:rsidR="00000000" w:rsidRPr="00000000">
              <w:rPr>
                <w:rtl w:val="0"/>
              </w:rPr>
            </w:r>
          </w:p>
        </w:tc>
      </w:tr>
      <w:tr>
        <w:trPr>
          <w:cantSplit w:val="0"/>
          <w:trHeight w:val="335" w:hRule="atLeast"/>
          <w:tblHeader w:val="0"/>
        </w:trPr>
        <w:tc>
          <w:tcPr>
            <w:tcBorders>
              <w:right w:color="7f7f7f" w:space="0" w:sz="4" w:val="single"/>
            </w:tcBorders>
          </w:tcPr>
          <w:p w:rsidR="00000000" w:rsidDel="00000000" w:rsidP="00000000" w:rsidRDefault="00000000" w:rsidRPr="00000000" w14:paraId="0000003E">
            <w:pPr>
              <w:jc w:val="right"/>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LEA agrees to all program compliance requirements as outlined in program regulations. 7 CFR 245.9(f)(3)(iii). </w:t>
            </w:r>
          </w:p>
        </w:tc>
        <w:tc>
          <w:tcPr/>
          <w:p w:rsidR="00000000" w:rsidDel="00000000" w:rsidP="00000000" w:rsidRDefault="00000000" w:rsidRPr="00000000" w14:paraId="00000041">
            <w:pPr>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43">
      <w:pPr>
        <w:tabs>
          <w:tab w:val="left" w:leader="none"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tabs>
          <w:tab w:val="left" w:leader="none"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tabs>
          <w:tab w:val="left" w:leader="none" w:pos="36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B.  General Conditions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tabs>
          <w:tab w:val="left" w:leader="none" w:pos="360"/>
        </w:tabs>
        <w:ind w:left="360" w:firstLine="0"/>
        <w:rPr>
          <w:rFonts w:ascii="Calibri" w:cs="Calibri" w:eastAsia="Calibri" w:hAnsi="Calibri"/>
        </w:rPr>
      </w:pPr>
      <w:r w:rsidDel="00000000" w:rsidR="00000000" w:rsidRPr="00000000">
        <w:rPr>
          <w:rFonts w:ascii="Calibri" w:cs="Calibri" w:eastAsia="Calibri" w:hAnsi="Calibri"/>
          <w:rtl w:val="0"/>
        </w:rPr>
        <w:t xml:space="preserve">1.</w:t>
        <w:tab/>
        <w:t xml:space="preserve">This agreement is non-transferable.</w:t>
      </w:r>
    </w:p>
    <w:p w:rsidR="00000000" w:rsidDel="00000000" w:rsidP="00000000" w:rsidRDefault="00000000" w:rsidRPr="00000000" w14:paraId="00000048">
      <w:pPr>
        <w:tabs>
          <w:tab w:val="left" w:leader="none" w:pos="360"/>
        </w:tabs>
        <w:ind w:left="360" w:firstLine="0"/>
        <w:rPr>
          <w:rFonts w:ascii="Calibri" w:cs="Calibri" w:eastAsia="Calibri" w:hAnsi="Calibri"/>
        </w:rPr>
      </w:pPr>
      <w:r w:rsidDel="00000000" w:rsidR="00000000" w:rsidRPr="00000000">
        <w:rPr>
          <w:rFonts w:ascii="Calibri" w:cs="Calibri" w:eastAsia="Calibri" w:hAnsi="Calibri"/>
          <w:rtl w:val="0"/>
        </w:rPr>
        <w:t xml:space="preserve">2.</w:t>
        <w:tab/>
        <w:t xml:space="preserve">Neither IDOE nor LEA have an obligation to renew this agreement.</w:t>
      </w:r>
    </w:p>
    <w:p w:rsidR="00000000" w:rsidDel="00000000" w:rsidP="00000000" w:rsidRDefault="00000000" w:rsidRPr="00000000" w14:paraId="00000049">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rtl w:val="0"/>
        </w:rPr>
        <w:t xml:space="preserve">Print Name: </w:t>
      </w:r>
      <w:r w:rsidDel="00000000" w:rsidR="00000000" w:rsidRPr="00000000">
        <w:rPr>
          <w:rFonts w:ascii="Calibri" w:cs="Calibri" w:eastAsia="Calibri" w:hAnsi="Calibri"/>
          <w:b w:val="1"/>
          <w:bCs w:val="1"/>
          <w:color w:val="000000"/>
          <w:sz w:val="22"/>
          <w:szCs w:val="22"/>
          <w:rtl w:val="0"/>
        </w:rPr>
        <w:t xml:space="preserve">__________________________________</w:t>
      </w:r>
      <w:r w:rsidDel="00000000" w:rsidR="00000000" w:rsidRPr="00000000">
        <w:rPr>
          <w:rFonts w:ascii="Calibri" w:cs="Calibri" w:eastAsia="Calibri" w:hAnsi="Calibri"/>
          <w:b w:val="1"/>
          <w:bCs w:val="1"/>
          <w:sz w:val="22"/>
          <w:szCs w:val="22"/>
          <w:rtl w:val="0"/>
        </w:rPr>
        <w:tab/>
        <w:t xml:space="preserve">Print Name: </w:t>
      </w:r>
      <w:r w:rsidDel="00000000" w:rsidR="00000000" w:rsidRPr="00000000">
        <w:rPr>
          <w:rFonts w:ascii="Calibri" w:cs="Calibri" w:eastAsia="Calibri" w:hAnsi="Calibri"/>
          <w:b w:val="1"/>
          <w:bCs w:val="1"/>
          <w:sz w:val="22"/>
          <w:szCs w:val="22"/>
          <w:u w:val="single"/>
          <w:rtl w:val="0"/>
        </w:rPr>
        <w:t xml:space="preserve">________________________________    </w:t>
      </w:r>
    </w:p>
    <w:p w:rsidR="00000000" w:rsidDel="00000000" w:rsidP="00000000" w:rsidRDefault="00000000" w:rsidRPr="00000000" w14:paraId="0000004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Superintendent or Executive Contact</w:t>
        <w:tab/>
        <w:t xml:space="preserve">           </w:t>
        <w:tab/>
        <w:tab/>
        <w:t xml:space="preserve">Food Service Director or Manager</w:t>
      </w:r>
    </w:p>
    <w:p w:rsidR="00000000" w:rsidDel="00000000" w:rsidP="00000000" w:rsidRDefault="00000000" w:rsidRPr="00000000" w14:paraId="0000004C">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Signature:    __________________________________ </w:t>
        <w:tab/>
        <w:t xml:space="preserve">Signature:  _________________________________</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Superintendent or Executive Contact</w:t>
        <w:tab/>
        <w:tab/>
        <w:tab/>
        <w:t xml:space="preserve">Food Service Director or Manager</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rtl w:val="0"/>
        </w:rPr>
        <w:t xml:space="preserve">Date: </w:t>
        <w:tab/>
        <w:t xml:space="preserve">_________________________</w:t>
        <w:tab/>
        <w:tab/>
        <w:tab/>
        <w:t xml:space="preserve">Date:   _________________________</w:t>
        <w:tab/>
        <w:tab/>
        <w:tab/>
        <w:tab/>
      </w: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ARRANGEMENT does not constitute the entire agreement between the parties with respect to subject matter thereof.</w:t>
      </w:r>
    </w:p>
    <w:p w:rsidR="00000000" w:rsidDel="00000000" w:rsidP="00000000" w:rsidRDefault="00000000" w:rsidRPr="00000000" w14:paraId="000000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Validated CEP Data to be added here:</w:t>
      </w:r>
    </w:p>
    <w:sectPr>
      <w:type w:val="continuous"/>
      <w:pgSz w:h="15840" w:w="12240" w:orient="portrait"/>
      <w:pgMar w:bottom="720" w:top="720" w:left="720" w:right="720" w:header="720" w:footer="8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1e"/>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1e"/>
        <w:sz w:val="20"/>
        <w:szCs w:val="20"/>
        <w:u w:val="none"/>
        <w:shd w:fill="auto" w:val="clear"/>
        <w:vertAlign w:val="baseline"/>
        <w:rtl w:val="0"/>
      </w:rPr>
      <w:t xml:space="preserve">School &amp; Community Nutrition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1e"/>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1e"/>
        <w:sz w:val="20"/>
        <w:szCs w:val="20"/>
        <w:u w:val="none"/>
        <w:shd w:fill="auto" w:val="clear"/>
        <w:vertAlign w:val="baseline"/>
        <w:rtl w:val="0"/>
      </w:rPr>
      <w:t xml:space="preserve">(317) 232-0850, www.in.gov/doe/nutrition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right" w:leader="none" w:pos="9020"/>
        <w:tab w:val="center" w:leader="none" w:pos="4680"/>
      </w:tabs>
      <w:ind w:left="-720" w:right="-72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drawing>
        <wp:inline distB="114300" distT="114300" distL="114300" distR="114300">
          <wp:extent cx="5943600" cy="1041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041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pBdr>
        <w:top w:space="0" w:sz="0" w:val="nil"/>
        <w:left w:space="0" w:sz="0" w:val="nil"/>
        <w:bottom w:space="0" w:sz="0" w:val="nil"/>
        <w:right w:space="0" w:sz="0" w:val="nil"/>
        <w:between w:space="0" w:sz="0" w:val="nil"/>
        <w:bar w:space="0" w:sz="0" w:val="nil"/>
      </w:pBdr>
      <w:tabs>
        <w:tab w:val="right" w:pos="9020"/>
      </w:tabs>
    </w:pPr>
    <w:rPr>
      <w:rFonts w:ascii="Helvetica" w:cs="Arial Unicode MS" w:hAnsi="Helvetica"/>
      <w:color w:val="000000"/>
      <w:sz w:val="24"/>
      <w:szCs w:val="24"/>
      <w:bdr w:space="0" w:sz="0" w:val="nil"/>
    </w:rPr>
  </w:style>
  <w:style w:type="paragraph" w:styleId="Body" w:customStyle="1">
    <w:name w:val="Body"/>
    <w:pPr>
      <w:pBdr>
        <w:top w:space="0" w:sz="0" w:val="nil"/>
        <w:left w:space="0" w:sz="0" w:val="nil"/>
        <w:bottom w:space="0" w:sz="0" w:val="nil"/>
        <w:right w:space="0" w:sz="0" w:val="nil"/>
        <w:between w:space="0" w:sz="0" w:val="nil"/>
        <w:bar w:space="0" w:sz="0" w:val="nil"/>
      </w:pBdr>
    </w:pPr>
    <w:rPr>
      <w:rFonts w:ascii="Helvetica" w:cs="Arial Unicode MS" w:hAnsi="Helvetica"/>
      <w:color w:val="000000"/>
      <w:sz w:val="22"/>
      <w:szCs w:val="22"/>
      <w:bdr w:space="0" w:sz="0" w:val="nil"/>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link w:val="Footer"/>
    <w:uiPriority w:val="99"/>
    <w:rsid w:val="00301486"/>
    <w:rPr>
      <w:sz w:val="24"/>
      <w:szCs w:val="24"/>
    </w:rPr>
  </w:style>
  <w:style w:type="paragraph" w:styleId="NormalWeb">
    <w:name w:val="Normal (Web)"/>
    <w:basedOn w:val="Normal"/>
    <w:uiPriority w:val="99"/>
    <w:semiHidden w:val="1"/>
    <w:unhideWhenUsed w:val="1"/>
    <w:rsid w:val="00A73EB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character" w:styleId="FollowedHyperlink">
    <w:name w:val="FollowedHyperlink"/>
    <w:uiPriority w:val="99"/>
    <w:semiHidden w:val="1"/>
    <w:unhideWhenUsed w:val="1"/>
    <w:rsid w:val="00AC0D99"/>
    <w:rPr>
      <w:color w:val="954f72"/>
      <w:u w:val="single"/>
    </w:rPr>
  </w:style>
  <w:style w:type="character" w:styleId="UnresolvedMention">
    <w:name w:val="Unresolved Mention"/>
    <w:uiPriority w:val="99"/>
    <w:semiHidden w:val="1"/>
    <w:unhideWhenUsed w:val="1"/>
    <w:rsid w:val="0094587A"/>
    <w:rPr>
      <w:color w:val="605e5c"/>
      <w:shd w:color="auto" w:fill="e1dfdd" w:val="clear"/>
    </w:rPr>
  </w:style>
  <w:style w:type="table" w:styleId="PlainTable5">
    <w:name w:val="Plain Table 5"/>
    <w:basedOn w:val="TableNormal"/>
    <w:uiPriority w:val="45"/>
    <w:rsid w:val="00E46635"/>
    <w:rPr>
      <w:rFonts w:ascii="Aptos" w:eastAsia="Aptos" w:hAnsi="Aptos"/>
      <w:kern w:val="2"/>
      <w:sz w:val="24"/>
      <w:szCs w:val="24"/>
    </w:rPr>
    <w:tblPr>
      <w:tblStyleRowBandSize w:val="1"/>
      <w:tblStyleColBandSize w:val="1"/>
    </w:tblPr>
    <w:tblStylePr w:type="firstRow">
      <w:rPr>
        <w:rFonts w:ascii="Aptos Display" w:cs="Times New Roman" w:eastAsia="Times New Roman" w:hAnsi="Aptos Display"/>
        <w:i w:val="1"/>
        <w:iCs w:val="1"/>
        <w:sz w:val="26"/>
      </w:rPr>
      <w:tblPr/>
      <w:tcPr>
        <w:tcBorders>
          <w:bottom w:color="7f7f7f" w:space="0" w:sz="4" w:val="single"/>
        </w:tcBorders>
        <w:shd w:color="auto" w:fill="ffffff" w:val="clear"/>
      </w:tcPr>
    </w:tblStylePr>
    <w:tblStylePr w:type="lastRow">
      <w:rPr>
        <w:rFonts w:ascii="Aptos Display" w:cs="Times New Roman" w:eastAsia="Times New Roman" w:hAnsi="Aptos Display"/>
        <w:i w:val="1"/>
        <w:iCs w:val="1"/>
        <w:sz w:val="26"/>
      </w:rPr>
      <w:tblPr/>
      <w:tcPr>
        <w:tcBorders>
          <w:top w:color="7f7f7f" w:space="0" w:sz="4" w:val="single"/>
        </w:tcBorders>
        <w:shd w:color="auto" w:fill="ffffff" w:val="clear"/>
      </w:tcPr>
    </w:tblStylePr>
    <w:tblStylePr w:type="firstCol">
      <w:pPr>
        <w:jc w:val="right"/>
      </w:pPr>
      <w:rPr>
        <w:rFonts w:ascii="Aptos Display" w:cs="Times New Roman" w:eastAsia="Times New Roman" w:hAnsi="Aptos Display"/>
        <w:i w:val="1"/>
        <w:iCs w:val="1"/>
        <w:sz w:val="26"/>
      </w:rPr>
      <w:tblPr/>
      <w:tcPr>
        <w:tcBorders>
          <w:right w:color="7f7f7f" w:space="0" w:sz="4" w:val="single"/>
        </w:tcBorders>
        <w:shd w:color="auto" w:fill="ffffff" w:val="clear"/>
      </w:tcPr>
    </w:tblStylePr>
    <w:tblStylePr w:type="lastCol">
      <w:rPr>
        <w:rFonts w:ascii="Aptos Display" w:cs="Times New Roman" w:eastAsia="Times New Roman" w:hAnsi="Aptos Display"/>
        <w:i w:val="1"/>
        <w:iCs w:val="1"/>
        <w:sz w:val="26"/>
      </w:rPr>
      <w:tblPr/>
      <w:tcPr>
        <w:tcBorders>
          <w:left w:color="7f7f7f" w:space="0" w:sz="4" w:val="single"/>
        </w:tcBorders>
        <w:shd w:color="auto" w:fill="ffffff" w:val="clear"/>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Revision">
    <w:name w:val="Revision"/>
    <w:hidden w:val="1"/>
    <w:uiPriority w:val="99"/>
    <w:semiHidden w:val="1"/>
    <w:rsid w:val="00D67E6E"/>
    <w:rPr>
      <w:sz w:val="24"/>
      <w:szCs w:val="24"/>
      <w:bdr w:space="0" w:sz="0" w:val="ni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YN/VdIqRB+ngbGr0aT8rrm5gQ==">CgMxLjA4AGpHCjVzdWdnZXN0SWRJbXBvcnRlZDI1MGY4OS02NzkzLTQ4NDctOTdlMS02N2M3MThlOTUwNTlfMRIOQ29ydW0sIE1lbGlzc2FqRwo1c3VnZ2VzdElkSW1wb3J0ZWQyNTBmODktNjc5My00ODQ3LTk3ZTEtNjdjNzE4ZTk1MDU5XzISDkNvcnVtLCBNZWxpc3NhakcKNXN1Z2dlc3RJZEltcG9ydGVkMjUwZjg5LTY3OTMtNDg0Ny05N2UxLTY3YzcxOGU5NTA1OV8zEg5Db3J1bSwgTWVsaXNzYXIhMWlYU3ZEa2dtN0pXMW1ldUVfeWNfeUtrWFMxTWNCTF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2026-03-20T17:47:00Z</dcterms:created>
  <dc:creator>Herzog, Christina</dc:creator>
</cp:coreProperties>
</file>