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Letter of Support for [Charter School’s] [Specific Grant] Application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Whom It May Concern: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letter serves as support for [School Name] in connection with its application for [X] funding.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the school’s authorizer, we confirm that: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[School Name] operates under a valid charter agreement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[School Name] opened in [Opening Year] and has been in operation for [number of years]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The school is currently in good standing with its authorizer.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*If applicable, the school is replicating or expanding a high-performing charter school model consistent with federal definitions under the Elementary and Secondary Education Act (ESEA).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*If applying as a replication school, we verify that the school is opening a new campus based on the educational model of an existing high-quality charter school under an additional charter, consistent with ESEA § 4310(9).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*If applying as an expansion school, we verify that the school experienced a significant increase in enrollment (20% or greater student population growth) and/or will add one or more grades beyond the original charter, consistent with ESEA § 4310(7).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Additionally, we verify that the school demonstrates characteristics of a high-quality charter school, including, as applicable: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 clear and compelling vision for the charter school;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transportation plan that supports student access, if applicable;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capacity and sustainability;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funding sufficient to support operations and growth;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 diversified governing board that supports student success; and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 of high-quality, evidence-based academic and behavioral approaches designed to support underserved student populations.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contact our office if additional information or documentation is needed.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0uEobs5zIBIniaEuQgckF3fHw==">CgMxLjA4AHIhMU1fQVV5bVVMdnBxY0tMQ0QwMm1PVld2a0lwekNpMEVN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