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610" w:type="dxa"/>
        <w:tblInd w:w="-455" w:type="dxa"/>
        <w:tblLook w:val="04A0" w:firstRow="1" w:lastRow="0" w:firstColumn="1" w:lastColumn="0" w:noHBand="0" w:noVBand="1"/>
      </w:tblPr>
      <w:tblGrid>
        <w:gridCol w:w="5205"/>
        <w:gridCol w:w="30"/>
        <w:gridCol w:w="711"/>
        <w:gridCol w:w="5664"/>
      </w:tblGrid>
      <w:tr w:rsidR="00BD7EE6" w:rsidRPr="00221631" w14:paraId="5E6357C4" w14:textId="77777777" w:rsidTr="00A32D66">
        <w:trPr>
          <w:trHeight w:val="2870"/>
        </w:trPr>
        <w:tc>
          <w:tcPr>
            <w:tcW w:w="11610" w:type="dxa"/>
            <w:gridSpan w:val="4"/>
            <w:shd w:val="clear" w:color="auto" w:fill="D9D9D9" w:themeFill="background1" w:themeFillShade="D9"/>
            <w:vAlign w:val="center"/>
          </w:tcPr>
          <w:p w14:paraId="1F0F78FF" w14:textId="77777777" w:rsidR="00BD7EE6" w:rsidRDefault="00BD7EE6" w:rsidP="00A32D66">
            <w:pPr>
              <w:jc w:val="center"/>
              <w:rPr>
                <w:rFonts w:ascii="Arial" w:hAnsi="Arial" w:cs="Arial"/>
                <w:b/>
                <w:color w:val="FFFFFF" w:themeColor="background1"/>
                <w:sz w:val="36"/>
                <w:szCs w:val="32"/>
              </w:rPr>
            </w:pPr>
            <w:r w:rsidRPr="002136B7">
              <w:rPr>
                <w:rFonts w:ascii="Arial" w:hAnsi="Arial" w:cs="Arial"/>
                <w:b/>
                <w:noProof/>
                <w:color w:val="FFFFFF" w:themeColor="background1"/>
                <w:sz w:val="36"/>
                <w:szCs w:val="32"/>
              </w:rPr>
              <w:drawing>
                <wp:anchor distT="0" distB="0" distL="114300" distR="114300" simplePos="0" relativeHeight="251659264" behindDoc="0" locked="0" layoutInCell="1" allowOverlap="1" wp14:anchorId="09E00142" wp14:editId="719D03BC">
                  <wp:simplePos x="0" y="0"/>
                  <wp:positionH relativeFrom="column">
                    <wp:posOffset>77470</wp:posOffset>
                  </wp:positionH>
                  <wp:positionV relativeFrom="paragraph">
                    <wp:posOffset>13335</wp:posOffset>
                  </wp:positionV>
                  <wp:extent cx="1391285" cy="1514475"/>
                  <wp:effectExtent l="0" t="0" r="0" b="9525"/>
                  <wp:wrapNone/>
                  <wp:docPr id="2" name="Picture 2" descr="C:\Users\HaKendall\AppData\Local\Microsoft\Windows\INetCache\Content.Outlook\T8GRRBK0\logo_IDOA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Kendall\AppData\Local\Microsoft\Windows\INetCache\Content.Outlook\T8GRRBK0\logo_IDOA_02.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5776" t="6697" r="14732" b="17708"/>
                          <a:stretch/>
                        </pic:blipFill>
                        <pic:spPr bwMode="auto">
                          <a:xfrm>
                            <a:off x="0" y="0"/>
                            <a:ext cx="1391285" cy="1514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A17EBE" w14:textId="77777777" w:rsidR="00BD7EE6" w:rsidRPr="001279F1" w:rsidRDefault="00BD7EE6" w:rsidP="00A32D66">
            <w:pPr>
              <w:jc w:val="center"/>
              <w:rPr>
                <w:rFonts w:ascii="Arial" w:hAnsi="Arial" w:cs="Arial"/>
                <w:b/>
                <w:color w:val="FFFFFF" w:themeColor="background1"/>
                <w:sz w:val="44"/>
                <w:szCs w:val="32"/>
              </w:rPr>
            </w:pPr>
          </w:p>
          <w:p w14:paraId="61880A06" w14:textId="77777777" w:rsidR="00BD7EE6" w:rsidRPr="00F4333D" w:rsidRDefault="00BD7EE6" w:rsidP="00A32D66">
            <w:pPr>
              <w:ind w:left="1512"/>
              <w:jc w:val="center"/>
              <w:rPr>
                <w:rFonts w:ascii="Arial" w:hAnsi="Arial" w:cs="Arial"/>
                <w:b/>
                <w:color w:val="35425D"/>
                <w:sz w:val="52"/>
                <w:szCs w:val="32"/>
              </w:rPr>
            </w:pPr>
            <w:r>
              <w:rPr>
                <w:rFonts w:ascii="Arial" w:hAnsi="Arial" w:cs="Arial"/>
                <w:b/>
                <w:color w:val="35425D"/>
                <w:sz w:val="52"/>
                <w:szCs w:val="32"/>
              </w:rPr>
              <w:t xml:space="preserve">Print and Mail </w:t>
            </w:r>
            <w:r w:rsidR="00022E53">
              <w:rPr>
                <w:rFonts w:ascii="Arial" w:hAnsi="Arial" w:cs="Arial"/>
                <w:b/>
                <w:color w:val="35425D"/>
                <w:sz w:val="52"/>
                <w:szCs w:val="32"/>
              </w:rPr>
              <w:t>Services</w:t>
            </w:r>
          </w:p>
          <w:p w14:paraId="3AF58190" w14:textId="77777777" w:rsidR="00BD7EE6" w:rsidRPr="00F4333D" w:rsidRDefault="00F4619C" w:rsidP="00A32D66">
            <w:pPr>
              <w:ind w:left="1512"/>
              <w:jc w:val="center"/>
              <w:rPr>
                <w:rFonts w:ascii="Arial" w:hAnsi="Arial" w:cs="Arial"/>
                <w:b/>
                <w:color w:val="1F497D"/>
                <w:sz w:val="32"/>
                <w:szCs w:val="32"/>
              </w:rPr>
            </w:pPr>
            <w:proofErr w:type="spellStart"/>
            <w:r>
              <w:rPr>
                <w:rFonts w:ascii="Arial" w:hAnsi="Arial" w:cs="Arial"/>
                <w:b/>
                <w:color w:val="1F497D"/>
                <w:sz w:val="28"/>
                <w:szCs w:val="32"/>
              </w:rPr>
              <w:t>Dataprint</w:t>
            </w:r>
            <w:proofErr w:type="spellEnd"/>
            <w:r>
              <w:rPr>
                <w:rFonts w:ascii="Arial" w:hAnsi="Arial" w:cs="Arial"/>
                <w:b/>
                <w:color w:val="1F497D"/>
                <w:sz w:val="28"/>
                <w:szCs w:val="32"/>
              </w:rPr>
              <w:t xml:space="preserve"> Information</w:t>
            </w:r>
            <w:r w:rsidR="00BD7EE6">
              <w:rPr>
                <w:rFonts w:ascii="Arial" w:hAnsi="Arial" w:cs="Arial"/>
                <w:b/>
                <w:color w:val="1F497D"/>
                <w:sz w:val="28"/>
                <w:szCs w:val="32"/>
              </w:rPr>
              <w:t xml:space="preserve"> f</w:t>
            </w:r>
            <w:r w:rsidR="00BD7EE6" w:rsidRPr="00F4333D">
              <w:rPr>
                <w:rFonts w:ascii="Arial" w:hAnsi="Arial" w:cs="Arial"/>
                <w:b/>
                <w:color w:val="1F497D"/>
                <w:sz w:val="28"/>
                <w:szCs w:val="32"/>
              </w:rPr>
              <w:t>or QPA# 15183</w:t>
            </w:r>
            <w:r w:rsidR="00BD7EE6">
              <w:rPr>
                <w:rFonts w:ascii="Arial" w:hAnsi="Arial" w:cs="Arial"/>
                <w:b/>
                <w:color w:val="1F497D"/>
                <w:sz w:val="28"/>
                <w:szCs w:val="32"/>
              </w:rPr>
              <w:t xml:space="preserve"> with Post Masters</w:t>
            </w:r>
          </w:p>
          <w:p w14:paraId="7778550A" w14:textId="77777777" w:rsidR="00BD7EE6" w:rsidRPr="00221631" w:rsidRDefault="00BD7EE6" w:rsidP="00A32D66">
            <w:pPr>
              <w:rPr>
                <w:rFonts w:ascii="Arial" w:hAnsi="Arial" w:cs="Arial"/>
                <w:b/>
                <w:sz w:val="36"/>
                <w:szCs w:val="32"/>
              </w:rPr>
            </w:pPr>
          </w:p>
        </w:tc>
      </w:tr>
      <w:tr w:rsidR="00BD7EE6" w:rsidRPr="00AA57AA" w14:paraId="1EC145DF" w14:textId="77777777" w:rsidTr="00A32D66">
        <w:trPr>
          <w:trHeight w:val="503"/>
        </w:trPr>
        <w:tc>
          <w:tcPr>
            <w:tcW w:w="11610" w:type="dxa"/>
            <w:gridSpan w:val="4"/>
            <w:shd w:val="clear" w:color="auto" w:fill="auto"/>
            <w:vAlign w:val="center"/>
          </w:tcPr>
          <w:p w14:paraId="242AF337" w14:textId="77777777" w:rsidR="00BD7EE6" w:rsidRPr="00AA57AA" w:rsidRDefault="00BD7EE6" w:rsidP="00A32D66">
            <w:pPr>
              <w:jc w:val="center"/>
              <w:rPr>
                <w:rFonts w:ascii="Arial" w:hAnsi="Arial" w:cs="Arial"/>
                <w:noProof/>
                <w:color w:val="323E4F" w:themeColor="text2" w:themeShade="BF"/>
                <w:szCs w:val="28"/>
              </w:rPr>
            </w:pPr>
            <w:r w:rsidRPr="00AA57AA">
              <w:rPr>
                <w:rFonts w:ascii="Arial" w:hAnsi="Arial" w:cs="Arial"/>
                <w:noProof/>
                <w:szCs w:val="28"/>
              </w:rPr>
              <w:t>Resources for the Contract on the Print-Mail Webpage located at</w:t>
            </w:r>
            <w:r w:rsidRPr="00AA57AA">
              <w:rPr>
                <w:rFonts w:ascii="Arial" w:hAnsi="Arial" w:cs="Arial"/>
                <w:noProof/>
                <w:color w:val="323E4F" w:themeColor="text2" w:themeShade="BF"/>
                <w:szCs w:val="28"/>
              </w:rPr>
              <w:t xml:space="preserve">: </w:t>
            </w:r>
            <w:hyperlink r:id="rId6" w:history="1">
              <w:r w:rsidRPr="00AA57AA">
                <w:rPr>
                  <w:rStyle w:val="Hyperlink"/>
                  <w:rFonts w:ascii="Arial" w:hAnsi="Arial" w:cs="Arial"/>
                  <w:noProof/>
                  <w:color w:val="034990" w:themeColor="hyperlink" w:themeShade="BF"/>
                  <w:szCs w:val="28"/>
                </w:rPr>
                <w:t>https://www.in.gov/idoa/2455.htm</w:t>
              </w:r>
            </w:hyperlink>
          </w:p>
        </w:tc>
      </w:tr>
      <w:tr w:rsidR="00BD7EE6" w:rsidRPr="00AA57AA" w14:paraId="36D9D22E" w14:textId="77777777" w:rsidTr="00A32D66">
        <w:trPr>
          <w:trHeight w:val="440"/>
        </w:trPr>
        <w:tc>
          <w:tcPr>
            <w:tcW w:w="5235" w:type="dxa"/>
            <w:gridSpan w:val="2"/>
            <w:shd w:val="clear" w:color="auto" w:fill="auto"/>
            <w:vAlign w:val="center"/>
          </w:tcPr>
          <w:p w14:paraId="77A23B06" w14:textId="4C799436" w:rsidR="00BD7EE6" w:rsidRPr="00AA57AA" w:rsidRDefault="00BD7EE6" w:rsidP="00A32D66">
            <w:pPr>
              <w:jc w:val="center"/>
              <w:rPr>
                <w:rFonts w:ascii="Arial" w:hAnsi="Arial" w:cs="Arial"/>
                <w:noProof/>
                <w:color w:val="323E4F" w:themeColor="text2" w:themeShade="BF"/>
                <w:szCs w:val="28"/>
              </w:rPr>
            </w:pPr>
            <w:r w:rsidRPr="00AA57AA">
              <w:rPr>
                <w:rFonts w:ascii="Arial" w:hAnsi="Arial" w:cs="Arial"/>
                <w:b/>
                <w:noProof/>
                <w:szCs w:val="28"/>
              </w:rPr>
              <w:t>Vendor Manager:</w:t>
            </w:r>
            <w:r w:rsidRPr="00AA57AA">
              <w:rPr>
                <w:rFonts w:ascii="Arial" w:hAnsi="Arial" w:cs="Arial"/>
                <w:noProof/>
                <w:szCs w:val="28"/>
              </w:rPr>
              <w:t xml:space="preserve"> </w:t>
            </w:r>
            <w:r w:rsidRPr="00AA57AA">
              <w:rPr>
                <w:rFonts w:ascii="Arial" w:hAnsi="Arial" w:cs="Arial"/>
                <w:noProof/>
                <w:color w:val="323E4F" w:themeColor="text2" w:themeShade="BF"/>
                <w:szCs w:val="28"/>
              </w:rPr>
              <w:t xml:space="preserve">Hailey </w:t>
            </w:r>
            <w:r w:rsidR="00CC76E4">
              <w:rPr>
                <w:rFonts w:ascii="Arial" w:hAnsi="Arial" w:cs="Arial"/>
                <w:noProof/>
                <w:color w:val="323E4F" w:themeColor="text2" w:themeShade="BF"/>
                <w:szCs w:val="28"/>
              </w:rPr>
              <w:t>Aycock</w:t>
            </w:r>
          </w:p>
        </w:tc>
        <w:tc>
          <w:tcPr>
            <w:tcW w:w="6375" w:type="dxa"/>
            <w:gridSpan w:val="2"/>
            <w:shd w:val="clear" w:color="auto" w:fill="auto"/>
            <w:vAlign w:val="center"/>
          </w:tcPr>
          <w:p w14:paraId="25BF4C2B" w14:textId="77777777" w:rsidR="00BD7EE6" w:rsidRPr="00AA57AA" w:rsidRDefault="00BD7EE6" w:rsidP="00A32D66">
            <w:pPr>
              <w:jc w:val="center"/>
              <w:rPr>
                <w:rFonts w:ascii="Arial" w:hAnsi="Arial" w:cs="Arial"/>
                <w:noProof/>
                <w:color w:val="323E4F" w:themeColor="text2" w:themeShade="BF"/>
                <w:szCs w:val="28"/>
              </w:rPr>
            </w:pPr>
            <w:r w:rsidRPr="00AA57AA">
              <w:rPr>
                <w:rFonts w:ascii="Arial" w:hAnsi="Arial" w:cs="Arial"/>
                <w:b/>
                <w:noProof/>
                <w:szCs w:val="28"/>
              </w:rPr>
              <w:t>Email:</w:t>
            </w:r>
            <w:r w:rsidRPr="00AA57AA">
              <w:rPr>
                <w:rFonts w:ascii="Arial" w:hAnsi="Arial" w:cs="Arial"/>
                <w:noProof/>
                <w:szCs w:val="28"/>
              </w:rPr>
              <w:t xml:space="preserve"> </w:t>
            </w:r>
            <w:hyperlink r:id="rId7" w:history="1">
              <w:r w:rsidRPr="00AA57AA">
                <w:rPr>
                  <w:rStyle w:val="Hyperlink"/>
                  <w:rFonts w:ascii="Arial" w:hAnsi="Arial" w:cs="Arial"/>
                  <w:noProof/>
                  <w:color w:val="034990" w:themeColor="hyperlink" w:themeShade="BF"/>
                  <w:szCs w:val="28"/>
                </w:rPr>
                <w:t>Printmailservices@idoa.IN.gov</w:t>
              </w:r>
            </w:hyperlink>
            <w:r w:rsidRPr="00AA57AA">
              <w:rPr>
                <w:rFonts w:ascii="Arial" w:hAnsi="Arial" w:cs="Arial"/>
                <w:noProof/>
                <w:color w:val="323E4F" w:themeColor="text2" w:themeShade="BF"/>
                <w:szCs w:val="28"/>
              </w:rPr>
              <w:t xml:space="preserve">  </w:t>
            </w:r>
          </w:p>
        </w:tc>
      </w:tr>
      <w:tr w:rsidR="00BD7EE6" w:rsidRPr="00F4333D" w14:paraId="4ADBF752" w14:textId="77777777" w:rsidTr="00F4619C">
        <w:trPr>
          <w:trHeight w:val="638"/>
        </w:trPr>
        <w:tc>
          <w:tcPr>
            <w:tcW w:w="11610" w:type="dxa"/>
            <w:gridSpan w:val="4"/>
            <w:vAlign w:val="center"/>
          </w:tcPr>
          <w:p w14:paraId="5D611044" w14:textId="77777777" w:rsidR="00BD7EE6" w:rsidRPr="002C08C3" w:rsidRDefault="00CF7356" w:rsidP="00CF7356">
            <w:pPr>
              <w:rPr>
                <w:rFonts w:ascii="Arial" w:hAnsi="Arial" w:cs="Arial"/>
                <w:b/>
                <w:color w:val="1F497D"/>
                <w:sz w:val="24"/>
              </w:rPr>
            </w:pPr>
            <w:r w:rsidRPr="002C08C3">
              <w:rPr>
                <w:rFonts w:ascii="Arial" w:hAnsi="Arial" w:cs="Arial"/>
                <w:b/>
                <w:color w:val="1F497D"/>
                <w:sz w:val="24"/>
              </w:rPr>
              <w:t>We’re entering the end of the calendar y</w:t>
            </w:r>
            <w:r w:rsidR="00F4619C" w:rsidRPr="002C08C3">
              <w:rPr>
                <w:rFonts w:ascii="Arial" w:hAnsi="Arial" w:cs="Arial"/>
                <w:b/>
                <w:color w:val="1F497D"/>
                <w:sz w:val="24"/>
              </w:rPr>
              <w:t xml:space="preserve">ear! Many agencies have increased volume and projects </w:t>
            </w:r>
            <w:r w:rsidRPr="002C08C3">
              <w:rPr>
                <w:rFonts w:ascii="Arial" w:hAnsi="Arial" w:cs="Arial"/>
                <w:b/>
                <w:color w:val="1F497D"/>
                <w:sz w:val="24"/>
              </w:rPr>
              <w:t xml:space="preserve">meaning higher demand on the contract. </w:t>
            </w:r>
            <w:proofErr w:type="gramStart"/>
            <w:r w:rsidRPr="002C08C3">
              <w:rPr>
                <w:rFonts w:ascii="Arial" w:hAnsi="Arial" w:cs="Arial"/>
                <w:b/>
                <w:color w:val="1F497D"/>
                <w:sz w:val="24"/>
              </w:rPr>
              <w:t>So</w:t>
            </w:r>
            <w:proofErr w:type="gramEnd"/>
            <w:r w:rsidRPr="002C08C3">
              <w:rPr>
                <w:rFonts w:ascii="Arial" w:hAnsi="Arial" w:cs="Arial"/>
                <w:b/>
                <w:color w:val="1F497D"/>
                <w:sz w:val="24"/>
              </w:rPr>
              <w:t xml:space="preserve"> we’re reminding everyone to plan in advance and be prepared for changes and test to take a little longer. We work hard to minimize the delays, but some are unavoidable.</w:t>
            </w:r>
          </w:p>
          <w:p w14:paraId="6FB9ED92" w14:textId="77777777" w:rsidR="00CF7356" w:rsidRPr="00181E49" w:rsidRDefault="00CF7356" w:rsidP="00CF7356">
            <w:pPr>
              <w:rPr>
                <w:rFonts w:ascii="Arial" w:hAnsi="Arial" w:cs="Arial"/>
                <w:sz w:val="12"/>
              </w:rPr>
            </w:pPr>
          </w:p>
        </w:tc>
      </w:tr>
      <w:tr w:rsidR="00CF7356" w:rsidRPr="00F4333D" w14:paraId="5FE4CAD5" w14:textId="77777777" w:rsidTr="003B1774">
        <w:trPr>
          <w:trHeight w:val="1961"/>
        </w:trPr>
        <w:tc>
          <w:tcPr>
            <w:tcW w:w="11610" w:type="dxa"/>
            <w:gridSpan w:val="4"/>
            <w:vAlign w:val="center"/>
          </w:tcPr>
          <w:p w14:paraId="73ABD33C" w14:textId="77777777" w:rsidR="00CF7356" w:rsidRPr="002C08C3" w:rsidRDefault="00CF7356" w:rsidP="00CF7356">
            <w:pPr>
              <w:rPr>
                <w:rFonts w:ascii="Arial" w:hAnsi="Arial" w:cs="Arial"/>
              </w:rPr>
            </w:pPr>
            <w:r w:rsidRPr="002C08C3">
              <w:rPr>
                <w:rFonts w:ascii="Arial" w:hAnsi="Arial" w:cs="Arial"/>
              </w:rPr>
              <w:t xml:space="preserve">Templates for Process Change Requests, Test Requests, and Project Requests are all available on the webpage, but just in case they are also available here: </w:t>
            </w:r>
          </w:p>
          <w:p w14:paraId="21D3ABD2" w14:textId="568992E1" w:rsidR="00CF7356" w:rsidRDefault="00E04495" w:rsidP="00CF7356">
            <w:pPr>
              <w:pStyle w:val="ListParagraph"/>
              <w:rPr>
                <w:rFonts w:ascii="Arial" w:hAnsi="Arial" w:cs="Arial"/>
                <w:b/>
                <w:color w:val="1F497D"/>
                <w:sz w:val="24"/>
              </w:rPr>
            </w:pPr>
            <w:r>
              <w:rPr>
                <w:rFonts w:ascii="Arial" w:hAnsi="Arial" w:cs="Arial"/>
                <w:b/>
                <w:color w:val="1F497D"/>
                <w:sz w:val="24"/>
              </w:rPr>
              <w:object w:dxaOrig="1543" w:dyaOrig="991" w14:anchorId="2FA53D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25pt;height:49.5pt" o:ole="">
                  <v:imagedata r:id="rId8" o:title=""/>
                </v:shape>
                <o:OLEObject Type="Embed" ProgID="Acrobat.Document.DC" ShapeID="_x0000_i1029" DrawAspect="Icon" ObjectID="_1695039494" r:id="rId9"/>
              </w:object>
            </w:r>
            <w:r w:rsidR="00CF7356">
              <w:rPr>
                <w:rFonts w:ascii="Arial" w:hAnsi="Arial" w:cs="Arial"/>
                <w:b/>
                <w:color w:val="1F497D"/>
                <w:sz w:val="24"/>
              </w:rPr>
              <w:t xml:space="preserve">  </w:t>
            </w:r>
            <w:r w:rsidR="00CF7356">
              <w:rPr>
                <w:rFonts w:ascii="Arial" w:hAnsi="Arial" w:cs="Arial"/>
                <w:b/>
                <w:color w:val="1F497D"/>
                <w:sz w:val="24"/>
              </w:rPr>
              <w:object w:dxaOrig="1543" w:dyaOrig="991" w14:anchorId="713281CB">
                <v:shape id="_x0000_i1026" type="#_x0000_t75" style="width:77.25pt;height:49.5pt" o:ole="">
                  <v:imagedata r:id="rId10" o:title=""/>
                </v:shape>
                <o:OLEObject Type="Embed" ProgID="Acrobat.Document.DC" ShapeID="_x0000_i1026" DrawAspect="Icon" ObjectID="_1695039495" r:id="rId11"/>
              </w:object>
            </w:r>
            <w:bookmarkStart w:id="0" w:name="_MON_1634551716"/>
            <w:bookmarkEnd w:id="0"/>
            <w:r w:rsidR="00CF7356">
              <w:rPr>
                <w:rFonts w:ascii="Arial" w:hAnsi="Arial" w:cs="Arial"/>
                <w:b/>
                <w:color w:val="1F497D"/>
                <w:sz w:val="24"/>
              </w:rPr>
              <w:object w:dxaOrig="1543" w:dyaOrig="991" w14:anchorId="39AA4AF9">
                <v:shape id="_x0000_i1027" type="#_x0000_t75" style="width:77.25pt;height:49.5pt" o:ole="">
                  <v:imagedata r:id="rId12" o:title=""/>
                </v:shape>
                <o:OLEObject Type="Embed" ProgID="Word.Document.12" ShapeID="_x0000_i1027" DrawAspect="Icon" ObjectID="_1695039496" r:id="rId13">
                  <o:FieldCodes>\s</o:FieldCodes>
                </o:OLEObject>
              </w:object>
            </w:r>
          </w:p>
          <w:p w14:paraId="5073570D" w14:textId="77777777" w:rsidR="003B1774" w:rsidRPr="003B1774" w:rsidRDefault="003B1774" w:rsidP="003B1774">
            <w:pPr>
              <w:rPr>
                <w:rFonts w:ascii="Arial" w:hAnsi="Arial" w:cs="Arial"/>
                <w:b/>
                <w:color w:val="1F497D"/>
                <w:sz w:val="24"/>
              </w:rPr>
            </w:pPr>
            <w:r w:rsidRPr="003B1774">
              <w:rPr>
                <w:rFonts w:ascii="Arial" w:hAnsi="Arial" w:cs="Arial"/>
              </w:rPr>
              <w:t>Copy</w:t>
            </w:r>
            <w:r>
              <w:rPr>
                <w:rFonts w:ascii="Arial" w:hAnsi="Arial" w:cs="Arial"/>
                <w:b/>
                <w:color w:val="1F497D"/>
                <w:sz w:val="24"/>
              </w:rPr>
              <w:t xml:space="preserve"> </w:t>
            </w:r>
            <w:hyperlink r:id="rId14" w:history="1">
              <w:r w:rsidRPr="00AA57AA">
                <w:rPr>
                  <w:rStyle w:val="Hyperlink"/>
                  <w:rFonts w:ascii="Arial" w:hAnsi="Arial" w:cs="Arial"/>
                  <w:noProof/>
                  <w:color w:val="034990" w:themeColor="hyperlink" w:themeShade="BF"/>
                  <w:szCs w:val="28"/>
                </w:rPr>
                <w:t>Printmailservices@idoa.IN.gov</w:t>
              </w:r>
            </w:hyperlink>
            <w:r w:rsidRPr="00AA57AA">
              <w:rPr>
                <w:rFonts w:ascii="Arial" w:hAnsi="Arial" w:cs="Arial"/>
                <w:noProof/>
                <w:color w:val="323E4F" w:themeColor="text2" w:themeShade="BF"/>
                <w:szCs w:val="28"/>
              </w:rPr>
              <w:t xml:space="preserve">  </w:t>
            </w:r>
            <w:r w:rsidRPr="003B1774">
              <w:rPr>
                <w:rFonts w:ascii="Arial" w:hAnsi="Arial" w:cs="Arial"/>
                <w:noProof/>
                <w:szCs w:val="28"/>
              </w:rPr>
              <w:t>when you submit them to the vendor.</w:t>
            </w:r>
          </w:p>
          <w:p w14:paraId="73DF7DAA" w14:textId="77777777" w:rsidR="00CF7356" w:rsidRPr="00181E49" w:rsidRDefault="00CF7356" w:rsidP="00CF7356">
            <w:pPr>
              <w:rPr>
                <w:rFonts w:ascii="Arial" w:hAnsi="Arial" w:cs="Arial"/>
                <w:b/>
                <w:color w:val="1F497D"/>
                <w:sz w:val="12"/>
              </w:rPr>
            </w:pPr>
          </w:p>
        </w:tc>
      </w:tr>
      <w:tr w:rsidR="00BD7EE6" w14:paraId="183FFEEC" w14:textId="77777777" w:rsidTr="00A32D66">
        <w:trPr>
          <w:trHeight w:val="413"/>
        </w:trPr>
        <w:tc>
          <w:tcPr>
            <w:tcW w:w="11610" w:type="dxa"/>
            <w:gridSpan w:val="4"/>
            <w:vAlign w:val="center"/>
          </w:tcPr>
          <w:p w14:paraId="674632C1" w14:textId="77777777" w:rsidR="003B1774" w:rsidRPr="003B1774" w:rsidRDefault="003B1774" w:rsidP="00BD7EE6">
            <w:pPr>
              <w:pStyle w:val="ListParagraph"/>
              <w:numPr>
                <w:ilvl w:val="0"/>
                <w:numId w:val="2"/>
              </w:numPr>
              <w:rPr>
                <w:rFonts w:ascii="Arial" w:hAnsi="Arial" w:cs="Arial"/>
                <w:b/>
                <w:color w:val="1F497D"/>
                <w:sz w:val="24"/>
              </w:rPr>
            </w:pPr>
            <w:r w:rsidRPr="003B1774">
              <w:rPr>
                <w:rFonts w:ascii="Arial" w:hAnsi="Arial" w:cs="Arial"/>
              </w:rPr>
              <w:t>Include</w:t>
            </w:r>
            <w:r>
              <w:rPr>
                <w:rFonts w:ascii="Arial" w:hAnsi="Arial" w:cs="Arial"/>
                <w:b/>
                <w:color w:val="1F497D"/>
                <w:sz w:val="24"/>
              </w:rPr>
              <w:t xml:space="preserve"> </w:t>
            </w:r>
            <w:r w:rsidRPr="003B1774">
              <w:rPr>
                <w:rFonts w:ascii="Arial" w:hAnsi="Arial" w:cs="Arial"/>
              </w:rPr>
              <w:t>IDOA Vendor Management,</w:t>
            </w:r>
            <w:r w:rsidRPr="003B1774">
              <w:rPr>
                <w:rFonts w:ascii="Arial" w:hAnsi="Arial" w:cs="Arial"/>
                <w:b/>
              </w:rPr>
              <w:t xml:space="preserve"> </w:t>
            </w:r>
            <w:hyperlink r:id="rId15" w:history="1">
              <w:r w:rsidRPr="00AA57AA">
                <w:rPr>
                  <w:rStyle w:val="Hyperlink"/>
                  <w:rFonts w:ascii="Arial" w:hAnsi="Arial" w:cs="Arial"/>
                  <w:noProof/>
                  <w:color w:val="034990" w:themeColor="hyperlink" w:themeShade="BF"/>
                  <w:szCs w:val="28"/>
                </w:rPr>
                <w:t>Printmailservices@idoa.IN.gov</w:t>
              </w:r>
            </w:hyperlink>
            <w:r>
              <w:rPr>
                <w:rStyle w:val="Hyperlink"/>
                <w:rFonts w:ascii="Arial" w:hAnsi="Arial" w:cs="Arial"/>
                <w:noProof/>
                <w:color w:val="034990" w:themeColor="hyperlink" w:themeShade="BF"/>
                <w:szCs w:val="28"/>
              </w:rPr>
              <w:t>,</w:t>
            </w:r>
            <w:r w:rsidRPr="003B1774">
              <w:rPr>
                <w:rFonts w:ascii="Arial" w:hAnsi="Arial" w:cs="Arial"/>
                <w:noProof/>
                <w:szCs w:val="28"/>
              </w:rPr>
              <w:t xml:space="preserve">  on your correspondence</w:t>
            </w:r>
            <w:r>
              <w:rPr>
                <w:rFonts w:ascii="Arial" w:hAnsi="Arial" w:cs="Arial"/>
                <w:noProof/>
                <w:szCs w:val="28"/>
              </w:rPr>
              <w:t xml:space="preserve"> and in meetings with the vendor. </w:t>
            </w:r>
          </w:p>
          <w:p w14:paraId="0B160D1A" w14:textId="77777777" w:rsidR="00BD7EE6" w:rsidRPr="00BD7EE6" w:rsidRDefault="00BD7EE6" w:rsidP="00BD7EE6">
            <w:pPr>
              <w:pStyle w:val="ListParagraph"/>
              <w:numPr>
                <w:ilvl w:val="0"/>
                <w:numId w:val="2"/>
              </w:numPr>
              <w:rPr>
                <w:rFonts w:ascii="Arial" w:hAnsi="Arial" w:cs="Arial"/>
                <w:b/>
                <w:color w:val="1F497D"/>
                <w:sz w:val="24"/>
              </w:rPr>
            </w:pPr>
            <w:r w:rsidRPr="00BD7EE6">
              <w:rPr>
                <w:rFonts w:ascii="Arial" w:hAnsi="Arial" w:cs="Arial"/>
              </w:rPr>
              <w:t xml:space="preserve">Engaging IDOA early and throughout the lifecycle of the contract is highly encouraged. Preventing an issue is always the best choice. The more IDOA is aware of deadlines, requirements, ongoing work, the more they </w:t>
            </w:r>
            <w:proofErr w:type="gramStart"/>
            <w:r w:rsidRPr="00BD7EE6">
              <w:rPr>
                <w:rFonts w:ascii="Arial" w:hAnsi="Arial" w:cs="Arial"/>
              </w:rPr>
              <w:t>are able to</w:t>
            </w:r>
            <w:proofErr w:type="gramEnd"/>
            <w:r w:rsidRPr="00BD7EE6">
              <w:rPr>
                <w:rFonts w:ascii="Arial" w:hAnsi="Arial" w:cs="Arial"/>
              </w:rPr>
              <w:t xml:space="preserve"> manage and assist</w:t>
            </w:r>
            <w:r>
              <w:rPr>
                <w:rFonts w:ascii="Arial" w:hAnsi="Arial" w:cs="Arial"/>
              </w:rPr>
              <w:t>.</w:t>
            </w:r>
          </w:p>
          <w:p w14:paraId="68016301" w14:textId="77777777" w:rsidR="00BD7EE6" w:rsidRPr="00CF7356" w:rsidRDefault="00BD7EE6" w:rsidP="00CF7356">
            <w:pPr>
              <w:ind w:left="360"/>
              <w:rPr>
                <w:rFonts w:ascii="Arial" w:hAnsi="Arial" w:cs="Arial"/>
                <w:b/>
                <w:color w:val="1F497D"/>
                <w:sz w:val="24"/>
              </w:rPr>
            </w:pPr>
          </w:p>
        </w:tc>
      </w:tr>
      <w:tr w:rsidR="00CF7356" w14:paraId="02FC4E79" w14:textId="77777777" w:rsidTr="00CF7356">
        <w:trPr>
          <w:trHeight w:val="413"/>
        </w:trPr>
        <w:tc>
          <w:tcPr>
            <w:tcW w:w="5946" w:type="dxa"/>
            <w:gridSpan w:val="3"/>
            <w:vAlign w:val="center"/>
          </w:tcPr>
          <w:p w14:paraId="6A236A3D" w14:textId="77777777" w:rsidR="00CF7356" w:rsidRPr="00CF7356" w:rsidRDefault="00CF7356" w:rsidP="00BD7EE6">
            <w:pPr>
              <w:rPr>
                <w:rFonts w:ascii="Arial" w:hAnsi="Arial" w:cs="Arial"/>
                <w:b/>
                <w:sz w:val="20"/>
                <w:u w:val="single"/>
              </w:rPr>
            </w:pPr>
            <w:r>
              <w:rPr>
                <w:rFonts w:ascii="Arial" w:hAnsi="Arial" w:cs="Arial"/>
                <w:b/>
                <w:color w:val="1F497D"/>
                <w:sz w:val="24"/>
              </w:rPr>
              <w:t>Mailer Breakouts:</w:t>
            </w:r>
            <w:r w:rsidRPr="00CF7356">
              <w:rPr>
                <w:rFonts w:ascii="Arial" w:hAnsi="Arial" w:cs="Arial"/>
                <w:b/>
                <w:sz w:val="20"/>
                <w:u w:val="single"/>
              </w:rPr>
              <w:t xml:space="preserve"> </w:t>
            </w:r>
          </w:p>
          <w:p w14:paraId="6BAFA370" w14:textId="77777777" w:rsidR="00CF7356" w:rsidRPr="00CF7356" w:rsidRDefault="00CF7356" w:rsidP="00BD7EE6">
            <w:pPr>
              <w:rPr>
                <w:rFonts w:ascii="Arial" w:hAnsi="Arial" w:cs="Arial"/>
                <w:sz w:val="20"/>
              </w:rPr>
            </w:pPr>
            <w:r w:rsidRPr="00CF7356">
              <w:rPr>
                <w:rFonts w:ascii="Arial" w:hAnsi="Arial" w:cs="Arial"/>
                <w:sz w:val="20"/>
              </w:rPr>
              <w:t>1 – 4 pages in a #10 (1 ounce)</w:t>
            </w:r>
          </w:p>
          <w:p w14:paraId="4C1DF480" w14:textId="77777777" w:rsidR="00CF7356" w:rsidRPr="00CF7356" w:rsidRDefault="00CF7356" w:rsidP="00BD7EE6">
            <w:pPr>
              <w:rPr>
                <w:rFonts w:ascii="Arial" w:hAnsi="Arial" w:cs="Arial"/>
                <w:sz w:val="20"/>
              </w:rPr>
            </w:pPr>
            <w:r w:rsidRPr="00CF7356">
              <w:rPr>
                <w:rFonts w:ascii="Arial" w:hAnsi="Arial" w:cs="Arial"/>
                <w:sz w:val="20"/>
              </w:rPr>
              <w:t>5 – 9 pages in a 6x9 (2 ounce)</w:t>
            </w:r>
          </w:p>
          <w:p w14:paraId="3439B33C" w14:textId="77777777" w:rsidR="00CF7356" w:rsidRPr="00CF7356" w:rsidRDefault="00CF7356" w:rsidP="00BD7EE6">
            <w:pPr>
              <w:rPr>
                <w:rFonts w:ascii="Arial" w:hAnsi="Arial" w:cs="Arial"/>
                <w:sz w:val="20"/>
              </w:rPr>
            </w:pPr>
            <w:r w:rsidRPr="00CF7356">
              <w:rPr>
                <w:rFonts w:ascii="Arial" w:hAnsi="Arial" w:cs="Arial"/>
                <w:sz w:val="20"/>
              </w:rPr>
              <w:t>6 – 13 pages in a 6x9 (3 ounce)</w:t>
            </w:r>
          </w:p>
          <w:p w14:paraId="249DCB62" w14:textId="77777777" w:rsidR="00CF7356" w:rsidRPr="00CF7356" w:rsidRDefault="00CF7356" w:rsidP="00BD7EE6">
            <w:pPr>
              <w:rPr>
                <w:rFonts w:ascii="Arial" w:hAnsi="Arial" w:cs="Arial"/>
                <w:sz w:val="20"/>
              </w:rPr>
            </w:pPr>
            <w:r w:rsidRPr="00CF7356">
              <w:rPr>
                <w:rFonts w:ascii="Arial" w:hAnsi="Arial" w:cs="Arial"/>
                <w:sz w:val="20"/>
              </w:rPr>
              <w:t>14+ pages in a flat envelope</w:t>
            </w:r>
          </w:p>
          <w:p w14:paraId="5490261F" w14:textId="77777777" w:rsidR="00CF7356" w:rsidRPr="00CF7356" w:rsidRDefault="00CF7356" w:rsidP="00BD7EE6">
            <w:pPr>
              <w:rPr>
                <w:rFonts w:ascii="Arial" w:hAnsi="Arial" w:cs="Arial"/>
                <w:sz w:val="20"/>
              </w:rPr>
            </w:pPr>
          </w:p>
          <w:p w14:paraId="391363F4" w14:textId="77777777" w:rsidR="00CF7356" w:rsidRDefault="00CF7356" w:rsidP="00BD7EE6">
            <w:pPr>
              <w:rPr>
                <w:rFonts w:ascii="Arial" w:hAnsi="Arial" w:cs="Arial"/>
                <w:b/>
                <w:color w:val="1F497D"/>
                <w:sz w:val="24"/>
              </w:rPr>
            </w:pPr>
            <w:r w:rsidRPr="00CF7356">
              <w:rPr>
                <w:rFonts w:ascii="Arial" w:hAnsi="Arial" w:cs="Arial"/>
                <w:sz w:val="20"/>
              </w:rPr>
              <w:t xml:space="preserve">Keep in mind if there is a return envelope or any other </w:t>
            </w:r>
            <w:r w:rsidR="002C08C3" w:rsidRPr="00CF7356">
              <w:rPr>
                <w:rFonts w:ascii="Arial" w:hAnsi="Arial" w:cs="Arial"/>
                <w:sz w:val="20"/>
              </w:rPr>
              <w:t>correspondences that</w:t>
            </w:r>
            <w:r w:rsidRPr="00CF7356">
              <w:rPr>
                <w:rFonts w:ascii="Arial" w:hAnsi="Arial" w:cs="Arial"/>
                <w:sz w:val="20"/>
              </w:rPr>
              <w:t xml:space="preserve"> typically adds a “page” to the count</w:t>
            </w:r>
            <w:r w:rsidR="002C08C3">
              <w:rPr>
                <w:rFonts w:ascii="Arial" w:hAnsi="Arial" w:cs="Arial"/>
                <w:sz w:val="20"/>
              </w:rPr>
              <w:t xml:space="preserve">. </w:t>
            </w:r>
            <w:r w:rsidRPr="00CF7356">
              <w:rPr>
                <w:rFonts w:ascii="Arial" w:hAnsi="Arial" w:cs="Arial"/>
                <w:sz w:val="20"/>
              </w:rPr>
              <w:t xml:space="preserve">4 pages is the same as 3 pages and a </w:t>
            </w:r>
            <w:r w:rsidR="002C08C3">
              <w:rPr>
                <w:rFonts w:ascii="Arial" w:hAnsi="Arial" w:cs="Arial"/>
                <w:sz w:val="20"/>
              </w:rPr>
              <w:t>Business Reply Envelope (BRE) for example</w:t>
            </w:r>
            <w:r w:rsidRPr="00CF7356">
              <w:rPr>
                <w:rFonts w:ascii="Arial" w:hAnsi="Arial" w:cs="Arial"/>
                <w:sz w:val="20"/>
              </w:rPr>
              <w:t>.</w:t>
            </w:r>
          </w:p>
        </w:tc>
        <w:tc>
          <w:tcPr>
            <w:tcW w:w="5664" w:type="dxa"/>
            <w:vAlign w:val="center"/>
          </w:tcPr>
          <w:p w14:paraId="37EE68AC" w14:textId="77777777" w:rsidR="00CF7356" w:rsidRDefault="00CF7356">
            <w:pPr>
              <w:rPr>
                <w:rFonts w:ascii="Arial" w:hAnsi="Arial" w:cs="Arial"/>
                <w:b/>
                <w:color w:val="1F497D"/>
                <w:sz w:val="24"/>
              </w:rPr>
            </w:pPr>
            <w:r>
              <w:rPr>
                <w:rFonts w:ascii="Arial" w:hAnsi="Arial" w:cs="Arial"/>
                <w:b/>
                <w:color w:val="1F497D"/>
                <w:sz w:val="24"/>
              </w:rPr>
              <w:t>Is my address in the right spot?</w:t>
            </w:r>
          </w:p>
          <w:p w14:paraId="503270F1" w14:textId="77777777" w:rsidR="00CF7356" w:rsidRPr="00CF7356" w:rsidRDefault="00CF7356">
            <w:pPr>
              <w:rPr>
                <w:rFonts w:ascii="Arial" w:hAnsi="Arial" w:cs="Arial"/>
              </w:rPr>
            </w:pPr>
            <w:r>
              <w:rPr>
                <w:rFonts w:ascii="Arial" w:hAnsi="Arial" w:cs="Arial"/>
              </w:rPr>
              <w:t xml:space="preserve">You can request templates for your mailers from Post Masters to make sure it fits in the envelope window. </w:t>
            </w:r>
          </w:p>
          <w:p w14:paraId="3A239AF4" w14:textId="77777777" w:rsidR="00CF7356" w:rsidRDefault="00CF7356" w:rsidP="00BD7EE6">
            <w:pPr>
              <w:rPr>
                <w:rFonts w:ascii="Arial" w:hAnsi="Arial" w:cs="Arial"/>
                <w:b/>
                <w:color w:val="1F497D"/>
                <w:sz w:val="24"/>
              </w:rPr>
            </w:pPr>
          </w:p>
        </w:tc>
      </w:tr>
      <w:tr w:rsidR="002C08C3" w14:paraId="57959EE5" w14:textId="77777777" w:rsidTr="002C08C3">
        <w:trPr>
          <w:trHeight w:val="413"/>
        </w:trPr>
        <w:tc>
          <w:tcPr>
            <w:tcW w:w="11610" w:type="dxa"/>
            <w:gridSpan w:val="4"/>
            <w:shd w:val="clear" w:color="auto" w:fill="002060"/>
            <w:vAlign w:val="center"/>
          </w:tcPr>
          <w:p w14:paraId="245B248B" w14:textId="77777777" w:rsidR="002C08C3" w:rsidRDefault="002C08C3" w:rsidP="00A32D66">
            <w:pPr>
              <w:rPr>
                <w:rFonts w:ascii="Arial" w:hAnsi="Arial" w:cs="Arial"/>
                <w:b/>
                <w:color w:val="1F497D"/>
                <w:sz w:val="24"/>
              </w:rPr>
            </w:pPr>
            <w:r w:rsidRPr="002C08C3">
              <w:rPr>
                <w:rFonts w:ascii="Arial" w:hAnsi="Arial" w:cs="Arial"/>
                <w:b/>
                <w:color w:val="FFFFFF" w:themeColor="background1"/>
                <w:sz w:val="32"/>
              </w:rPr>
              <w:t>Explanation of Some of the Documents Related to the Contract</w:t>
            </w:r>
          </w:p>
        </w:tc>
      </w:tr>
      <w:tr w:rsidR="00BD7EE6" w14:paraId="1A66726A" w14:textId="77777777" w:rsidTr="00A32D66">
        <w:trPr>
          <w:trHeight w:val="413"/>
        </w:trPr>
        <w:tc>
          <w:tcPr>
            <w:tcW w:w="11610" w:type="dxa"/>
            <w:gridSpan w:val="4"/>
            <w:vAlign w:val="center"/>
          </w:tcPr>
          <w:p w14:paraId="21FDA317" w14:textId="77777777" w:rsidR="00BD7EE6" w:rsidRDefault="00BD7EE6" w:rsidP="00A32D66">
            <w:pPr>
              <w:rPr>
                <w:rFonts w:ascii="Arial" w:hAnsi="Arial" w:cs="Arial"/>
              </w:rPr>
            </w:pPr>
            <w:r>
              <w:rPr>
                <w:rFonts w:ascii="Arial" w:hAnsi="Arial" w:cs="Arial"/>
                <w:b/>
                <w:color w:val="1F497D"/>
                <w:sz w:val="24"/>
              </w:rPr>
              <w:t>Scopes of Work</w:t>
            </w:r>
            <w:r w:rsidRPr="00F4333D">
              <w:rPr>
                <w:rFonts w:ascii="Arial" w:hAnsi="Arial" w:cs="Arial"/>
                <w:b/>
                <w:color w:val="1F497D"/>
                <w:sz w:val="24"/>
              </w:rPr>
              <w:t>:</w:t>
            </w:r>
          </w:p>
        </w:tc>
      </w:tr>
      <w:tr w:rsidR="00BD7EE6" w14:paraId="1116B9F5" w14:textId="77777777" w:rsidTr="00A32D66">
        <w:trPr>
          <w:trHeight w:val="953"/>
        </w:trPr>
        <w:tc>
          <w:tcPr>
            <w:tcW w:w="11610" w:type="dxa"/>
            <w:gridSpan w:val="4"/>
            <w:vAlign w:val="center"/>
          </w:tcPr>
          <w:p w14:paraId="674003CE" w14:textId="77777777" w:rsidR="00BD7EE6" w:rsidRDefault="00BD7EE6" w:rsidP="00A32D66">
            <w:pPr>
              <w:ind w:left="252"/>
              <w:rPr>
                <w:rFonts w:ascii="Arial" w:hAnsi="Arial" w:cs="Arial"/>
              </w:rPr>
            </w:pPr>
            <w:r>
              <w:rPr>
                <w:rFonts w:ascii="Arial" w:hAnsi="Arial" w:cs="Arial"/>
              </w:rPr>
              <w:t xml:space="preserve">Scopes of Work (SOWs) </w:t>
            </w:r>
            <w:r w:rsidR="00074FF7">
              <w:rPr>
                <w:rFonts w:ascii="Arial" w:hAnsi="Arial" w:cs="Arial"/>
              </w:rPr>
              <w:t>are a part</w:t>
            </w:r>
            <w:r>
              <w:rPr>
                <w:rFonts w:ascii="Arial" w:hAnsi="Arial" w:cs="Arial"/>
              </w:rPr>
              <w:t xml:space="preserve"> of this contract</w:t>
            </w:r>
            <w:r w:rsidR="00074FF7">
              <w:rPr>
                <w:rFonts w:ascii="Arial" w:hAnsi="Arial" w:cs="Arial"/>
              </w:rPr>
              <w:t xml:space="preserve"> to prevent agencies from being tied to sets of requirements and not easily being able to define and make changes as needed</w:t>
            </w:r>
            <w:r>
              <w:rPr>
                <w:rFonts w:ascii="Arial" w:hAnsi="Arial" w:cs="Arial"/>
              </w:rPr>
              <w:t xml:space="preserve">. </w:t>
            </w:r>
            <w:r w:rsidRPr="00CF1290">
              <w:rPr>
                <w:rFonts w:ascii="Arial" w:hAnsi="Arial" w:cs="Arial"/>
              </w:rPr>
              <w:t xml:space="preserve">A Scope of Work (SOW) is a sub-agreement to be utilized for </w:t>
            </w:r>
            <w:r>
              <w:rPr>
                <w:rFonts w:ascii="Arial" w:hAnsi="Arial" w:cs="Arial"/>
              </w:rPr>
              <w:t xml:space="preserve">defining the work to be performed by the Contractor </w:t>
            </w:r>
            <w:r w:rsidRPr="00CF1290">
              <w:rPr>
                <w:rFonts w:ascii="Arial" w:hAnsi="Arial" w:cs="Arial"/>
              </w:rPr>
              <w:t>during the contract period</w:t>
            </w:r>
            <w:r>
              <w:rPr>
                <w:rFonts w:ascii="Arial" w:hAnsi="Arial" w:cs="Arial"/>
              </w:rPr>
              <w:t xml:space="preserve"> (as well as adding and modifying.)</w:t>
            </w:r>
            <w:r w:rsidRPr="00CF1290">
              <w:rPr>
                <w:rFonts w:ascii="Arial" w:hAnsi="Arial" w:cs="Arial"/>
              </w:rPr>
              <w:t xml:space="preserve"> </w:t>
            </w:r>
            <w:r>
              <w:rPr>
                <w:rFonts w:ascii="Arial" w:hAnsi="Arial" w:cs="Arial"/>
              </w:rPr>
              <w:t xml:space="preserve"> </w:t>
            </w:r>
            <w:r w:rsidRPr="00822FE4">
              <w:rPr>
                <w:rFonts w:ascii="Arial" w:hAnsi="Arial" w:cs="Arial"/>
              </w:rPr>
              <w:t xml:space="preserve">A Scope of Work (SOW) is a document that describes the work involved in the definition, design, and production of the components for a </w:t>
            </w:r>
            <w:proofErr w:type="gramStart"/>
            <w:r w:rsidRPr="00822FE4">
              <w:rPr>
                <w:rFonts w:ascii="Arial" w:hAnsi="Arial" w:cs="Arial"/>
              </w:rPr>
              <w:t>project’s</w:t>
            </w:r>
            <w:proofErr w:type="gramEnd"/>
            <w:r w:rsidRPr="00822FE4">
              <w:rPr>
                <w:rFonts w:ascii="Arial" w:hAnsi="Arial" w:cs="Arial"/>
              </w:rPr>
              <w:t xml:space="preserve"> or service’s deliverables and their assembly into a satisfactory working whole. It defines the requirements, design, behavior, and/ or other characteristics of a system, component, product, result, and/or service. It define</w:t>
            </w:r>
            <w:r>
              <w:rPr>
                <w:rFonts w:ascii="Arial" w:hAnsi="Arial" w:cs="Arial"/>
              </w:rPr>
              <w:t>s</w:t>
            </w:r>
            <w:r w:rsidRPr="00822FE4">
              <w:rPr>
                <w:rFonts w:ascii="Arial" w:hAnsi="Arial" w:cs="Arial"/>
              </w:rPr>
              <w:t xml:space="preserve"> the extent or scope of the anticipated effort and is a detailed description of the expectations of the contract.</w:t>
            </w:r>
          </w:p>
          <w:p w14:paraId="1DDED1A0" w14:textId="77777777" w:rsidR="00BD7EE6" w:rsidRDefault="00BD7EE6" w:rsidP="00A32D66">
            <w:pPr>
              <w:ind w:left="252"/>
              <w:rPr>
                <w:rFonts w:ascii="Arial" w:hAnsi="Arial" w:cs="Arial"/>
              </w:rPr>
            </w:pPr>
          </w:p>
          <w:p w14:paraId="081CAE29" w14:textId="77777777" w:rsidR="00BD7EE6" w:rsidRPr="00CF1290" w:rsidRDefault="00BD7EE6" w:rsidP="00A32D66">
            <w:pPr>
              <w:ind w:left="252"/>
              <w:rPr>
                <w:rFonts w:ascii="Arial" w:hAnsi="Arial" w:cs="Arial"/>
              </w:rPr>
            </w:pPr>
            <w:r>
              <w:rPr>
                <w:rFonts w:ascii="Arial" w:hAnsi="Arial" w:cs="Arial"/>
              </w:rPr>
              <w:lastRenderedPageBreak/>
              <w:t>Agencies have been</w:t>
            </w:r>
            <w:r w:rsidRPr="00CF1290">
              <w:rPr>
                <w:rFonts w:ascii="Arial" w:hAnsi="Arial" w:cs="Arial"/>
              </w:rPr>
              <w:t xml:space="preserve"> provide</w:t>
            </w:r>
            <w:r>
              <w:rPr>
                <w:rFonts w:ascii="Arial" w:hAnsi="Arial" w:cs="Arial"/>
              </w:rPr>
              <w:t>d</w:t>
            </w:r>
            <w:r w:rsidRPr="00CF1290">
              <w:rPr>
                <w:rFonts w:ascii="Arial" w:hAnsi="Arial" w:cs="Arial"/>
              </w:rPr>
              <w:t xml:space="preserve"> a template that </w:t>
            </w:r>
            <w:r>
              <w:rPr>
                <w:rFonts w:ascii="Arial" w:hAnsi="Arial" w:cs="Arial"/>
              </w:rPr>
              <w:t>to</w:t>
            </w:r>
            <w:r w:rsidRPr="00CF1290">
              <w:rPr>
                <w:rFonts w:ascii="Arial" w:hAnsi="Arial" w:cs="Arial"/>
              </w:rPr>
              <w:t xml:space="preserve"> be </w:t>
            </w:r>
            <w:r>
              <w:rPr>
                <w:rFonts w:ascii="Arial" w:hAnsi="Arial" w:cs="Arial"/>
              </w:rPr>
              <w:t xml:space="preserve">completed by the Agency for the </w:t>
            </w:r>
            <w:r w:rsidRPr="00CF1290">
              <w:rPr>
                <w:rFonts w:ascii="Arial" w:hAnsi="Arial" w:cs="Arial"/>
              </w:rPr>
              <w:t>purpose of formality and confi</w:t>
            </w:r>
            <w:r>
              <w:rPr>
                <w:rFonts w:ascii="Arial" w:hAnsi="Arial" w:cs="Arial"/>
              </w:rPr>
              <w:t xml:space="preserve">rmation of the expectations of work provided by the Contractor. The final version of the </w:t>
            </w:r>
            <w:r w:rsidRPr="00CF1290">
              <w:rPr>
                <w:rFonts w:ascii="Arial" w:hAnsi="Arial" w:cs="Arial"/>
              </w:rPr>
              <w:t xml:space="preserve">document </w:t>
            </w:r>
            <w:r>
              <w:rPr>
                <w:rFonts w:ascii="Arial" w:hAnsi="Arial" w:cs="Arial"/>
              </w:rPr>
              <w:t xml:space="preserve">is </w:t>
            </w:r>
            <w:r w:rsidRPr="00CF1290">
              <w:rPr>
                <w:rFonts w:ascii="Arial" w:hAnsi="Arial" w:cs="Arial"/>
              </w:rPr>
              <w:t xml:space="preserve">approved by the Contractor, the Agency, </w:t>
            </w:r>
            <w:r>
              <w:rPr>
                <w:rFonts w:ascii="Arial" w:hAnsi="Arial" w:cs="Arial"/>
              </w:rPr>
              <w:t xml:space="preserve">IOT (when applicable) and IDOA and is made apart of </w:t>
            </w:r>
            <w:r w:rsidRPr="00CF1290">
              <w:rPr>
                <w:rFonts w:ascii="Arial" w:hAnsi="Arial" w:cs="Arial"/>
              </w:rPr>
              <w:t>the Master Agreement.</w:t>
            </w:r>
          </w:p>
          <w:p w14:paraId="4F5215DD" w14:textId="77777777" w:rsidR="00BD7EE6" w:rsidRDefault="00BD7EE6" w:rsidP="00A32D66">
            <w:pPr>
              <w:ind w:left="252"/>
              <w:rPr>
                <w:rFonts w:ascii="Arial" w:hAnsi="Arial" w:cs="Arial"/>
              </w:rPr>
            </w:pPr>
          </w:p>
          <w:p w14:paraId="1B1D9741" w14:textId="77777777" w:rsidR="00BD7EE6" w:rsidRPr="00CF1290" w:rsidRDefault="00BD7EE6" w:rsidP="00A32D66">
            <w:pPr>
              <w:ind w:left="252"/>
              <w:rPr>
                <w:rFonts w:ascii="Arial" w:hAnsi="Arial" w:cs="Arial"/>
              </w:rPr>
            </w:pPr>
            <w:r w:rsidRPr="00CF1290">
              <w:rPr>
                <w:rFonts w:ascii="Arial" w:hAnsi="Arial" w:cs="Arial"/>
              </w:rPr>
              <w:t xml:space="preserve">All SOWs </w:t>
            </w:r>
            <w:r>
              <w:rPr>
                <w:rFonts w:ascii="Arial" w:hAnsi="Arial" w:cs="Arial"/>
              </w:rPr>
              <w:t xml:space="preserve">must </w:t>
            </w:r>
            <w:r w:rsidRPr="00CF1290">
              <w:rPr>
                <w:rFonts w:ascii="Arial" w:hAnsi="Arial" w:cs="Arial"/>
              </w:rPr>
              <w:t>be written under the authority of, and</w:t>
            </w:r>
            <w:r>
              <w:rPr>
                <w:rFonts w:ascii="Arial" w:hAnsi="Arial" w:cs="Arial"/>
              </w:rPr>
              <w:t xml:space="preserve"> consistent with, the terms and conditions of the “Prime C</w:t>
            </w:r>
            <w:r w:rsidRPr="00CF1290">
              <w:rPr>
                <w:rFonts w:ascii="Arial" w:hAnsi="Arial" w:cs="Arial"/>
              </w:rPr>
              <w:t>ontract</w:t>
            </w:r>
            <w:r>
              <w:rPr>
                <w:rFonts w:ascii="Arial" w:hAnsi="Arial" w:cs="Arial"/>
              </w:rPr>
              <w:t>”</w:t>
            </w:r>
            <w:r w:rsidRPr="00CF1290">
              <w:rPr>
                <w:rFonts w:ascii="Arial" w:hAnsi="Arial" w:cs="Arial"/>
              </w:rPr>
              <w:t xml:space="preserve"> or </w:t>
            </w:r>
            <w:r>
              <w:rPr>
                <w:rFonts w:ascii="Arial" w:hAnsi="Arial" w:cs="Arial"/>
              </w:rPr>
              <w:t>“</w:t>
            </w:r>
            <w:r w:rsidRPr="00CF1290">
              <w:rPr>
                <w:rFonts w:ascii="Arial" w:hAnsi="Arial" w:cs="Arial"/>
              </w:rPr>
              <w:t>Master Agreement</w:t>
            </w:r>
            <w:r>
              <w:rPr>
                <w:rFonts w:ascii="Arial" w:hAnsi="Arial" w:cs="Arial"/>
              </w:rPr>
              <w:t>”</w:t>
            </w:r>
            <w:r w:rsidRPr="00CF1290">
              <w:rPr>
                <w:rFonts w:ascii="Arial" w:hAnsi="Arial" w:cs="Arial"/>
              </w:rPr>
              <w:t>. Scopes of Wor</w:t>
            </w:r>
            <w:r>
              <w:rPr>
                <w:rFonts w:ascii="Arial" w:hAnsi="Arial" w:cs="Arial"/>
              </w:rPr>
              <w:t xml:space="preserve">k are living documents that may </w:t>
            </w:r>
            <w:r w:rsidRPr="00CF1290">
              <w:rPr>
                <w:rFonts w:ascii="Arial" w:hAnsi="Arial" w:cs="Arial"/>
              </w:rPr>
              <w:t>change throughout the term of the contract dependent on the operations</w:t>
            </w:r>
            <w:r>
              <w:rPr>
                <w:rFonts w:ascii="Arial" w:hAnsi="Arial" w:cs="Arial"/>
              </w:rPr>
              <w:t xml:space="preserve"> and business conditions of the </w:t>
            </w:r>
            <w:r w:rsidRPr="00CF1290">
              <w:rPr>
                <w:rFonts w:ascii="Arial" w:hAnsi="Arial" w:cs="Arial"/>
              </w:rPr>
              <w:t>agency. Original signatures by the Contractor, the State Agency desi</w:t>
            </w:r>
            <w:r>
              <w:rPr>
                <w:rFonts w:ascii="Arial" w:hAnsi="Arial" w:cs="Arial"/>
              </w:rPr>
              <w:t xml:space="preserve">gnee, and Indiana Department of </w:t>
            </w:r>
            <w:r w:rsidRPr="00CF1290">
              <w:rPr>
                <w:rFonts w:ascii="Arial" w:hAnsi="Arial" w:cs="Arial"/>
              </w:rPr>
              <w:t>Administration (IDOA) will be required for all sub-agreements/</w:t>
            </w:r>
            <w:proofErr w:type="spellStart"/>
            <w:r w:rsidRPr="00CF1290">
              <w:rPr>
                <w:rFonts w:ascii="Arial" w:hAnsi="Arial" w:cs="Arial"/>
              </w:rPr>
              <w:t>SOWs.</w:t>
            </w:r>
            <w:proofErr w:type="spellEnd"/>
            <w:r w:rsidRPr="00CF1290">
              <w:rPr>
                <w:rFonts w:ascii="Arial" w:hAnsi="Arial" w:cs="Arial"/>
              </w:rPr>
              <w:t xml:space="preserve"> The State and Contractor recogn</w:t>
            </w:r>
            <w:r>
              <w:rPr>
                <w:rFonts w:ascii="Arial" w:hAnsi="Arial" w:cs="Arial"/>
              </w:rPr>
              <w:t xml:space="preserve">ize </w:t>
            </w:r>
            <w:r w:rsidRPr="00CF1290">
              <w:rPr>
                <w:rFonts w:ascii="Arial" w:hAnsi="Arial" w:cs="Arial"/>
              </w:rPr>
              <w:t xml:space="preserve">that additional </w:t>
            </w:r>
            <w:r>
              <w:rPr>
                <w:rFonts w:ascii="Arial" w:hAnsi="Arial" w:cs="Arial"/>
              </w:rPr>
              <w:t>work</w:t>
            </w:r>
            <w:r w:rsidRPr="00CF1290">
              <w:rPr>
                <w:rFonts w:ascii="Arial" w:hAnsi="Arial" w:cs="Arial"/>
              </w:rPr>
              <w:t xml:space="preserve"> and agencies may be added during the contract t</w:t>
            </w:r>
            <w:r>
              <w:rPr>
                <w:rFonts w:ascii="Arial" w:hAnsi="Arial" w:cs="Arial"/>
              </w:rPr>
              <w:t xml:space="preserve">erm and any renewals. The final </w:t>
            </w:r>
            <w:r w:rsidRPr="00CF1290">
              <w:rPr>
                <w:rFonts w:ascii="Arial" w:hAnsi="Arial" w:cs="Arial"/>
              </w:rPr>
              <w:t>version of this document shall be approved by the Agency Desi</w:t>
            </w:r>
            <w:r>
              <w:rPr>
                <w:rFonts w:ascii="Arial" w:hAnsi="Arial" w:cs="Arial"/>
              </w:rPr>
              <w:t xml:space="preserve">gnee, the Contractor, IOT (when </w:t>
            </w:r>
            <w:r w:rsidRPr="00CF1290">
              <w:rPr>
                <w:rFonts w:ascii="Arial" w:hAnsi="Arial" w:cs="Arial"/>
              </w:rPr>
              <w:t>applicable) and the State, as part of the Master Agreement.</w:t>
            </w:r>
          </w:p>
          <w:p w14:paraId="59405587" w14:textId="77777777" w:rsidR="00BD7EE6" w:rsidRDefault="00BD7EE6" w:rsidP="00A32D66">
            <w:pPr>
              <w:ind w:left="252"/>
              <w:rPr>
                <w:rFonts w:ascii="Arial" w:hAnsi="Arial" w:cs="Arial"/>
              </w:rPr>
            </w:pPr>
          </w:p>
          <w:p w14:paraId="141E0FBC" w14:textId="77777777" w:rsidR="00BD7EE6" w:rsidRDefault="00BD7EE6" w:rsidP="00A32D66">
            <w:pPr>
              <w:ind w:left="252"/>
              <w:rPr>
                <w:rFonts w:ascii="Arial" w:hAnsi="Arial" w:cs="Arial"/>
              </w:rPr>
            </w:pPr>
            <w:r w:rsidRPr="00CF1290">
              <w:rPr>
                <w:rFonts w:ascii="Arial" w:hAnsi="Arial" w:cs="Arial"/>
              </w:rPr>
              <w:t>The Contractor will help the User Agencies complete the SOWs and p</w:t>
            </w:r>
            <w:r>
              <w:rPr>
                <w:rFonts w:ascii="Arial" w:hAnsi="Arial" w:cs="Arial"/>
              </w:rPr>
              <w:t>rovide expert opinion, industry s</w:t>
            </w:r>
            <w:r w:rsidRPr="00CF1290">
              <w:rPr>
                <w:rFonts w:ascii="Arial" w:hAnsi="Arial" w:cs="Arial"/>
              </w:rPr>
              <w:t>tandards, and analyze all the various factors that go into the operation</w:t>
            </w:r>
            <w:r>
              <w:rPr>
                <w:rFonts w:ascii="Arial" w:hAnsi="Arial" w:cs="Arial"/>
              </w:rPr>
              <w:t xml:space="preserve">s of the Agency. The Contractor </w:t>
            </w:r>
            <w:r w:rsidRPr="00CF1290">
              <w:rPr>
                <w:rFonts w:ascii="Arial" w:hAnsi="Arial" w:cs="Arial"/>
              </w:rPr>
              <w:t>will offer their expertise to ensure the State is getting the appropriate serv</w:t>
            </w:r>
            <w:r>
              <w:rPr>
                <w:rFonts w:ascii="Arial" w:hAnsi="Arial" w:cs="Arial"/>
              </w:rPr>
              <w:t xml:space="preserve">ices, finding efficiencies, and </w:t>
            </w:r>
            <w:r w:rsidRPr="00CF1290">
              <w:rPr>
                <w:rFonts w:ascii="Arial" w:hAnsi="Arial" w:cs="Arial"/>
              </w:rPr>
              <w:t>saving the State money.</w:t>
            </w:r>
          </w:p>
          <w:p w14:paraId="604E6428" w14:textId="77777777" w:rsidR="00BD7EE6" w:rsidRDefault="00BD7EE6" w:rsidP="00A32D66">
            <w:pPr>
              <w:ind w:left="252"/>
              <w:rPr>
                <w:rFonts w:ascii="Arial" w:hAnsi="Arial" w:cs="Arial"/>
              </w:rPr>
            </w:pPr>
          </w:p>
          <w:p w14:paraId="3A652999" w14:textId="77777777" w:rsidR="00BD7EE6" w:rsidRDefault="00BD7EE6" w:rsidP="00A32D66">
            <w:pPr>
              <w:ind w:left="252"/>
              <w:rPr>
                <w:rFonts w:ascii="Arial" w:hAnsi="Arial" w:cs="Arial"/>
              </w:rPr>
            </w:pPr>
            <w:r>
              <w:rPr>
                <w:rFonts w:ascii="Arial" w:hAnsi="Arial" w:cs="Arial"/>
              </w:rPr>
              <w:t xml:space="preserve">A feature of the Scopes of Work is that agencies can create agency specific Service Level Agreements (SLA’s) that they have the option to tie credits to. </w:t>
            </w:r>
            <w:r w:rsidRPr="0096319B">
              <w:rPr>
                <w:rFonts w:ascii="Arial" w:hAnsi="Arial" w:cs="Arial"/>
              </w:rPr>
              <w:t xml:space="preserve">The Contractor shall </w:t>
            </w:r>
            <w:proofErr w:type="gramStart"/>
            <w:r w:rsidRPr="0096319B">
              <w:rPr>
                <w:rFonts w:ascii="Arial" w:hAnsi="Arial" w:cs="Arial"/>
              </w:rPr>
              <w:t>met</w:t>
            </w:r>
            <w:proofErr w:type="gramEnd"/>
            <w:r w:rsidRPr="0096319B">
              <w:rPr>
                <w:rFonts w:ascii="Arial" w:hAnsi="Arial" w:cs="Arial"/>
              </w:rPr>
              <w:t xml:space="preserve"> or exceed the standard</w:t>
            </w:r>
            <w:r>
              <w:rPr>
                <w:rFonts w:ascii="Arial" w:hAnsi="Arial" w:cs="Arial"/>
              </w:rPr>
              <w:t xml:space="preserve">s agreed to in the </w:t>
            </w:r>
            <w:r w:rsidRPr="0096319B">
              <w:rPr>
                <w:rFonts w:ascii="Arial" w:hAnsi="Arial" w:cs="Arial"/>
              </w:rPr>
              <w:t>SOWs and shall report on their performance.</w:t>
            </w:r>
            <w:r>
              <w:rPr>
                <w:rFonts w:ascii="Arial" w:hAnsi="Arial" w:cs="Arial"/>
              </w:rPr>
              <w:t xml:space="preserve"> Which can be expected and reviewed once executed.</w:t>
            </w:r>
            <w:r w:rsidRPr="0096319B">
              <w:rPr>
                <w:rFonts w:ascii="Arial" w:hAnsi="Arial" w:cs="Arial"/>
              </w:rPr>
              <w:t xml:space="preserve"> </w:t>
            </w:r>
          </w:p>
          <w:p w14:paraId="55F9AEF8" w14:textId="77777777" w:rsidR="00BD7EE6" w:rsidRDefault="00BD7EE6" w:rsidP="00A32D66">
            <w:pPr>
              <w:ind w:left="252"/>
              <w:rPr>
                <w:rFonts w:ascii="Arial" w:hAnsi="Arial" w:cs="Arial"/>
              </w:rPr>
            </w:pPr>
          </w:p>
          <w:p w14:paraId="66BA3882" w14:textId="77777777" w:rsidR="00BD7EE6" w:rsidRDefault="00BD7EE6" w:rsidP="00A32D66">
            <w:pPr>
              <w:ind w:left="252"/>
              <w:rPr>
                <w:rFonts w:ascii="Arial" w:hAnsi="Arial" w:cs="Arial"/>
              </w:rPr>
            </w:pPr>
            <w:r w:rsidRPr="00822FE4">
              <w:rPr>
                <w:rFonts w:ascii="Arial" w:hAnsi="Arial" w:cs="Arial"/>
              </w:rPr>
              <w:t xml:space="preserve">Once </w:t>
            </w:r>
            <w:r>
              <w:rPr>
                <w:rFonts w:ascii="Arial" w:hAnsi="Arial" w:cs="Arial"/>
              </w:rPr>
              <w:t>an agency has</w:t>
            </w:r>
            <w:r w:rsidRPr="00822FE4">
              <w:rPr>
                <w:rFonts w:ascii="Arial" w:hAnsi="Arial" w:cs="Arial"/>
              </w:rPr>
              <w:t xml:space="preserve"> executed </w:t>
            </w:r>
            <w:r>
              <w:rPr>
                <w:rFonts w:ascii="Arial" w:hAnsi="Arial" w:cs="Arial"/>
              </w:rPr>
              <w:t xml:space="preserve">a SOW the agency can opt to begin doing business reviews with the Contractor and IDOA. </w:t>
            </w:r>
            <w:r w:rsidRPr="00822FE4">
              <w:rPr>
                <w:rFonts w:ascii="Arial" w:hAnsi="Arial" w:cs="Arial"/>
              </w:rPr>
              <w:t>Another great check point to talk about what has gone wrong,</w:t>
            </w:r>
            <w:r>
              <w:rPr>
                <w:rFonts w:ascii="Arial" w:hAnsi="Arial" w:cs="Arial"/>
              </w:rPr>
              <w:t xml:space="preserve"> what can be improved, what is upcoming, future risks and concerns, etc.</w:t>
            </w:r>
          </w:p>
        </w:tc>
      </w:tr>
      <w:tr w:rsidR="00BD7EE6" w14:paraId="0A66216B" w14:textId="77777777" w:rsidTr="00A32D66">
        <w:trPr>
          <w:trHeight w:val="368"/>
        </w:trPr>
        <w:tc>
          <w:tcPr>
            <w:tcW w:w="11610" w:type="dxa"/>
            <w:gridSpan w:val="4"/>
            <w:vAlign w:val="center"/>
          </w:tcPr>
          <w:p w14:paraId="2FE8A09B" w14:textId="77777777" w:rsidR="00BD7EE6" w:rsidRDefault="00BD7EE6" w:rsidP="00A32D66">
            <w:pPr>
              <w:rPr>
                <w:rFonts w:ascii="Arial" w:hAnsi="Arial" w:cs="Arial"/>
              </w:rPr>
            </w:pPr>
            <w:r>
              <w:rPr>
                <w:rFonts w:ascii="Arial" w:hAnsi="Arial" w:cs="Arial"/>
                <w:b/>
                <w:color w:val="1F497D"/>
                <w:sz w:val="24"/>
              </w:rPr>
              <w:lastRenderedPageBreak/>
              <w:t>The Universe</w:t>
            </w:r>
            <w:r w:rsidRPr="00F4333D">
              <w:rPr>
                <w:rFonts w:ascii="Arial" w:hAnsi="Arial" w:cs="Arial"/>
                <w:b/>
                <w:color w:val="1F497D"/>
                <w:sz w:val="24"/>
              </w:rPr>
              <w:t>:</w:t>
            </w:r>
          </w:p>
        </w:tc>
      </w:tr>
      <w:tr w:rsidR="00BD7EE6" w14:paraId="6A2A240B" w14:textId="77777777" w:rsidTr="00A32D66">
        <w:trPr>
          <w:trHeight w:val="818"/>
        </w:trPr>
        <w:tc>
          <w:tcPr>
            <w:tcW w:w="11610" w:type="dxa"/>
            <w:gridSpan w:val="4"/>
            <w:tcBorders>
              <w:bottom w:val="nil"/>
            </w:tcBorders>
            <w:vAlign w:val="center"/>
          </w:tcPr>
          <w:p w14:paraId="0B1CC7D0" w14:textId="77777777" w:rsidR="00BD7EE6" w:rsidRDefault="00BD7EE6" w:rsidP="00A32D66">
            <w:pPr>
              <w:ind w:left="252"/>
              <w:rPr>
                <w:rFonts w:ascii="Arial" w:hAnsi="Arial" w:cs="Arial"/>
              </w:rPr>
            </w:pPr>
            <w:r>
              <w:rPr>
                <w:rFonts w:ascii="Arial" w:hAnsi="Arial" w:cs="Arial"/>
              </w:rPr>
              <w:t xml:space="preserve">Since data print jobs are ongoing </w:t>
            </w:r>
            <w:proofErr w:type="gramStart"/>
            <w:r>
              <w:rPr>
                <w:rFonts w:ascii="Arial" w:hAnsi="Arial" w:cs="Arial"/>
              </w:rPr>
              <w:t>jobs</w:t>
            </w:r>
            <w:proofErr w:type="gramEnd"/>
            <w:r>
              <w:rPr>
                <w:rFonts w:ascii="Arial" w:hAnsi="Arial" w:cs="Arial"/>
              </w:rPr>
              <w:t xml:space="preserve"> it would not be feasible for them to order the job like a normal print job every day. Thus, the Universe was created to document the basic “ingredients of the jobs.” Each agency provided these for their jobs and notify the vendor when there is a change. These fields are: </w:t>
            </w:r>
          </w:p>
        </w:tc>
      </w:tr>
      <w:tr w:rsidR="00BD7EE6" w:rsidRPr="009033A3" w14:paraId="4DA5E69E" w14:textId="77777777" w:rsidTr="00A32D66">
        <w:trPr>
          <w:trHeight w:val="953"/>
        </w:trPr>
        <w:tc>
          <w:tcPr>
            <w:tcW w:w="5205" w:type="dxa"/>
            <w:tcBorders>
              <w:top w:val="nil"/>
              <w:left w:val="single" w:sz="4" w:space="0" w:color="auto"/>
              <w:bottom w:val="single" w:sz="4" w:space="0" w:color="auto"/>
              <w:right w:val="nil"/>
            </w:tcBorders>
            <w:vAlign w:val="center"/>
          </w:tcPr>
          <w:p w14:paraId="6DB59DA6" w14:textId="77777777" w:rsidR="00BD7EE6" w:rsidRPr="009033A3" w:rsidRDefault="00BD7EE6" w:rsidP="00BD7EE6">
            <w:pPr>
              <w:pStyle w:val="ListParagraph"/>
              <w:numPr>
                <w:ilvl w:val="0"/>
                <w:numId w:val="1"/>
              </w:numPr>
              <w:rPr>
                <w:rFonts w:ascii="Arial" w:hAnsi="Arial" w:cs="Arial"/>
              </w:rPr>
            </w:pPr>
            <w:r w:rsidRPr="009033A3">
              <w:rPr>
                <w:rFonts w:ascii="Arial" w:hAnsi="Arial" w:cs="Arial"/>
              </w:rPr>
              <w:t>Customer Number</w:t>
            </w:r>
            <w:r w:rsidRPr="009033A3">
              <w:rPr>
                <w:rFonts w:ascii="Arial" w:hAnsi="Arial" w:cs="Arial"/>
              </w:rPr>
              <w:tab/>
            </w:r>
          </w:p>
          <w:p w14:paraId="6B6DD978" w14:textId="77777777" w:rsidR="00BD7EE6" w:rsidRPr="009033A3" w:rsidRDefault="00BD7EE6" w:rsidP="00BD7EE6">
            <w:pPr>
              <w:pStyle w:val="ListParagraph"/>
              <w:numPr>
                <w:ilvl w:val="0"/>
                <w:numId w:val="1"/>
              </w:numPr>
              <w:rPr>
                <w:rFonts w:ascii="Arial" w:hAnsi="Arial" w:cs="Arial"/>
              </w:rPr>
            </w:pPr>
            <w:r w:rsidRPr="009033A3">
              <w:rPr>
                <w:rFonts w:ascii="Arial" w:hAnsi="Arial" w:cs="Arial"/>
              </w:rPr>
              <w:t>Business Unit</w:t>
            </w:r>
            <w:r w:rsidRPr="009033A3">
              <w:rPr>
                <w:rFonts w:ascii="Arial" w:hAnsi="Arial" w:cs="Arial"/>
              </w:rPr>
              <w:tab/>
            </w:r>
          </w:p>
          <w:p w14:paraId="703CCDA5" w14:textId="77777777" w:rsidR="00BD7EE6" w:rsidRPr="009033A3" w:rsidRDefault="00BD7EE6" w:rsidP="00BD7EE6">
            <w:pPr>
              <w:pStyle w:val="ListParagraph"/>
              <w:numPr>
                <w:ilvl w:val="0"/>
                <w:numId w:val="1"/>
              </w:numPr>
              <w:rPr>
                <w:rFonts w:ascii="Arial" w:hAnsi="Arial" w:cs="Arial"/>
              </w:rPr>
            </w:pPr>
            <w:r w:rsidRPr="009033A3">
              <w:rPr>
                <w:rFonts w:ascii="Arial" w:hAnsi="Arial" w:cs="Arial"/>
              </w:rPr>
              <w:t>Dept. Code</w:t>
            </w:r>
            <w:r w:rsidRPr="009033A3">
              <w:rPr>
                <w:rFonts w:ascii="Arial" w:hAnsi="Arial" w:cs="Arial"/>
              </w:rPr>
              <w:tab/>
            </w:r>
          </w:p>
          <w:p w14:paraId="67AA3949" w14:textId="77777777" w:rsidR="00BD7EE6" w:rsidRPr="009033A3" w:rsidRDefault="00BD7EE6" w:rsidP="00BD7EE6">
            <w:pPr>
              <w:pStyle w:val="ListParagraph"/>
              <w:numPr>
                <w:ilvl w:val="0"/>
                <w:numId w:val="1"/>
              </w:numPr>
              <w:rPr>
                <w:rFonts w:ascii="Arial" w:hAnsi="Arial" w:cs="Arial"/>
              </w:rPr>
            </w:pPr>
            <w:r w:rsidRPr="009033A3">
              <w:rPr>
                <w:rFonts w:ascii="Arial" w:hAnsi="Arial" w:cs="Arial"/>
              </w:rPr>
              <w:t>Agency</w:t>
            </w:r>
            <w:r w:rsidRPr="009033A3">
              <w:rPr>
                <w:rFonts w:ascii="Arial" w:hAnsi="Arial" w:cs="Arial"/>
              </w:rPr>
              <w:tab/>
            </w:r>
          </w:p>
          <w:p w14:paraId="08649996" w14:textId="77777777" w:rsidR="00BD7EE6" w:rsidRPr="009033A3" w:rsidRDefault="00BD7EE6" w:rsidP="00BD7EE6">
            <w:pPr>
              <w:pStyle w:val="ListParagraph"/>
              <w:numPr>
                <w:ilvl w:val="0"/>
                <w:numId w:val="1"/>
              </w:numPr>
              <w:rPr>
                <w:rFonts w:ascii="Arial" w:hAnsi="Arial" w:cs="Arial"/>
              </w:rPr>
            </w:pPr>
            <w:r w:rsidRPr="009033A3">
              <w:rPr>
                <w:rFonts w:ascii="Arial" w:hAnsi="Arial" w:cs="Arial"/>
              </w:rPr>
              <w:t>SLA T</w:t>
            </w:r>
            <w:r>
              <w:rPr>
                <w:rFonts w:ascii="Arial" w:hAnsi="Arial" w:cs="Arial"/>
              </w:rPr>
              <w:t>urnaround Time</w:t>
            </w:r>
            <w:r w:rsidRPr="009033A3">
              <w:rPr>
                <w:rFonts w:ascii="Arial" w:hAnsi="Arial" w:cs="Arial"/>
              </w:rPr>
              <w:tab/>
            </w:r>
          </w:p>
          <w:p w14:paraId="1664D0D5" w14:textId="77777777" w:rsidR="00BD7EE6" w:rsidRPr="009033A3" w:rsidRDefault="00BD7EE6" w:rsidP="00BD7EE6">
            <w:pPr>
              <w:pStyle w:val="ListParagraph"/>
              <w:numPr>
                <w:ilvl w:val="0"/>
                <w:numId w:val="1"/>
              </w:numPr>
              <w:rPr>
                <w:rFonts w:ascii="Arial" w:hAnsi="Arial" w:cs="Arial"/>
              </w:rPr>
            </w:pPr>
            <w:r w:rsidRPr="009033A3">
              <w:rPr>
                <w:rFonts w:ascii="Arial" w:hAnsi="Arial" w:cs="Arial"/>
              </w:rPr>
              <w:t>Job ID</w:t>
            </w:r>
            <w:r w:rsidRPr="009033A3">
              <w:rPr>
                <w:rFonts w:ascii="Arial" w:hAnsi="Arial" w:cs="Arial"/>
              </w:rPr>
              <w:tab/>
            </w:r>
          </w:p>
          <w:p w14:paraId="34AC3DD7" w14:textId="77777777" w:rsidR="00BD7EE6" w:rsidRPr="009033A3" w:rsidRDefault="00BD7EE6" w:rsidP="00BD7EE6">
            <w:pPr>
              <w:pStyle w:val="ListParagraph"/>
              <w:numPr>
                <w:ilvl w:val="0"/>
                <w:numId w:val="1"/>
              </w:numPr>
              <w:rPr>
                <w:rFonts w:ascii="Arial" w:hAnsi="Arial" w:cs="Arial"/>
              </w:rPr>
            </w:pPr>
            <w:r w:rsidRPr="009033A3">
              <w:rPr>
                <w:rFonts w:ascii="Arial" w:hAnsi="Arial" w:cs="Arial"/>
              </w:rPr>
              <w:t>Description</w:t>
            </w:r>
            <w:r w:rsidRPr="009033A3">
              <w:rPr>
                <w:rFonts w:ascii="Arial" w:hAnsi="Arial" w:cs="Arial"/>
              </w:rPr>
              <w:tab/>
            </w:r>
          </w:p>
          <w:p w14:paraId="4ECD3F5D" w14:textId="77777777" w:rsidR="00BD7EE6" w:rsidRPr="009033A3" w:rsidRDefault="00BD7EE6" w:rsidP="00BD7EE6">
            <w:pPr>
              <w:pStyle w:val="ListParagraph"/>
              <w:numPr>
                <w:ilvl w:val="0"/>
                <w:numId w:val="1"/>
              </w:numPr>
              <w:rPr>
                <w:rFonts w:ascii="Arial" w:hAnsi="Arial" w:cs="Arial"/>
              </w:rPr>
            </w:pPr>
            <w:r w:rsidRPr="009033A3">
              <w:rPr>
                <w:rFonts w:ascii="Arial" w:hAnsi="Arial" w:cs="Arial"/>
              </w:rPr>
              <w:t>Frequency (Daily, Monthly, Q</w:t>
            </w:r>
            <w:r>
              <w:rPr>
                <w:rFonts w:ascii="Arial" w:hAnsi="Arial" w:cs="Arial"/>
              </w:rPr>
              <w:t>uar</w:t>
            </w:r>
            <w:r w:rsidRPr="009033A3">
              <w:rPr>
                <w:rFonts w:ascii="Arial" w:hAnsi="Arial" w:cs="Arial"/>
              </w:rPr>
              <w:t>terly, Annual)</w:t>
            </w:r>
            <w:r w:rsidRPr="009033A3">
              <w:rPr>
                <w:rFonts w:ascii="Arial" w:hAnsi="Arial" w:cs="Arial"/>
              </w:rPr>
              <w:tab/>
            </w:r>
          </w:p>
          <w:p w14:paraId="3304BFF5" w14:textId="77777777" w:rsidR="00BD7EE6" w:rsidRPr="009033A3" w:rsidRDefault="00BD7EE6" w:rsidP="00BD7EE6">
            <w:pPr>
              <w:pStyle w:val="ListParagraph"/>
              <w:numPr>
                <w:ilvl w:val="0"/>
                <w:numId w:val="1"/>
              </w:numPr>
              <w:rPr>
                <w:rFonts w:ascii="Arial" w:hAnsi="Arial" w:cs="Arial"/>
              </w:rPr>
            </w:pPr>
            <w:r w:rsidRPr="009033A3">
              <w:rPr>
                <w:rFonts w:ascii="Arial" w:hAnsi="Arial" w:cs="Arial"/>
              </w:rPr>
              <w:t>**Output Report Name</w:t>
            </w:r>
            <w:r w:rsidRPr="009033A3">
              <w:rPr>
                <w:rFonts w:ascii="Arial" w:hAnsi="Arial" w:cs="Arial"/>
              </w:rPr>
              <w:tab/>
            </w:r>
          </w:p>
          <w:p w14:paraId="5844E66E" w14:textId="77777777" w:rsidR="00BD7EE6" w:rsidRPr="009033A3" w:rsidRDefault="00BD7EE6" w:rsidP="00BD7EE6">
            <w:pPr>
              <w:pStyle w:val="ListParagraph"/>
              <w:numPr>
                <w:ilvl w:val="0"/>
                <w:numId w:val="1"/>
              </w:numPr>
              <w:rPr>
                <w:rFonts w:ascii="Arial" w:hAnsi="Arial" w:cs="Arial"/>
              </w:rPr>
            </w:pPr>
            <w:r w:rsidRPr="009033A3">
              <w:rPr>
                <w:rFonts w:ascii="Arial" w:hAnsi="Arial" w:cs="Arial"/>
              </w:rPr>
              <w:t>#</w:t>
            </w:r>
            <w:proofErr w:type="gramStart"/>
            <w:r w:rsidRPr="009033A3">
              <w:rPr>
                <w:rFonts w:ascii="Arial" w:hAnsi="Arial" w:cs="Arial"/>
              </w:rPr>
              <w:t>of</w:t>
            </w:r>
            <w:proofErr w:type="gramEnd"/>
            <w:r w:rsidRPr="009033A3">
              <w:rPr>
                <w:rFonts w:ascii="Arial" w:hAnsi="Arial" w:cs="Arial"/>
              </w:rPr>
              <w:t xml:space="preserve"> pages</w:t>
            </w:r>
            <w:r w:rsidRPr="009033A3">
              <w:rPr>
                <w:rFonts w:ascii="Arial" w:hAnsi="Arial" w:cs="Arial"/>
              </w:rPr>
              <w:tab/>
            </w:r>
          </w:p>
          <w:p w14:paraId="6648EE4A" w14:textId="77777777" w:rsidR="00BD7EE6" w:rsidRPr="009033A3" w:rsidRDefault="00BD7EE6" w:rsidP="00BD7EE6">
            <w:pPr>
              <w:pStyle w:val="ListParagraph"/>
              <w:numPr>
                <w:ilvl w:val="0"/>
                <w:numId w:val="1"/>
              </w:numPr>
              <w:rPr>
                <w:rFonts w:ascii="Arial" w:hAnsi="Arial" w:cs="Arial"/>
              </w:rPr>
            </w:pPr>
            <w:r w:rsidRPr="009033A3">
              <w:rPr>
                <w:rFonts w:ascii="Arial" w:hAnsi="Arial" w:cs="Arial"/>
              </w:rPr>
              <w:t xml:space="preserve">Print Mode  </w:t>
            </w:r>
          </w:p>
          <w:p w14:paraId="16EA6F0B" w14:textId="77777777" w:rsidR="00BD7EE6" w:rsidRPr="009033A3" w:rsidRDefault="00BD7EE6" w:rsidP="00BD7EE6">
            <w:pPr>
              <w:pStyle w:val="ListParagraph"/>
              <w:numPr>
                <w:ilvl w:val="0"/>
                <w:numId w:val="1"/>
              </w:numPr>
              <w:rPr>
                <w:rFonts w:ascii="Arial" w:hAnsi="Arial" w:cs="Arial"/>
              </w:rPr>
            </w:pPr>
            <w:r w:rsidRPr="009033A3">
              <w:rPr>
                <w:rFonts w:ascii="Arial" w:hAnsi="Arial" w:cs="Arial"/>
              </w:rPr>
              <w:t>Simplex or Duplex</w:t>
            </w:r>
            <w:r w:rsidRPr="009033A3">
              <w:rPr>
                <w:rFonts w:ascii="Arial" w:hAnsi="Arial" w:cs="Arial"/>
              </w:rPr>
              <w:tab/>
            </w:r>
          </w:p>
          <w:p w14:paraId="3AB2AA86" w14:textId="77777777" w:rsidR="00BD7EE6" w:rsidRPr="009033A3" w:rsidRDefault="00BD7EE6" w:rsidP="00BD7EE6">
            <w:pPr>
              <w:pStyle w:val="ListParagraph"/>
              <w:numPr>
                <w:ilvl w:val="0"/>
                <w:numId w:val="1"/>
              </w:numPr>
              <w:rPr>
                <w:rFonts w:ascii="Arial" w:hAnsi="Arial" w:cs="Arial"/>
              </w:rPr>
            </w:pPr>
            <w:r w:rsidRPr="009033A3">
              <w:rPr>
                <w:rFonts w:ascii="Arial" w:hAnsi="Arial" w:cs="Arial"/>
              </w:rPr>
              <w:t>Paper color</w:t>
            </w:r>
            <w:r w:rsidRPr="009033A3">
              <w:rPr>
                <w:rFonts w:ascii="Arial" w:hAnsi="Arial" w:cs="Arial"/>
              </w:rPr>
              <w:tab/>
            </w:r>
          </w:p>
          <w:p w14:paraId="7344B2FD" w14:textId="77777777" w:rsidR="00BD7EE6" w:rsidRPr="009033A3" w:rsidRDefault="00BD7EE6" w:rsidP="00BD7EE6">
            <w:pPr>
              <w:pStyle w:val="ListParagraph"/>
              <w:numPr>
                <w:ilvl w:val="0"/>
                <w:numId w:val="1"/>
              </w:numPr>
              <w:rPr>
                <w:rFonts w:ascii="Arial" w:hAnsi="Arial" w:cs="Arial"/>
              </w:rPr>
            </w:pPr>
            <w:r>
              <w:rPr>
                <w:rFonts w:ascii="Arial" w:hAnsi="Arial" w:cs="Arial"/>
              </w:rPr>
              <w:t xml:space="preserve">Type: </w:t>
            </w:r>
            <w:r w:rsidRPr="009033A3">
              <w:rPr>
                <w:rFonts w:ascii="Arial" w:hAnsi="Arial" w:cs="Arial"/>
              </w:rPr>
              <w:t>(Perforated (D/S), 3-hole, card stock/w</w:t>
            </w:r>
            <w:r>
              <w:rPr>
                <w:rFonts w:ascii="Arial" w:hAnsi="Arial" w:cs="Arial"/>
              </w:rPr>
              <w:t>eigh</w:t>
            </w:r>
            <w:r w:rsidRPr="009033A3">
              <w:rPr>
                <w:rFonts w:ascii="Arial" w:hAnsi="Arial" w:cs="Arial"/>
              </w:rPr>
              <w:t>t, stapled)</w:t>
            </w:r>
            <w:r w:rsidRPr="009033A3">
              <w:rPr>
                <w:rFonts w:ascii="Arial" w:hAnsi="Arial" w:cs="Arial"/>
              </w:rPr>
              <w:tab/>
            </w:r>
          </w:p>
        </w:tc>
        <w:tc>
          <w:tcPr>
            <w:tcW w:w="6405" w:type="dxa"/>
            <w:gridSpan w:val="3"/>
            <w:tcBorders>
              <w:top w:val="nil"/>
              <w:left w:val="nil"/>
              <w:bottom w:val="single" w:sz="4" w:space="0" w:color="auto"/>
              <w:right w:val="single" w:sz="4" w:space="0" w:color="auto"/>
            </w:tcBorders>
            <w:vAlign w:val="center"/>
          </w:tcPr>
          <w:p w14:paraId="2D938BB9" w14:textId="77777777" w:rsidR="00BD7EE6" w:rsidRPr="009033A3" w:rsidRDefault="00BD7EE6" w:rsidP="00BD7EE6">
            <w:pPr>
              <w:pStyle w:val="ListParagraph"/>
              <w:numPr>
                <w:ilvl w:val="0"/>
                <w:numId w:val="1"/>
              </w:numPr>
              <w:rPr>
                <w:rFonts w:ascii="Arial" w:hAnsi="Arial" w:cs="Arial"/>
              </w:rPr>
            </w:pPr>
            <w:r w:rsidRPr="009033A3">
              <w:rPr>
                <w:rFonts w:ascii="Arial" w:hAnsi="Arial" w:cs="Arial"/>
              </w:rPr>
              <w:t>Enclosures/Inserts</w:t>
            </w:r>
            <w:r w:rsidRPr="009033A3">
              <w:rPr>
                <w:rFonts w:ascii="Arial" w:hAnsi="Arial" w:cs="Arial"/>
              </w:rPr>
              <w:tab/>
            </w:r>
          </w:p>
          <w:p w14:paraId="1063FCC5" w14:textId="77777777" w:rsidR="00BD7EE6" w:rsidRPr="009033A3" w:rsidRDefault="00BD7EE6" w:rsidP="00BD7EE6">
            <w:pPr>
              <w:pStyle w:val="ListParagraph"/>
              <w:numPr>
                <w:ilvl w:val="0"/>
                <w:numId w:val="1"/>
              </w:numPr>
              <w:rPr>
                <w:rFonts w:ascii="Arial" w:hAnsi="Arial" w:cs="Arial"/>
              </w:rPr>
            </w:pPr>
            <w:r w:rsidRPr="009033A3">
              <w:rPr>
                <w:rFonts w:ascii="Arial" w:hAnsi="Arial" w:cs="Arial"/>
              </w:rPr>
              <w:t>Paper Size</w:t>
            </w:r>
            <w:r w:rsidRPr="009033A3">
              <w:rPr>
                <w:rFonts w:ascii="Arial" w:hAnsi="Arial" w:cs="Arial"/>
              </w:rPr>
              <w:tab/>
            </w:r>
          </w:p>
          <w:p w14:paraId="66E4CCC2" w14:textId="77777777" w:rsidR="00BD7EE6" w:rsidRPr="009033A3" w:rsidRDefault="00BD7EE6" w:rsidP="00BD7EE6">
            <w:pPr>
              <w:pStyle w:val="ListParagraph"/>
              <w:numPr>
                <w:ilvl w:val="0"/>
                <w:numId w:val="1"/>
              </w:numPr>
              <w:rPr>
                <w:rFonts w:ascii="Arial" w:hAnsi="Arial" w:cs="Arial"/>
              </w:rPr>
            </w:pPr>
            <w:r w:rsidRPr="009033A3">
              <w:rPr>
                <w:rFonts w:ascii="Arial" w:hAnsi="Arial" w:cs="Arial"/>
              </w:rPr>
              <w:t>Paper weight (per page in ounces)</w:t>
            </w:r>
          </w:p>
          <w:p w14:paraId="72901B58" w14:textId="77777777" w:rsidR="00BD7EE6" w:rsidRPr="009033A3" w:rsidRDefault="00BD7EE6" w:rsidP="00BD7EE6">
            <w:pPr>
              <w:pStyle w:val="ListParagraph"/>
              <w:numPr>
                <w:ilvl w:val="0"/>
                <w:numId w:val="1"/>
              </w:numPr>
              <w:rPr>
                <w:rFonts w:ascii="Arial" w:hAnsi="Arial" w:cs="Arial"/>
              </w:rPr>
            </w:pPr>
            <w:r w:rsidRPr="009033A3">
              <w:rPr>
                <w:rFonts w:ascii="Arial" w:hAnsi="Arial" w:cs="Arial"/>
              </w:rPr>
              <w:t>Return Env</w:t>
            </w:r>
            <w:r>
              <w:rPr>
                <w:rFonts w:ascii="Arial" w:hAnsi="Arial" w:cs="Arial"/>
              </w:rPr>
              <w:t>elope</w:t>
            </w:r>
            <w:r w:rsidRPr="009033A3">
              <w:rPr>
                <w:rFonts w:ascii="Arial" w:hAnsi="Arial" w:cs="Arial"/>
              </w:rPr>
              <w:t xml:space="preserve"> (Or if no Return </w:t>
            </w:r>
            <w:proofErr w:type="gramStart"/>
            <w:r w:rsidRPr="009033A3">
              <w:rPr>
                <w:rFonts w:ascii="Arial" w:hAnsi="Arial" w:cs="Arial"/>
              </w:rPr>
              <w:t>Env</w:t>
            </w:r>
            <w:r>
              <w:rPr>
                <w:rFonts w:ascii="Arial" w:hAnsi="Arial" w:cs="Arial"/>
              </w:rPr>
              <w:t>elope)</w:t>
            </w:r>
            <w:r w:rsidRPr="009033A3">
              <w:rPr>
                <w:rFonts w:ascii="Arial" w:hAnsi="Arial" w:cs="Arial"/>
              </w:rPr>
              <w:t>Return</w:t>
            </w:r>
            <w:proofErr w:type="gramEnd"/>
            <w:r w:rsidRPr="009033A3">
              <w:rPr>
                <w:rFonts w:ascii="Arial" w:hAnsi="Arial" w:cs="Arial"/>
              </w:rPr>
              <w:t xml:space="preserve"> Envelope Description</w:t>
            </w:r>
            <w:r w:rsidRPr="009033A3">
              <w:rPr>
                <w:rFonts w:ascii="Arial" w:hAnsi="Arial" w:cs="Arial"/>
              </w:rPr>
              <w:tab/>
            </w:r>
          </w:p>
          <w:p w14:paraId="1D75FC40" w14:textId="77777777" w:rsidR="00BD7EE6" w:rsidRPr="009033A3" w:rsidRDefault="00BD7EE6" w:rsidP="00BD7EE6">
            <w:pPr>
              <w:pStyle w:val="ListParagraph"/>
              <w:numPr>
                <w:ilvl w:val="0"/>
                <w:numId w:val="1"/>
              </w:numPr>
              <w:rPr>
                <w:rFonts w:ascii="Arial" w:hAnsi="Arial" w:cs="Arial"/>
              </w:rPr>
            </w:pPr>
            <w:r w:rsidRPr="009033A3">
              <w:rPr>
                <w:rFonts w:ascii="Arial" w:hAnsi="Arial" w:cs="Arial"/>
              </w:rPr>
              <w:t>Return envelope weight (per envelope in ounces)</w:t>
            </w:r>
            <w:r w:rsidRPr="009033A3">
              <w:rPr>
                <w:rFonts w:ascii="Arial" w:hAnsi="Arial" w:cs="Arial"/>
              </w:rPr>
              <w:tab/>
            </w:r>
          </w:p>
          <w:p w14:paraId="525AF1B3" w14:textId="77777777" w:rsidR="00BD7EE6" w:rsidRDefault="00BD7EE6" w:rsidP="00BD7EE6">
            <w:pPr>
              <w:pStyle w:val="ListParagraph"/>
              <w:numPr>
                <w:ilvl w:val="0"/>
                <w:numId w:val="1"/>
              </w:numPr>
              <w:rPr>
                <w:rFonts w:ascii="Arial" w:hAnsi="Arial" w:cs="Arial"/>
              </w:rPr>
            </w:pPr>
            <w:r w:rsidRPr="009033A3">
              <w:rPr>
                <w:rFonts w:ascii="Arial" w:hAnsi="Arial" w:cs="Arial"/>
              </w:rPr>
              <w:t>"Fold (Standard, Half, Tri-Fold, Z-Fold)"</w:t>
            </w:r>
          </w:p>
          <w:p w14:paraId="05F740B0" w14:textId="77777777" w:rsidR="00BD7EE6" w:rsidRDefault="00BD7EE6" w:rsidP="00BD7EE6">
            <w:pPr>
              <w:pStyle w:val="ListParagraph"/>
              <w:numPr>
                <w:ilvl w:val="0"/>
                <w:numId w:val="1"/>
              </w:numPr>
              <w:rPr>
                <w:rFonts w:ascii="Arial" w:hAnsi="Arial" w:cs="Arial"/>
              </w:rPr>
            </w:pPr>
            <w:r w:rsidRPr="009033A3">
              <w:rPr>
                <w:rFonts w:ascii="Arial" w:hAnsi="Arial" w:cs="Arial"/>
              </w:rPr>
              <w:t xml:space="preserve">Annual Total </w:t>
            </w:r>
          </w:p>
          <w:p w14:paraId="79795F8C" w14:textId="77777777" w:rsidR="00BD7EE6" w:rsidRPr="009033A3" w:rsidRDefault="00BD7EE6" w:rsidP="00BD7EE6">
            <w:pPr>
              <w:pStyle w:val="ListParagraph"/>
              <w:numPr>
                <w:ilvl w:val="0"/>
                <w:numId w:val="1"/>
              </w:numPr>
              <w:rPr>
                <w:rFonts w:ascii="Arial" w:hAnsi="Arial" w:cs="Arial"/>
              </w:rPr>
            </w:pPr>
            <w:r w:rsidRPr="009033A3">
              <w:rPr>
                <w:rFonts w:ascii="Arial" w:hAnsi="Arial" w:cs="Arial"/>
              </w:rPr>
              <w:t>Outer Envelope</w:t>
            </w:r>
            <w:r w:rsidRPr="009033A3">
              <w:rPr>
                <w:rFonts w:ascii="Arial" w:hAnsi="Arial" w:cs="Arial"/>
              </w:rPr>
              <w:tab/>
            </w:r>
          </w:p>
          <w:p w14:paraId="4053863B" w14:textId="77777777" w:rsidR="00BD7EE6" w:rsidRPr="009033A3" w:rsidRDefault="00BD7EE6" w:rsidP="00BD7EE6">
            <w:pPr>
              <w:pStyle w:val="ListParagraph"/>
              <w:numPr>
                <w:ilvl w:val="0"/>
                <w:numId w:val="1"/>
              </w:numPr>
              <w:rPr>
                <w:rFonts w:ascii="Arial" w:hAnsi="Arial" w:cs="Arial"/>
              </w:rPr>
            </w:pPr>
            <w:r w:rsidRPr="009033A3">
              <w:rPr>
                <w:rFonts w:ascii="Arial" w:hAnsi="Arial" w:cs="Arial"/>
              </w:rPr>
              <w:t>Envelope Description</w:t>
            </w:r>
          </w:p>
          <w:p w14:paraId="5F514F63" w14:textId="77777777" w:rsidR="00BD7EE6" w:rsidRPr="009033A3" w:rsidRDefault="00BD7EE6" w:rsidP="00BD7EE6">
            <w:pPr>
              <w:pStyle w:val="ListParagraph"/>
              <w:numPr>
                <w:ilvl w:val="0"/>
                <w:numId w:val="1"/>
              </w:numPr>
              <w:rPr>
                <w:rFonts w:ascii="Arial" w:hAnsi="Arial" w:cs="Arial"/>
              </w:rPr>
            </w:pPr>
            <w:r w:rsidRPr="009033A3">
              <w:rPr>
                <w:rFonts w:ascii="Arial" w:hAnsi="Arial" w:cs="Arial"/>
              </w:rPr>
              <w:t>Envelope Weight (in ounces)</w:t>
            </w:r>
            <w:r w:rsidRPr="009033A3">
              <w:rPr>
                <w:rFonts w:ascii="Arial" w:hAnsi="Arial" w:cs="Arial"/>
              </w:rPr>
              <w:tab/>
            </w:r>
          </w:p>
          <w:p w14:paraId="4D5F6D85" w14:textId="77777777" w:rsidR="00BD7EE6" w:rsidRPr="009033A3" w:rsidRDefault="00BD7EE6" w:rsidP="00BD7EE6">
            <w:pPr>
              <w:pStyle w:val="ListParagraph"/>
              <w:numPr>
                <w:ilvl w:val="0"/>
                <w:numId w:val="1"/>
              </w:numPr>
              <w:rPr>
                <w:rFonts w:ascii="Arial" w:hAnsi="Arial" w:cs="Arial"/>
              </w:rPr>
            </w:pPr>
            <w:r w:rsidRPr="009033A3">
              <w:rPr>
                <w:rFonts w:ascii="Arial" w:hAnsi="Arial" w:cs="Arial"/>
              </w:rPr>
              <w:t>National Change of Address (NCOA)</w:t>
            </w:r>
          </w:p>
          <w:p w14:paraId="60F95803" w14:textId="77777777" w:rsidR="00BD7EE6" w:rsidRDefault="00BD7EE6" w:rsidP="00BD7EE6">
            <w:pPr>
              <w:pStyle w:val="ListParagraph"/>
              <w:numPr>
                <w:ilvl w:val="0"/>
                <w:numId w:val="1"/>
              </w:numPr>
              <w:rPr>
                <w:rFonts w:ascii="Arial" w:hAnsi="Arial" w:cs="Arial"/>
              </w:rPr>
            </w:pPr>
            <w:r>
              <w:rPr>
                <w:rFonts w:ascii="Arial" w:hAnsi="Arial" w:cs="Arial"/>
              </w:rPr>
              <w:t>Notes</w:t>
            </w:r>
          </w:p>
          <w:p w14:paraId="58B25CFB" w14:textId="77777777" w:rsidR="00BD7EE6" w:rsidRPr="009033A3" w:rsidRDefault="00BD7EE6" w:rsidP="00BD7EE6">
            <w:pPr>
              <w:pStyle w:val="ListParagraph"/>
              <w:numPr>
                <w:ilvl w:val="0"/>
                <w:numId w:val="1"/>
              </w:numPr>
              <w:rPr>
                <w:rFonts w:ascii="Arial" w:hAnsi="Arial" w:cs="Arial"/>
              </w:rPr>
            </w:pPr>
            <w:r w:rsidRPr="009033A3">
              <w:rPr>
                <w:rFonts w:ascii="Arial" w:hAnsi="Arial" w:cs="Arial"/>
              </w:rPr>
              <w:t>Insertion Method</w:t>
            </w:r>
          </w:p>
        </w:tc>
      </w:tr>
      <w:tr w:rsidR="00BD7EE6" w:rsidRPr="009033A3" w14:paraId="725D1555" w14:textId="77777777" w:rsidTr="00A32D66">
        <w:trPr>
          <w:trHeight w:val="368"/>
        </w:trPr>
        <w:tc>
          <w:tcPr>
            <w:tcW w:w="11610" w:type="dxa"/>
            <w:gridSpan w:val="4"/>
            <w:tcBorders>
              <w:top w:val="single" w:sz="4" w:space="0" w:color="auto"/>
            </w:tcBorders>
            <w:vAlign w:val="center"/>
          </w:tcPr>
          <w:p w14:paraId="708D28A4" w14:textId="77777777" w:rsidR="00BD7EE6" w:rsidRPr="009033A3" w:rsidRDefault="00BD7EE6" w:rsidP="00A32D66">
            <w:pPr>
              <w:rPr>
                <w:rFonts w:ascii="Arial" w:hAnsi="Arial" w:cs="Arial"/>
              </w:rPr>
            </w:pPr>
            <w:r>
              <w:rPr>
                <w:rFonts w:ascii="Arial" w:hAnsi="Arial" w:cs="Arial"/>
                <w:b/>
                <w:color w:val="1F497D"/>
                <w:sz w:val="24"/>
              </w:rPr>
              <w:t>Project Plans</w:t>
            </w:r>
            <w:r w:rsidRPr="00F4333D">
              <w:rPr>
                <w:rFonts w:ascii="Arial" w:hAnsi="Arial" w:cs="Arial"/>
                <w:b/>
                <w:color w:val="1F497D"/>
                <w:sz w:val="24"/>
              </w:rPr>
              <w:t>:</w:t>
            </w:r>
          </w:p>
        </w:tc>
      </w:tr>
      <w:tr w:rsidR="00BD7EE6" w:rsidRPr="009033A3" w14:paraId="340685DD" w14:textId="77777777" w:rsidTr="00A32D66">
        <w:trPr>
          <w:trHeight w:val="953"/>
        </w:trPr>
        <w:tc>
          <w:tcPr>
            <w:tcW w:w="11610" w:type="dxa"/>
            <w:gridSpan w:val="4"/>
            <w:tcBorders>
              <w:top w:val="single" w:sz="4" w:space="0" w:color="auto"/>
            </w:tcBorders>
            <w:vAlign w:val="center"/>
          </w:tcPr>
          <w:p w14:paraId="78086486" w14:textId="77777777" w:rsidR="00BD7EE6" w:rsidRDefault="00BD7EE6" w:rsidP="00A32D66">
            <w:pPr>
              <w:ind w:left="252"/>
              <w:rPr>
                <w:rFonts w:ascii="Arial" w:hAnsi="Arial" w:cs="Arial"/>
              </w:rPr>
            </w:pPr>
            <w:r>
              <w:rPr>
                <w:rFonts w:ascii="Arial" w:hAnsi="Arial" w:cs="Arial"/>
              </w:rPr>
              <w:t xml:space="preserve">Since some jobs have more steps and details involved, especially annual jobs, a Project Plan is to be filled out and provided to the vendor. This should define the agencies expectations on dates and responsibilities, it also creates an understanding between the parties for what should be completed, by who, and when. It reestablishes what needs to be done and sets the expectations across all parties. This also creates a space to allow the parties to think through the project from start to finish. Thus, identifying milestones and potential constraints to then prepare for and resolve issues before they arise. </w:t>
            </w:r>
          </w:p>
          <w:p w14:paraId="75055240" w14:textId="77777777" w:rsidR="00BD7EE6" w:rsidRDefault="00BD7EE6" w:rsidP="00A32D66">
            <w:pPr>
              <w:ind w:left="252"/>
              <w:rPr>
                <w:rFonts w:ascii="Arial" w:hAnsi="Arial" w:cs="Arial"/>
              </w:rPr>
            </w:pPr>
          </w:p>
          <w:p w14:paraId="68315EE7" w14:textId="77777777" w:rsidR="00BD7EE6" w:rsidRDefault="00BD7EE6" w:rsidP="00A32D66">
            <w:pPr>
              <w:ind w:left="252"/>
              <w:rPr>
                <w:rFonts w:ascii="Arial" w:hAnsi="Arial" w:cs="Arial"/>
              </w:rPr>
            </w:pPr>
            <w:r>
              <w:rPr>
                <w:rFonts w:ascii="Arial" w:hAnsi="Arial" w:cs="Arial"/>
              </w:rPr>
              <w:t xml:space="preserve">It establishes the cadences and expectations, so all parties are working towards the same objectives and at the right times. Details such as when the agency will send the files, what folder it will be uploaded to, if file changes are required, or if testing will be required. If there are specific exchanges that should take place files will be sent, </w:t>
            </w:r>
            <w:proofErr w:type="gramStart"/>
            <w:r>
              <w:rPr>
                <w:rFonts w:ascii="Arial" w:hAnsi="Arial" w:cs="Arial"/>
              </w:rPr>
              <w:t>This</w:t>
            </w:r>
            <w:proofErr w:type="gramEnd"/>
            <w:r>
              <w:rPr>
                <w:rFonts w:ascii="Arial" w:hAnsi="Arial" w:cs="Arial"/>
              </w:rPr>
              <w:t xml:space="preserve"> becomes a guide for the vendor, so they know if something is missing when to reach out and how to proceed </w:t>
            </w:r>
            <w:r>
              <w:rPr>
                <w:rFonts w:ascii="Arial" w:hAnsi="Arial" w:cs="Arial"/>
              </w:rPr>
              <w:lastRenderedPageBreak/>
              <w:t>if a deadline is missed (for example, in the event the agency does not submit the approval on time, how the timeline should be shifted or if the parties must recomplete certain steps.)</w:t>
            </w:r>
          </w:p>
          <w:p w14:paraId="4912B549" w14:textId="77777777" w:rsidR="00BD7EE6" w:rsidRDefault="00BD7EE6" w:rsidP="00A32D66">
            <w:pPr>
              <w:ind w:left="252"/>
              <w:rPr>
                <w:rFonts w:ascii="Arial" w:hAnsi="Arial" w:cs="Arial"/>
              </w:rPr>
            </w:pPr>
          </w:p>
          <w:p w14:paraId="6DC1848A" w14:textId="77777777" w:rsidR="00BD7EE6" w:rsidRPr="009033A3" w:rsidRDefault="00BD7EE6" w:rsidP="00A32D66">
            <w:pPr>
              <w:ind w:left="252"/>
              <w:rPr>
                <w:rFonts w:ascii="Arial" w:hAnsi="Arial" w:cs="Arial"/>
              </w:rPr>
            </w:pPr>
            <w:r>
              <w:rPr>
                <w:rFonts w:ascii="Arial" w:hAnsi="Arial" w:cs="Arial"/>
              </w:rPr>
              <w:t>IDOA</w:t>
            </w:r>
            <w:r w:rsidR="00074FF7">
              <w:rPr>
                <w:rFonts w:ascii="Arial" w:hAnsi="Arial" w:cs="Arial"/>
              </w:rPr>
              <w:t xml:space="preserve"> requests and</w:t>
            </w:r>
            <w:r>
              <w:rPr>
                <w:rFonts w:ascii="Arial" w:hAnsi="Arial" w:cs="Arial"/>
              </w:rPr>
              <w:t xml:space="preserve"> highly encourages the agency to include them in submission of these documents and meetings/ communication related to such projects, because it can help identify actions that are required and resolve issues in a more expedient manner. </w:t>
            </w:r>
          </w:p>
        </w:tc>
      </w:tr>
      <w:tr w:rsidR="00BD7EE6" w14:paraId="308B31D1" w14:textId="77777777" w:rsidTr="00A32D66">
        <w:trPr>
          <w:trHeight w:val="395"/>
        </w:trPr>
        <w:tc>
          <w:tcPr>
            <w:tcW w:w="11610" w:type="dxa"/>
            <w:gridSpan w:val="4"/>
            <w:tcBorders>
              <w:top w:val="single" w:sz="4" w:space="0" w:color="auto"/>
            </w:tcBorders>
            <w:vAlign w:val="center"/>
          </w:tcPr>
          <w:p w14:paraId="794A4021" w14:textId="77777777" w:rsidR="00BD7EE6" w:rsidRDefault="00BD7EE6" w:rsidP="00A32D66">
            <w:pPr>
              <w:ind w:left="252"/>
              <w:rPr>
                <w:rFonts w:ascii="Arial" w:hAnsi="Arial" w:cs="Arial"/>
              </w:rPr>
            </w:pPr>
            <w:r>
              <w:rPr>
                <w:rFonts w:ascii="Arial" w:hAnsi="Arial" w:cs="Arial"/>
                <w:b/>
                <w:color w:val="1F497D"/>
                <w:sz w:val="24"/>
              </w:rPr>
              <w:lastRenderedPageBreak/>
              <w:t>Process Change Requests (PCRs) and Print Requests:</w:t>
            </w:r>
          </w:p>
        </w:tc>
      </w:tr>
      <w:tr w:rsidR="00BD7EE6" w14:paraId="7761D0A2" w14:textId="77777777" w:rsidTr="00A32D66">
        <w:trPr>
          <w:trHeight w:val="953"/>
        </w:trPr>
        <w:tc>
          <w:tcPr>
            <w:tcW w:w="11610" w:type="dxa"/>
            <w:gridSpan w:val="4"/>
            <w:tcBorders>
              <w:top w:val="single" w:sz="4" w:space="0" w:color="auto"/>
            </w:tcBorders>
            <w:vAlign w:val="center"/>
          </w:tcPr>
          <w:p w14:paraId="6702F444" w14:textId="77777777" w:rsidR="00BD7EE6" w:rsidRDefault="00BD7EE6" w:rsidP="00A32D66">
            <w:pPr>
              <w:ind w:left="252"/>
              <w:rPr>
                <w:rFonts w:ascii="Arial" w:hAnsi="Arial" w:cs="Arial"/>
              </w:rPr>
            </w:pPr>
            <w:r>
              <w:rPr>
                <w:rFonts w:ascii="Arial" w:hAnsi="Arial" w:cs="Arial"/>
              </w:rPr>
              <w:t xml:space="preserve">At times changes will need to occur, for example an update to a file or even creating a new file. These are documented in a PCR as they document exactly what the agency wants. In non-emergency situations the vendor must provide an estimated amount of time to complete the work (the vendor cannot bill for excess time spent on completing work they quoted </w:t>
            </w:r>
            <w:proofErr w:type="gramStart"/>
            <w:r>
              <w:rPr>
                <w:rFonts w:ascii="Arial" w:hAnsi="Arial" w:cs="Arial"/>
              </w:rPr>
              <w:t>on, but</w:t>
            </w:r>
            <w:proofErr w:type="gramEnd"/>
            <w:r>
              <w:rPr>
                <w:rFonts w:ascii="Arial" w:hAnsi="Arial" w:cs="Arial"/>
              </w:rPr>
              <w:t xml:space="preserve"> must complete all the work.)  </w:t>
            </w:r>
          </w:p>
        </w:tc>
      </w:tr>
      <w:tr w:rsidR="00BD7EE6" w:rsidRPr="00F4333D" w14:paraId="1F3E6B57" w14:textId="77777777" w:rsidTr="00A32D66">
        <w:trPr>
          <w:trHeight w:val="332"/>
        </w:trPr>
        <w:tc>
          <w:tcPr>
            <w:tcW w:w="11610" w:type="dxa"/>
            <w:gridSpan w:val="4"/>
            <w:shd w:val="clear" w:color="auto" w:fill="FFFFFF" w:themeFill="background1"/>
            <w:vAlign w:val="center"/>
          </w:tcPr>
          <w:p w14:paraId="7E8DC152" w14:textId="77777777" w:rsidR="00BD7EE6" w:rsidRPr="00F4333D" w:rsidRDefault="00BD7EE6" w:rsidP="00A32D66">
            <w:pPr>
              <w:rPr>
                <w:rFonts w:ascii="Arial" w:hAnsi="Arial" w:cs="Arial"/>
                <w:color w:val="1F497D"/>
              </w:rPr>
            </w:pPr>
            <w:r>
              <w:rPr>
                <w:rFonts w:ascii="Arial" w:hAnsi="Arial" w:cs="Arial"/>
                <w:b/>
                <w:color w:val="1F497D"/>
                <w:sz w:val="24"/>
              </w:rPr>
              <w:t>Corrective Action Plans</w:t>
            </w:r>
            <w:r w:rsidRPr="00F4333D">
              <w:rPr>
                <w:rFonts w:ascii="Arial" w:hAnsi="Arial" w:cs="Arial"/>
                <w:b/>
                <w:color w:val="1F497D"/>
                <w:sz w:val="24"/>
              </w:rPr>
              <w:t>:</w:t>
            </w:r>
          </w:p>
        </w:tc>
      </w:tr>
      <w:tr w:rsidR="00BD7EE6" w:rsidRPr="00221631" w14:paraId="01A942FF" w14:textId="77777777" w:rsidTr="00A32D66">
        <w:trPr>
          <w:trHeight w:val="5057"/>
        </w:trPr>
        <w:tc>
          <w:tcPr>
            <w:tcW w:w="11610" w:type="dxa"/>
            <w:gridSpan w:val="4"/>
            <w:shd w:val="clear" w:color="auto" w:fill="FFFFFF" w:themeFill="background1"/>
            <w:vAlign w:val="center"/>
          </w:tcPr>
          <w:p w14:paraId="38A8A885" w14:textId="77777777" w:rsidR="00BD7EE6" w:rsidRDefault="00BD7EE6" w:rsidP="00A32D66">
            <w:pPr>
              <w:ind w:left="252"/>
              <w:rPr>
                <w:rFonts w:ascii="Arial" w:hAnsi="Arial" w:cs="Arial"/>
              </w:rPr>
            </w:pPr>
            <w:r w:rsidRPr="001279F1">
              <w:rPr>
                <w:rFonts w:ascii="Arial" w:hAnsi="Arial" w:cs="Arial"/>
              </w:rPr>
              <w:t xml:space="preserve">When an issue is identified the Contractor launches an investigation of the issue and takes steps to fix the existing issue. The Contractor performs a Root Cause Analysis to get to the base of the issue and investigate any points of failures such as what should have caught the issue, what failed, or what did not occur. Once the issue has been fully analyzed. The Contractor next identifies how to remediate these points of failures and documents it all in the Corrective Action Plan. Once completed the full plan is sent to the agency to review. The agency can then provide feedback or determine </w:t>
            </w:r>
            <w:r>
              <w:rPr>
                <w:rFonts w:ascii="Arial" w:hAnsi="Arial" w:cs="Arial"/>
              </w:rPr>
              <w:t xml:space="preserve">if </w:t>
            </w:r>
            <w:r w:rsidRPr="001279F1">
              <w:rPr>
                <w:rFonts w:ascii="Arial" w:hAnsi="Arial" w:cs="Arial"/>
              </w:rPr>
              <w:t xml:space="preserve">it is acceptable. While the focus of these plans </w:t>
            </w:r>
            <w:proofErr w:type="gramStart"/>
            <w:r w:rsidRPr="001279F1">
              <w:rPr>
                <w:rFonts w:ascii="Arial" w:hAnsi="Arial" w:cs="Arial"/>
              </w:rPr>
              <w:t>are</w:t>
            </w:r>
            <w:proofErr w:type="gramEnd"/>
            <w:r w:rsidRPr="001279F1">
              <w:rPr>
                <w:rFonts w:ascii="Arial" w:hAnsi="Arial" w:cs="Arial"/>
              </w:rPr>
              <w:t xml:space="preserve"> to ensure improvement that will still fit their agency’s business needs and functions and prevent issues from recurring</w:t>
            </w:r>
            <w:r>
              <w:rPr>
                <w:rFonts w:ascii="Arial" w:hAnsi="Arial" w:cs="Arial"/>
              </w:rPr>
              <w:t>, t</w:t>
            </w:r>
            <w:r w:rsidRPr="001279F1">
              <w:rPr>
                <w:rFonts w:ascii="Arial" w:hAnsi="Arial" w:cs="Arial"/>
              </w:rPr>
              <w:t>his is also a time that the agency can offer costs and ramifications incurred to ensure that all issues have been addressed. The Contract has a few opportunities to recoup loss and be made whole. The philosophy the Contract was writte</w:t>
            </w:r>
            <w:r>
              <w:rPr>
                <w:rFonts w:ascii="Arial" w:hAnsi="Arial" w:cs="Arial"/>
              </w:rPr>
              <w:t xml:space="preserve">n with is the understanding that the objective of a Corrective Action Plan is to prevent issues from happening again and to drive continuous improvement. </w:t>
            </w:r>
          </w:p>
          <w:p w14:paraId="3955CDD5" w14:textId="77777777" w:rsidR="00BD7EE6" w:rsidRDefault="00BD7EE6" w:rsidP="00A32D66">
            <w:pPr>
              <w:ind w:left="252"/>
              <w:rPr>
                <w:rFonts w:ascii="Arial" w:hAnsi="Arial" w:cs="Arial"/>
              </w:rPr>
            </w:pPr>
          </w:p>
          <w:p w14:paraId="2BC64437" w14:textId="77777777" w:rsidR="00BD7EE6" w:rsidRDefault="00BD7EE6" w:rsidP="00A32D66">
            <w:pPr>
              <w:ind w:left="252"/>
              <w:rPr>
                <w:rFonts w:ascii="Arial" w:hAnsi="Arial" w:cs="Arial"/>
              </w:rPr>
            </w:pPr>
            <w:r>
              <w:rPr>
                <w:rFonts w:ascii="Arial" w:hAnsi="Arial" w:cs="Arial"/>
              </w:rPr>
              <w:t xml:space="preserve">While the agency should seek remediation to issues the number one priority is to not have the issues happen again. While not always successful, it becomes very important that the agencies have the seat at the table to voice their concerns and perspectives. </w:t>
            </w:r>
          </w:p>
          <w:p w14:paraId="7033B1AB" w14:textId="77777777" w:rsidR="00BD7EE6" w:rsidRDefault="00BD7EE6" w:rsidP="00A32D66">
            <w:pPr>
              <w:ind w:left="252"/>
              <w:rPr>
                <w:rFonts w:ascii="Arial" w:hAnsi="Arial" w:cs="Arial"/>
              </w:rPr>
            </w:pPr>
          </w:p>
          <w:p w14:paraId="0A33D619" w14:textId="77777777" w:rsidR="00BD7EE6" w:rsidRPr="00221631" w:rsidRDefault="00BD7EE6" w:rsidP="00A32D66">
            <w:pPr>
              <w:ind w:left="252"/>
              <w:rPr>
                <w:rFonts w:ascii="Arial" w:hAnsi="Arial" w:cs="Arial"/>
              </w:rPr>
            </w:pPr>
            <w:r>
              <w:rPr>
                <w:rFonts w:ascii="Arial" w:hAnsi="Arial" w:cs="Arial"/>
              </w:rPr>
              <w:t xml:space="preserve">These can be points of discussion and do not have to be blindly accepted. Engaging IDOA early and throughout the lifecycle of the contract is highly encouraged. Preventing an issue is always the best choice. The more IDOA is aware of deadlines, requirements, ongoing work, the more they </w:t>
            </w:r>
            <w:proofErr w:type="gramStart"/>
            <w:r>
              <w:rPr>
                <w:rFonts w:ascii="Arial" w:hAnsi="Arial" w:cs="Arial"/>
              </w:rPr>
              <w:t>are able to</w:t>
            </w:r>
            <w:proofErr w:type="gramEnd"/>
            <w:r>
              <w:rPr>
                <w:rFonts w:ascii="Arial" w:hAnsi="Arial" w:cs="Arial"/>
              </w:rPr>
              <w:t xml:space="preserve"> manage and assist especially if an agency has an issue or if the vendor is not receptive </w:t>
            </w:r>
          </w:p>
        </w:tc>
      </w:tr>
    </w:tbl>
    <w:p w14:paraId="557BCFCE" w14:textId="77777777" w:rsidR="00891598" w:rsidRDefault="00891598"/>
    <w:sectPr w:rsidR="00891598" w:rsidSect="00BD7E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C48C3"/>
    <w:multiLevelType w:val="hybridMultilevel"/>
    <w:tmpl w:val="2A68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386798"/>
    <w:multiLevelType w:val="hybridMultilevel"/>
    <w:tmpl w:val="E45E85B6"/>
    <w:lvl w:ilvl="0" w:tplc="04090005">
      <w:start w:val="1"/>
      <w:numFmt w:val="bullet"/>
      <w:lvlText w:val=""/>
      <w:lvlJc w:val="left"/>
      <w:pPr>
        <w:ind w:left="972"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EE6"/>
    <w:rsid w:val="00022E53"/>
    <w:rsid w:val="00074FF7"/>
    <w:rsid w:val="00181E49"/>
    <w:rsid w:val="002C08C3"/>
    <w:rsid w:val="00380DE6"/>
    <w:rsid w:val="003B1774"/>
    <w:rsid w:val="00891598"/>
    <w:rsid w:val="00A371DA"/>
    <w:rsid w:val="00AC12CF"/>
    <w:rsid w:val="00BC066F"/>
    <w:rsid w:val="00BD7EE6"/>
    <w:rsid w:val="00CC76E4"/>
    <w:rsid w:val="00CF7356"/>
    <w:rsid w:val="00E04495"/>
    <w:rsid w:val="00F46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2232575"/>
  <w15:chartTrackingRefBased/>
  <w15:docId w15:val="{16D5D632-8D09-4108-B02E-9D54CFE2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7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EE6"/>
    <w:pPr>
      <w:ind w:left="720"/>
      <w:contextualSpacing/>
    </w:pPr>
  </w:style>
  <w:style w:type="character" w:styleId="Hyperlink">
    <w:name w:val="Hyperlink"/>
    <w:basedOn w:val="DefaultParagraphFont"/>
    <w:uiPriority w:val="99"/>
    <w:unhideWhenUsed/>
    <w:rsid w:val="00BD7E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hyperlink" Target="mailto:Printmailservices@idoa.IN.gov" TargetMode="Externa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n.gov/idoa/2455.htm" TargetMode="External"/><Relationship Id="rId11" Type="http://schemas.openxmlformats.org/officeDocument/2006/relationships/oleObject" Target="embeddings/oleObject2.bin"/><Relationship Id="rId5" Type="http://schemas.openxmlformats.org/officeDocument/2006/relationships/image" Target="media/image1.png"/><Relationship Id="rId15" Type="http://schemas.openxmlformats.org/officeDocument/2006/relationships/hyperlink" Target="mailto:Printmailservices@idoa.IN.gov" TargetMode="Externa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mailto:Printmailservices@ido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1437</Words>
  <Characters>8191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Hailey (IDOA)</dc:creator>
  <cp:keywords/>
  <dc:description/>
  <cp:lastModifiedBy>Thayer, Jessica (IDOA)</cp:lastModifiedBy>
  <cp:revision>2</cp:revision>
  <dcterms:created xsi:type="dcterms:W3CDTF">2021-10-06T19:32:00Z</dcterms:created>
  <dcterms:modified xsi:type="dcterms:W3CDTF">2021-10-06T19:32:00Z</dcterms:modified>
</cp:coreProperties>
</file>